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1B68A7">
      <w:pPr>
        <w:spacing w:line="579" w:lineRule="exact"/>
        <w:jc w:val="center"/>
        <w:rPr>
          <w:rFonts w:hint="eastAsia" w:ascii="方正小标宋简体" w:eastAsia="方正小标宋简体"/>
          <w:color w:val="auto"/>
          <w:spacing w:val="6"/>
          <w:kern w:val="36"/>
          <w:sz w:val="44"/>
          <w:szCs w:val="44"/>
          <w:highlight w:val="none"/>
          <w:lang w:val="en-US" w:eastAsia="zh-CN"/>
        </w:rPr>
      </w:pPr>
      <w:bookmarkStart w:id="0" w:name="OLE_LINK12"/>
      <w:bookmarkStart w:id="1" w:name="_Hlk525314514"/>
      <w:bookmarkStart w:id="522" w:name="_GoBack"/>
      <w:bookmarkEnd w:id="522"/>
      <w:r>
        <w:rPr>
          <w:rFonts w:hint="eastAsia" w:ascii="方正小标宋简体" w:eastAsia="方正小标宋简体"/>
          <w:color w:val="auto"/>
          <w:spacing w:val="6"/>
          <w:kern w:val="36"/>
          <w:sz w:val="44"/>
          <w:szCs w:val="44"/>
          <w:highlight w:val="none"/>
          <w:lang w:val="en-US" w:eastAsia="zh-CN"/>
        </w:rPr>
        <w:t>新疆维吾尔自治区民政厅民办养老服务</w:t>
      </w:r>
    </w:p>
    <w:p w14:paraId="4ECF9723">
      <w:pPr>
        <w:spacing w:line="579" w:lineRule="exact"/>
        <w:jc w:val="center"/>
        <w:rPr>
          <w:rFonts w:ascii="方正小标宋简体" w:hAnsi="Times New Roman" w:eastAsia="方正小标宋简体"/>
          <w:color w:val="auto"/>
          <w:kern w:val="30"/>
          <w:sz w:val="44"/>
          <w:szCs w:val="44"/>
          <w:highlight w:val="none"/>
        </w:rPr>
      </w:pPr>
      <w:r>
        <w:rPr>
          <w:rFonts w:hint="eastAsia" w:ascii="方正小标宋简体" w:eastAsia="方正小标宋简体"/>
          <w:color w:val="auto"/>
          <w:spacing w:val="6"/>
          <w:kern w:val="36"/>
          <w:sz w:val="44"/>
          <w:szCs w:val="44"/>
          <w:highlight w:val="none"/>
          <w:lang w:val="en-US" w:eastAsia="zh-CN"/>
        </w:rPr>
        <w:t>机构资助办法政策评估</w:t>
      </w:r>
      <w:r>
        <w:rPr>
          <w:rFonts w:hint="eastAsia" w:ascii="方正小标宋简体" w:hAnsi="Times New Roman" w:eastAsia="方正小标宋简体"/>
          <w:color w:val="auto"/>
          <w:kern w:val="30"/>
          <w:sz w:val="44"/>
          <w:szCs w:val="44"/>
          <w:highlight w:val="none"/>
        </w:rPr>
        <w:t>报告</w:t>
      </w:r>
    </w:p>
    <w:bookmarkEnd w:id="0"/>
    <w:p w14:paraId="5E8FC3BD">
      <w:pPr>
        <w:spacing w:line="590" w:lineRule="exact"/>
        <w:ind w:firstLine="654" w:firstLineChars="200"/>
        <w:jc w:val="center"/>
        <w:rPr>
          <w:rFonts w:hint="eastAsia" w:ascii="仿宋_GB2312" w:hAnsi="仿宋_GB2312" w:eastAsia="仿宋_GB2312" w:cs="仿宋_GB2312"/>
          <w:color w:val="auto"/>
          <w:spacing w:val="6"/>
          <w:kern w:val="30"/>
          <w:sz w:val="30"/>
          <w:szCs w:val="30"/>
          <w:highlight w:val="none"/>
          <w:lang w:eastAsia="zh-CN" w:bidi="ar"/>
        </w:rPr>
      </w:pPr>
    </w:p>
    <w:p w14:paraId="3A6C2302">
      <w:pPr>
        <w:spacing w:line="590" w:lineRule="exact"/>
        <w:ind w:firstLine="654" w:firstLineChars="200"/>
        <w:rPr>
          <w:rFonts w:hint="eastAsia" w:ascii="仿宋_GB2312" w:hAnsi="仿宋_GB2312" w:eastAsia="仿宋_GB2312" w:cs="仿宋_GB2312"/>
          <w:color w:val="auto"/>
          <w:spacing w:val="6"/>
          <w:kern w:val="30"/>
          <w:sz w:val="30"/>
          <w:szCs w:val="30"/>
          <w:highlight w:val="none"/>
          <w:lang w:eastAsia="zh-Hans" w:bidi="ar"/>
        </w:rPr>
      </w:pPr>
      <w:r>
        <w:rPr>
          <w:rFonts w:hint="eastAsia" w:ascii="仿宋_GB2312" w:hAnsi="仿宋_GB2312" w:eastAsia="仿宋_GB2312" w:cs="仿宋_GB2312"/>
          <w:color w:val="auto"/>
          <w:spacing w:val="6"/>
          <w:kern w:val="30"/>
          <w:sz w:val="30"/>
          <w:szCs w:val="30"/>
          <w:highlight w:val="none"/>
          <w:lang w:eastAsia="zh-Hans" w:bidi="ar"/>
        </w:rPr>
        <w:t>根据</w:t>
      </w:r>
      <w:r>
        <w:rPr>
          <w:rFonts w:hint="eastAsia" w:ascii="仿宋_GB2312" w:hAnsi="仿宋_GB2312" w:eastAsia="仿宋_GB2312" w:cs="仿宋_GB2312"/>
          <w:color w:val="auto"/>
          <w:spacing w:val="6"/>
          <w:szCs w:val="30"/>
          <w:highlight w:val="none"/>
          <w:lang w:eastAsia="zh-Hans" w:bidi="ar"/>
        </w:rPr>
        <w:t>《财政部关于印发〈项目支出绩效评价管理办法〉的通知》（财预〔2020〕10号）、《自治区党委 自治区人民政府关于全面实施预算绩效管理的实施意见》（新党发〔2018〕30号）、《自治区财政厅关于印发〈自治区本级财政支出绩效评价管理暂行办法〉的通知》（新财预〔2018〕188号）</w:t>
      </w:r>
      <w:r>
        <w:rPr>
          <w:rFonts w:hint="eastAsia" w:ascii="仿宋_GB2312" w:hAnsi="仿宋_GB2312" w:eastAsia="仿宋_GB2312" w:cs="仿宋_GB2312"/>
          <w:color w:val="auto"/>
          <w:spacing w:val="6"/>
          <w:kern w:val="30"/>
          <w:sz w:val="30"/>
          <w:szCs w:val="30"/>
          <w:highlight w:val="none"/>
          <w:lang w:eastAsia="zh-Hans" w:bidi="ar"/>
        </w:rPr>
        <w:t>的要求，</w:t>
      </w:r>
      <w:r>
        <w:rPr>
          <w:rFonts w:hint="eastAsia" w:ascii="仿宋_GB2312" w:hAnsi="仿宋_GB2312" w:eastAsia="仿宋_GB2312" w:cs="仿宋_GB2312"/>
          <w:color w:val="auto"/>
          <w:spacing w:val="6"/>
          <w:kern w:val="30"/>
          <w:sz w:val="30"/>
          <w:szCs w:val="30"/>
          <w:highlight w:val="none"/>
          <w:lang w:val="en-US" w:eastAsia="zh-Hans" w:bidi="ar"/>
        </w:rPr>
        <w:t>云南明博会计师事务所</w:t>
      </w:r>
      <w:r>
        <w:rPr>
          <w:rFonts w:hint="eastAsia" w:ascii="仿宋_GB2312" w:hAnsi="仿宋_GB2312" w:eastAsia="仿宋_GB2312" w:cs="仿宋_GB2312"/>
          <w:color w:val="auto"/>
          <w:spacing w:val="6"/>
          <w:kern w:val="30"/>
          <w:sz w:val="30"/>
          <w:szCs w:val="30"/>
          <w:highlight w:val="none"/>
          <w:lang w:eastAsia="zh-Hans" w:bidi="ar"/>
        </w:rPr>
        <w:t>（</w:t>
      </w:r>
      <w:r>
        <w:rPr>
          <w:rFonts w:hint="eastAsia" w:ascii="仿宋_GB2312" w:hAnsi="仿宋_GB2312" w:eastAsia="仿宋_GB2312" w:cs="仿宋_GB2312"/>
          <w:color w:val="auto"/>
          <w:spacing w:val="6"/>
          <w:kern w:val="30"/>
          <w:sz w:val="30"/>
          <w:szCs w:val="30"/>
          <w:highlight w:val="none"/>
          <w:lang w:val="en-US" w:eastAsia="zh-Hans" w:bidi="ar"/>
        </w:rPr>
        <w:t>普通合伙</w:t>
      </w:r>
      <w:r>
        <w:rPr>
          <w:rFonts w:hint="eastAsia" w:ascii="仿宋_GB2312" w:hAnsi="仿宋_GB2312" w:eastAsia="仿宋_GB2312" w:cs="仿宋_GB2312"/>
          <w:color w:val="auto"/>
          <w:spacing w:val="6"/>
          <w:kern w:val="30"/>
          <w:sz w:val="30"/>
          <w:szCs w:val="30"/>
          <w:highlight w:val="none"/>
          <w:lang w:eastAsia="zh-Hans" w:bidi="ar"/>
        </w:rPr>
        <w:t>）接受</w:t>
      </w:r>
      <w:r>
        <w:rPr>
          <w:rFonts w:hint="eastAsia" w:ascii="仿宋_GB2312" w:hAnsi="仿宋_GB2312" w:eastAsia="仿宋_GB2312" w:cs="仿宋_GB2312"/>
          <w:color w:val="auto"/>
          <w:spacing w:val="6"/>
          <w:kern w:val="30"/>
          <w:sz w:val="30"/>
          <w:szCs w:val="30"/>
          <w:highlight w:val="none"/>
          <w:lang w:val="en-US" w:eastAsia="zh-Hans" w:bidi="ar"/>
        </w:rPr>
        <w:t>新疆维吾尔自治区</w:t>
      </w:r>
      <w:r>
        <w:rPr>
          <w:rFonts w:hint="eastAsia" w:ascii="仿宋_GB2312" w:hAnsi="仿宋_GB2312" w:eastAsia="仿宋_GB2312" w:cs="仿宋_GB2312"/>
          <w:color w:val="auto"/>
          <w:spacing w:val="6"/>
          <w:kern w:val="30"/>
          <w:sz w:val="30"/>
          <w:szCs w:val="30"/>
          <w:highlight w:val="none"/>
          <w:lang w:eastAsia="zh-Hans" w:bidi="ar"/>
        </w:rPr>
        <w:t>财政厅绩效评价中心委托，于202</w:t>
      </w:r>
      <w:r>
        <w:rPr>
          <w:rFonts w:hint="eastAsia" w:ascii="仿宋_GB2312" w:hAnsi="仿宋_GB2312" w:eastAsia="仿宋_GB2312" w:cs="仿宋_GB2312"/>
          <w:color w:val="auto"/>
          <w:spacing w:val="6"/>
          <w:kern w:val="30"/>
          <w:sz w:val="30"/>
          <w:szCs w:val="30"/>
          <w:highlight w:val="none"/>
          <w:lang w:val="en-US" w:eastAsia="zh-CN" w:bidi="ar"/>
        </w:rPr>
        <w:t>6</w:t>
      </w:r>
      <w:r>
        <w:rPr>
          <w:rFonts w:hint="eastAsia" w:ascii="仿宋_GB2312" w:hAnsi="仿宋_GB2312" w:eastAsia="仿宋_GB2312" w:cs="仿宋_GB2312"/>
          <w:color w:val="auto"/>
          <w:spacing w:val="6"/>
          <w:kern w:val="30"/>
          <w:sz w:val="30"/>
          <w:szCs w:val="30"/>
          <w:highlight w:val="none"/>
          <w:lang w:eastAsia="zh-Hans" w:bidi="ar"/>
        </w:rPr>
        <w:t>年</w:t>
      </w:r>
      <w:r>
        <w:rPr>
          <w:rFonts w:hint="eastAsia" w:ascii="仿宋_GB2312" w:hAnsi="仿宋_GB2312" w:eastAsia="仿宋_GB2312" w:cs="仿宋_GB2312"/>
          <w:color w:val="auto"/>
          <w:spacing w:val="6"/>
          <w:kern w:val="30"/>
          <w:sz w:val="30"/>
          <w:szCs w:val="30"/>
          <w:highlight w:val="none"/>
          <w:lang w:val="en-US" w:eastAsia="zh-CN" w:bidi="ar"/>
        </w:rPr>
        <w:t>5</w:t>
      </w:r>
      <w:r>
        <w:rPr>
          <w:rFonts w:hint="eastAsia" w:ascii="仿宋_GB2312" w:hAnsi="仿宋_GB2312" w:eastAsia="仿宋_GB2312" w:cs="仿宋_GB2312"/>
          <w:color w:val="auto"/>
          <w:spacing w:val="6"/>
          <w:kern w:val="30"/>
          <w:sz w:val="30"/>
          <w:szCs w:val="30"/>
          <w:highlight w:val="none"/>
          <w:lang w:eastAsia="zh-Hans" w:bidi="ar"/>
        </w:rPr>
        <w:t>月至</w:t>
      </w:r>
      <w:r>
        <w:rPr>
          <w:rFonts w:hint="eastAsia" w:ascii="仿宋_GB2312" w:hAnsi="仿宋_GB2312" w:eastAsia="仿宋_GB2312" w:cs="仿宋_GB2312"/>
          <w:color w:val="auto"/>
          <w:spacing w:val="6"/>
          <w:kern w:val="30"/>
          <w:sz w:val="30"/>
          <w:szCs w:val="30"/>
          <w:highlight w:val="none"/>
          <w:lang w:val="en-US" w:eastAsia="zh-CN" w:bidi="ar"/>
        </w:rPr>
        <w:t>7</w:t>
      </w:r>
      <w:r>
        <w:rPr>
          <w:rFonts w:hint="eastAsia" w:ascii="仿宋_GB2312" w:hAnsi="仿宋_GB2312" w:eastAsia="仿宋_GB2312" w:cs="仿宋_GB2312"/>
          <w:color w:val="auto"/>
          <w:spacing w:val="6"/>
          <w:kern w:val="30"/>
          <w:sz w:val="30"/>
          <w:szCs w:val="30"/>
          <w:highlight w:val="none"/>
          <w:lang w:eastAsia="zh-Hans" w:bidi="ar"/>
        </w:rPr>
        <w:t>月对</w:t>
      </w:r>
      <w:r>
        <w:rPr>
          <w:rFonts w:hint="eastAsia" w:ascii="仿宋_GB2312" w:hAnsi="仿宋_GB2312" w:eastAsia="仿宋_GB2312" w:cs="仿宋_GB2312"/>
          <w:color w:val="auto"/>
          <w:spacing w:val="6"/>
          <w:szCs w:val="30"/>
          <w:highlight w:val="none"/>
          <w:lang w:val="en-US" w:eastAsia="zh-Hans" w:bidi="ar"/>
        </w:rPr>
        <w:t>新疆维吾尔自治区</w:t>
      </w:r>
      <w:r>
        <w:rPr>
          <w:rFonts w:hint="eastAsia" w:ascii="仿宋_GB2312" w:hAnsi="仿宋_GB2312" w:eastAsia="仿宋_GB2312" w:cs="仿宋_GB2312"/>
          <w:color w:val="auto"/>
          <w:spacing w:val="6"/>
          <w:szCs w:val="30"/>
          <w:highlight w:val="none"/>
          <w:lang w:val="en-US" w:eastAsia="zh-CN" w:bidi="ar"/>
        </w:rPr>
        <w:t>民政</w:t>
      </w:r>
      <w:r>
        <w:rPr>
          <w:rFonts w:hint="eastAsia" w:ascii="仿宋_GB2312" w:hAnsi="仿宋_GB2312" w:eastAsia="仿宋_GB2312" w:cs="仿宋_GB2312"/>
          <w:color w:val="auto"/>
          <w:spacing w:val="6"/>
          <w:szCs w:val="30"/>
          <w:highlight w:val="none"/>
          <w:lang w:val="en-US" w:eastAsia="zh-Hans" w:bidi="ar"/>
        </w:rPr>
        <w:t>厅（以下简称“自治</w:t>
      </w:r>
      <w:r>
        <w:rPr>
          <w:rFonts w:hint="eastAsia" w:ascii="仿宋_GB2312" w:hAnsi="仿宋_GB2312" w:eastAsia="仿宋_GB2312" w:cs="仿宋_GB2312"/>
          <w:color w:val="auto"/>
          <w:spacing w:val="6"/>
          <w:szCs w:val="30"/>
          <w:highlight w:val="none"/>
          <w:lang w:eastAsia="zh-Hans" w:bidi="ar"/>
        </w:rPr>
        <w:t>区</w:t>
      </w:r>
      <w:r>
        <w:rPr>
          <w:rFonts w:hint="eastAsia" w:ascii="仿宋_GB2312" w:hAnsi="仿宋_GB2312" w:eastAsia="仿宋_GB2312" w:cs="仿宋_GB2312"/>
          <w:color w:val="auto"/>
          <w:spacing w:val="6"/>
          <w:szCs w:val="30"/>
          <w:highlight w:val="none"/>
          <w:lang w:val="en-US" w:eastAsia="zh-CN" w:bidi="ar"/>
        </w:rPr>
        <w:t>民政</w:t>
      </w:r>
      <w:r>
        <w:rPr>
          <w:rFonts w:hint="eastAsia" w:ascii="仿宋_GB2312" w:hAnsi="仿宋_GB2312" w:eastAsia="仿宋_GB2312" w:cs="仿宋_GB2312"/>
          <w:color w:val="auto"/>
          <w:spacing w:val="6"/>
          <w:szCs w:val="30"/>
          <w:highlight w:val="none"/>
          <w:lang w:val="en-US" w:eastAsia="zh-Hans" w:bidi="ar"/>
        </w:rPr>
        <w:t>厅”）《自治区民办养老服务机构资助办法》（新民发〔2013〕83号）</w:t>
      </w:r>
      <w:r>
        <w:rPr>
          <w:rFonts w:hint="eastAsia" w:ascii="仿宋_GB2312" w:hAnsi="仿宋_GB2312" w:eastAsia="仿宋_GB2312" w:cs="仿宋_GB2312"/>
          <w:color w:val="auto"/>
          <w:spacing w:val="6"/>
          <w:kern w:val="30"/>
          <w:sz w:val="30"/>
          <w:szCs w:val="30"/>
          <w:highlight w:val="none"/>
          <w:lang w:eastAsia="zh-Hans" w:bidi="ar"/>
        </w:rPr>
        <w:t>开展</w:t>
      </w:r>
      <w:r>
        <w:rPr>
          <w:rFonts w:hint="eastAsia" w:ascii="仿宋_GB2312" w:hAnsi="仿宋_GB2312" w:eastAsia="仿宋_GB2312" w:cs="仿宋_GB2312"/>
          <w:color w:val="auto"/>
          <w:spacing w:val="6"/>
          <w:kern w:val="30"/>
          <w:sz w:val="30"/>
          <w:szCs w:val="30"/>
          <w:highlight w:val="none"/>
          <w:lang w:val="en-US" w:eastAsia="zh-CN" w:bidi="ar"/>
        </w:rPr>
        <w:t>政策评估</w:t>
      </w:r>
      <w:r>
        <w:rPr>
          <w:rFonts w:hint="eastAsia" w:ascii="仿宋_GB2312" w:hAnsi="仿宋_GB2312" w:eastAsia="仿宋_GB2312" w:cs="仿宋_GB2312"/>
          <w:color w:val="auto"/>
          <w:spacing w:val="6"/>
          <w:kern w:val="30"/>
          <w:sz w:val="30"/>
          <w:szCs w:val="30"/>
          <w:highlight w:val="none"/>
          <w:lang w:eastAsia="zh-Hans" w:bidi="ar"/>
        </w:rPr>
        <w:t>。现将</w:t>
      </w:r>
      <w:r>
        <w:rPr>
          <w:rFonts w:hint="eastAsia" w:ascii="仿宋_GB2312" w:hAnsi="仿宋_GB2312" w:eastAsia="仿宋_GB2312" w:cs="仿宋_GB2312"/>
          <w:color w:val="auto"/>
          <w:spacing w:val="6"/>
          <w:kern w:val="30"/>
          <w:sz w:val="30"/>
          <w:szCs w:val="30"/>
          <w:highlight w:val="none"/>
          <w:lang w:val="en-US" w:eastAsia="zh-CN" w:bidi="ar"/>
        </w:rPr>
        <w:t>评估</w:t>
      </w:r>
      <w:r>
        <w:rPr>
          <w:rFonts w:hint="eastAsia" w:ascii="仿宋_GB2312" w:hAnsi="仿宋_GB2312" w:eastAsia="仿宋_GB2312" w:cs="仿宋_GB2312"/>
          <w:color w:val="auto"/>
          <w:spacing w:val="6"/>
          <w:kern w:val="30"/>
          <w:sz w:val="30"/>
          <w:szCs w:val="30"/>
          <w:highlight w:val="none"/>
          <w:lang w:eastAsia="zh-Hans" w:bidi="ar"/>
        </w:rPr>
        <w:t>情况报告如下：</w:t>
      </w:r>
    </w:p>
    <w:p w14:paraId="208CB6AC">
      <w:pPr>
        <w:spacing w:line="590" w:lineRule="exact"/>
        <w:ind w:firstLine="670" w:firstLineChars="200"/>
        <w:outlineLvl w:val="0"/>
        <w:rPr>
          <w:rFonts w:ascii="黑体" w:hAnsi="黑体" w:eastAsia="黑体" w:cs="宋体"/>
          <w:color w:val="auto"/>
          <w:kern w:val="30"/>
          <w:sz w:val="32"/>
          <w:szCs w:val="32"/>
          <w:highlight w:val="none"/>
        </w:rPr>
      </w:pPr>
      <w:bookmarkStart w:id="2" w:name="_Toc8846"/>
      <w:bookmarkStart w:id="3" w:name="_Toc27758"/>
      <w:bookmarkStart w:id="4" w:name="_Toc29150"/>
      <w:bookmarkStart w:id="5" w:name="_Toc24078"/>
      <w:bookmarkStart w:id="6" w:name="_Toc2332"/>
      <w:bookmarkStart w:id="7" w:name="_Toc15343"/>
      <w:bookmarkStart w:id="8" w:name="_Toc17710"/>
      <w:bookmarkStart w:id="9" w:name="_Toc20103"/>
      <w:bookmarkStart w:id="10" w:name="_Toc2496"/>
      <w:bookmarkStart w:id="11" w:name="_Toc6588"/>
      <w:bookmarkStart w:id="12" w:name="_Toc8849"/>
      <w:bookmarkStart w:id="13" w:name="_Toc33"/>
      <w:bookmarkStart w:id="14" w:name="_Toc20755"/>
      <w:bookmarkStart w:id="15" w:name="_Toc19402"/>
      <w:bookmarkStart w:id="16" w:name="_Toc16903"/>
      <w:bookmarkStart w:id="17" w:name="_Toc23377"/>
      <w:bookmarkStart w:id="18" w:name="_Toc29399"/>
      <w:bookmarkStart w:id="19" w:name="_Toc8550"/>
      <w:bookmarkStart w:id="20" w:name="_Toc310"/>
      <w:bookmarkStart w:id="21" w:name="_Toc15027"/>
      <w:bookmarkStart w:id="22" w:name="_Toc23761"/>
      <w:r>
        <w:rPr>
          <w:rFonts w:hint="eastAsia" w:ascii="黑体" w:hAnsi="黑体" w:eastAsia="黑体" w:cs="宋体"/>
          <w:color w:val="auto"/>
          <w:kern w:val="30"/>
          <w:sz w:val="32"/>
          <w:szCs w:val="32"/>
          <w:highlight w:val="none"/>
        </w:rPr>
        <w:t>一、基本情况</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14:paraId="58D546EE">
      <w:pPr>
        <w:spacing w:line="590" w:lineRule="exact"/>
        <w:ind w:firstLine="630" w:firstLineChars="200"/>
        <w:outlineLvl w:val="1"/>
        <w:rPr>
          <w:rFonts w:hint="eastAsia" w:ascii="楷体_GB2312" w:hAnsi="楷体_GB2312" w:eastAsia="楷体_GB2312" w:cs="楷体_GB2312"/>
          <w:color w:val="auto"/>
          <w:kern w:val="30"/>
          <w:sz w:val="30"/>
          <w:szCs w:val="30"/>
          <w:highlight w:val="none"/>
        </w:rPr>
      </w:pPr>
      <w:bookmarkStart w:id="23" w:name="_Toc28399"/>
      <w:bookmarkStart w:id="24" w:name="_Toc28904"/>
      <w:bookmarkStart w:id="25" w:name="_Toc13091"/>
      <w:bookmarkStart w:id="26" w:name="_Toc32122"/>
      <w:bookmarkStart w:id="27" w:name="_Toc16030"/>
      <w:bookmarkStart w:id="28" w:name="_Toc3417"/>
      <w:bookmarkStart w:id="29" w:name="_Toc1355"/>
      <w:bookmarkStart w:id="30" w:name="_Toc18696"/>
      <w:bookmarkStart w:id="31" w:name="_Toc5260"/>
      <w:bookmarkStart w:id="32" w:name="_Toc9415"/>
      <w:bookmarkStart w:id="33" w:name="_Toc1071"/>
      <w:bookmarkStart w:id="34" w:name="_Toc19539"/>
      <w:bookmarkStart w:id="35" w:name="_Toc14296"/>
      <w:bookmarkStart w:id="36" w:name="_Toc15983"/>
      <w:bookmarkStart w:id="37" w:name="_Toc4811"/>
      <w:bookmarkStart w:id="38" w:name="_Toc11285"/>
      <w:bookmarkStart w:id="39" w:name="_Toc8677"/>
      <w:bookmarkStart w:id="40" w:name="_Toc13518"/>
      <w:bookmarkStart w:id="41" w:name="_Toc6785"/>
      <w:bookmarkStart w:id="42" w:name="_Toc3424"/>
      <w:bookmarkStart w:id="43" w:name="_Toc27255"/>
      <w:r>
        <w:rPr>
          <w:rFonts w:hint="eastAsia" w:ascii="楷体_GB2312" w:hAnsi="楷体_GB2312" w:eastAsia="楷体_GB2312" w:cs="楷体_GB2312"/>
          <w:color w:val="auto"/>
          <w:szCs w:val="30"/>
          <w:highlight w:val="none"/>
        </w:rPr>
        <w:t>（</w:t>
      </w:r>
      <w:r>
        <w:rPr>
          <w:rFonts w:hint="eastAsia" w:ascii="楷体_GB2312" w:hAnsi="楷体_GB2312" w:eastAsia="楷体_GB2312" w:cs="楷体_GB2312"/>
          <w:color w:val="auto"/>
          <w:szCs w:val="30"/>
          <w:highlight w:val="none"/>
          <w:lang w:eastAsia="zh-CN"/>
        </w:rPr>
        <w:t>一</w:t>
      </w:r>
      <w:r>
        <w:rPr>
          <w:rFonts w:hint="eastAsia" w:ascii="楷体_GB2312" w:hAnsi="楷体_GB2312" w:eastAsia="楷体_GB2312" w:cs="楷体_GB2312"/>
          <w:color w:val="auto"/>
          <w:szCs w:val="30"/>
          <w:highlight w:val="none"/>
        </w:rPr>
        <w:t>）</w:t>
      </w:r>
      <w:r>
        <w:rPr>
          <w:rFonts w:hint="eastAsia" w:ascii="楷体_GB2312" w:hAnsi="楷体_GB2312" w:eastAsia="楷体_GB2312" w:cs="楷体_GB2312"/>
          <w:color w:val="auto"/>
          <w:kern w:val="30"/>
          <w:sz w:val="30"/>
          <w:szCs w:val="30"/>
          <w:highlight w:val="none"/>
        </w:rPr>
        <w:t>项目概况</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14:paraId="3A0E00D0">
      <w:pPr>
        <w:spacing w:line="590" w:lineRule="exact"/>
        <w:ind w:firstLine="654" w:firstLineChars="200"/>
        <w:rPr>
          <w:rFonts w:hint="eastAsia" w:ascii="仿宋_GB2312" w:hAnsi="仿宋_GB2312" w:eastAsia="仿宋_GB2312" w:cs="仿宋_GB2312"/>
          <w:color w:val="auto"/>
          <w:spacing w:val="6"/>
          <w:kern w:val="30"/>
          <w:sz w:val="30"/>
          <w:szCs w:val="30"/>
          <w:highlight w:val="none"/>
          <w:lang w:eastAsia="zh-Hans" w:bidi="ar"/>
        </w:rPr>
      </w:pPr>
      <w:r>
        <w:rPr>
          <w:rFonts w:hint="eastAsia" w:ascii="仿宋_GB2312" w:hAnsi="仿宋_GB2312" w:eastAsia="仿宋_GB2312" w:cs="仿宋_GB2312"/>
          <w:color w:val="auto"/>
          <w:spacing w:val="6"/>
          <w:kern w:val="30"/>
          <w:sz w:val="30"/>
          <w:szCs w:val="30"/>
          <w:highlight w:val="none"/>
          <w:lang w:val="en-US" w:eastAsia="zh-Hans" w:bidi="ar"/>
        </w:rPr>
        <w:t>1.</w:t>
      </w:r>
      <w:r>
        <w:rPr>
          <w:rFonts w:hint="eastAsia" w:ascii="仿宋_GB2312" w:hAnsi="仿宋_GB2312" w:eastAsia="仿宋_GB2312" w:cs="仿宋_GB2312"/>
          <w:color w:val="auto"/>
          <w:spacing w:val="6"/>
          <w:kern w:val="30"/>
          <w:sz w:val="30"/>
          <w:szCs w:val="30"/>
          <w:highlight w:val="none"/>
          <w:lang w:eastAsia="zh-Hans" w:bidi="ar"/>
        </w:rPr>
        <w:t>项目设立背景</w:t>
      </w:r>
    </w:p>
    <w:p w14:paraId="34DB56BF">
      <w:pPr>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bookmarkStart w:id="44" w:name="OLE_LINK6"/>
      <w:r>
        <w:rPr>
          <w:rFonts w:hint="eastAsia" w:ascii="仿宋_GB2312" w:hAnsi="仿宋_GB2312" w:eastAsia="仿宋_GB2312" w:cs="仿宋_GB2312"/>
          <w:color w:val="auto"/>
          <w:spacing w:val="6"/>
          <w:szCs w:val="30"/>
          <w:highlight w:val="none"/>
          <w:lang w:eastAsia="zh-Hans" w:bidi="ar"/>
        </w:rPr>
        <w:t>为引导社会力量参与养老服务，增加普惠养老床位供给，提升民办养老机构服务质量，</w:t>
      </w:r>
      <w:r>
        <w:rPr>
          <w:rFonts w:hint="eastAsia" w:ascii="仿宋_GB2312" w:hAnsi="仿宋_GB2312" w:eastAsia="仿宋_GB2312" w:cs="仿宋_GB2312"/>
          <w:color w:val="auto"/>
          <w:spacing w:val="6"/>
          <w:szCs w:val="30"/>
          <w:highlight w:val="none"/>
          <w:lang w:val="en-US" w:eastAsia="zh-CN" w:bidi="ar"/>
        </w:rPr>
        <w:t>自治区民政厅联合自治区财政厅</w:t>
      </w:r>
      <w:r>
        <w:rPr>
          <w:rFonts w:hint="eastAsia" w:ascii="仿宋_GB2312" w:hAnsi="仿宋_GB2312" w:eastAsia="仿宋_GB2312" w:cs="仿宋_GB2312"/>
          <w:color w:val="auto"/>
          <w:spacing w:val="6"/>
          <w:szCs w:val="30"/>
          <w:highlight w:val="none"/>
          <w:lang w:eastAsia="zh-Hans" w:bidi="ar"/>
        </w:rPr>
        <w:t>于2013年印发</w:t>
      </w:r>
      <w:r>
        <w:rPr>
          <w:rFonts w:hint="eastAsia" w:ascii="仿宋_GB2312" w:hAnsi="仿宋_GB2312" w:eastAsia="仿宋_GB2312" w:cs="仿宋_GB2312"/>
          <w:color w:val="auto"/>
          <w:spacing w:val="6"/>
          <w:kern w:val="30"/>
          <w:sz w:val="30"/>
          <w:szCs w:val="30"/>
          <w:highlight w:val="none"/>
          <w:lang w:eastAsia="zh-CN" w:bidi="ar"/>
        </w:rPr>
        <w:t>《自治区民办养老服务机构资助办法》（新民发〔2013〕83号）</w:t>
      </w:r>
      <w:r>
        <w:rPr>
          <w:rFonts w:hint="eastAsia" w:ascii="仿宋_GB2312" w:hAnsi="仿宋_GB2312" w:eastAsia="仿宋_GB2312" w:cs="仿宋_GB2312"/>
          <w:color w:val="auto"/>
          <w:spacing w:val="6"/>
          <w:szCs w:val="30"/>
          <w:highlight w:val="none"/>
          <w:lang w:eastAsia="zh-CN" w:bidi="ar"/>
        </w:rPr>
        <w:t>（以下简称《资助办法》）</w:t>
      </w:r>
      <w:r>
        <w:rPr>
          <w:rFonts w:hint="eastAsia" w:ascii="仿宋_GB2312" w:hAnsi="仿宋_GB2312" w:eastAsia="仿宋_GB2312" w:cs="仿宋_GB2312"/>
          <w:color w:val="auto"/>
          <w:spacing w:val="6"/>
          <w:szCs w:val="30"/>
          <w:highlight w:val="none"/>
          <w:lang w:eastAsia="zh-Hans" w:bidi="ar"/>
        </w:rPr>
        <w:t>，对符合</w:t>
      </w:r>
      <w:r>
        <w:rPr>
          <w:rFonts w:hint="eastAsia" w:ascii="仿宋_GB2312" w:hAnsi="仿宋_GB2312" w:eastAsia="仿宋_GB2312" w:cs="仿宋_GB2312"/>
          <w:color w:val="auto"/>
          <w:spacing w:val="6"/>
          <w:szCs w:val="30"/>
          <w:highlight w:val="none"/>
          <w:lang w:val="en-US" w:eastAsia="zh-CN" w:bidi="ar"/>
        </w:rPr>
        <w:t>资助</w:t>
      </w:r>
      <w:r>
        <w:rPr>
          <w:rFonts w:hint="eastAsia" w:ascii="仿宋_GB2312" w:hAnsi="仿宋_GB2312" w:eastAsia="仿宋_GB2312" w:cs="仿宋_GB2312"/>
          <w:color w:val="auto"/>
          <w:spacing w:val="6"/>
          <w:szCs w:val="30"/>
          <w:highlight w:val="none"/>
          <w:lang w:eastAsia="zh-Hans" w:bidi="ar"/>
        </w:rPr>
        <w:t>条件的民办非营利养老机构和</w:t>
      </w:r>
      <w:r>
        <w:rPr>
          <w:rFonts w:hint="eastAsia" w:ascii="仿宋_GB2312" w:hAnsi="仿宋_GB2312" w:eastAsia="仿宋_GB2312" w:cs="仿宋_GB2312"/>
          <w:color w:val="auto"/>
          <w:spacing w:val="6"/>
          <w:szCs w:val="30"/>
          <w:highlight w:val="none"/>
          <w:lang w:eastAsia="zh-CN" w:bidi="ar"/>
        </w:rPr>
        <w:t>“</w:t>
      </w:r>
      <w:r>
        <w:rPr>
          <w:rFonts w:hint="eastAsia" w:ascii="仿宋_GB2312" w:hAnsi="仿宋_GB2312" w:eastAsia="仿宋_GB2312" w:cs="仿宋_GB2312"/>
          <w:color w:val="auto"/>
          <w:spacing w:val="6"/>
          <w:szCs w:val="30"/>
          <w:highlight w:val="none"/>
          <w:lang w:eastAsia="zh-Hans" w:bidi="ar"/>
        </w:rPr>
        <w:t>公建民营</w:t>
      </w:r>
      <w:r>
        <w:rPr>
          <w:rFonts w:hint="eastAsia" w:ascii="仿宋_GB2312" w:hAnsi="仿宋_GB2312" w:eastAsia="仿宋_GB2312" w:cs="仿宋_GB2312"/>
          <w:color w:val="auto"/>
          <w:spacing w:val="6"/>
          <w:szCs w:val="30"/>
          <w:highlight w:val="none"/>
          <w:lang w:eastAsia="zh-CN" w:bidi="ar"/>
        </w:rPr>
        <w:t>”</w:t>
      </w:r>
      <w:r>
        <w:rPr>
          <w:rFonts w:hint="eastAsia" w:ascii="仿宋_GB2312" w:hAnsi="仿宋_GB2312" w:eastAsia="仿宋_GB2312" w:cs="仿宋_GB2312"/>
          <w:color w:val="auto"/>
          <w:spacing w:val="6"/>
          <w:szCs w:val="30"/>
          <w:highlight w:val="none"/>
          <w:lang w:eastAsia="zh-Hans" w:bidi="ar"/>
        </w:rPr>
        <w:t>养老机构给予一次性开办补助</w:t>
      </w:r>
      <w:r>
        <w:rPr>
          <w:rFonts w:hint="eastAsia" w:ascii="仿宋_GB2312" w:hAnsi="仿宋_GB2312" w:eastAsia="仿宋_GB2312" w:cs="仿宋_GB2312"/>
          <w:color w:val="auto"/>
          <w:spacing w:val="6"/>
          <w:szCs w:val="30"/>
          <w:highlight w:val="none"/>
          <w:lang w:eastAsia="zh-CN" w:bidi="ar"/>
        </w:rPr>
        <w:t>、</w:t>
      </w:r>
      <w:r>
        <w:rPr>
          <w:rFonts w:hint="eastAsia" w:ascii="仿宋_GB2312" w:hAnsi="仿宋_GB2312" w:eastAsia="仿宋_GB2312" w:cs="仿宋_GB2312"/>
          <w:color w:val="auto"/>
          <w:spacing w:val="6"/>
          <w:szCs w:val="30"/>
          <w:highlight w:val="none"/>
          <w:lang w:eastAsia="zh-Hans" w:bidi="ar"/>
        </w:rPr>
        <w:t>运营补贴。本</w:t>
      </w:r>
      <w:r>
        <w:rPr>
          <w:rFonts w:hint="eastAsia" w:ascii="仿宋_GB2312" w:hAnsi="仿宋_GB2312" w:eastAsia="仿宋_GB2312" w:cs="仿宋_GB2312"/>
          <w:color w:val="auto"/>
          <w:spacing w:val="6"/>
          <w:szCs w:val="30"/>
          <w:highlight w:val="none"/>
          <w:lang w:val="en-US" w:eastAsia="zh-CN" w:bidi="ar"/>
        </w:rPr>
        <w:t>次</w:t>
      </w:r>
      <w:r>
        <w:rPr>
          <w:rFonts w:hint="eastAsia" w:ascii="仿宋_GB2312" w:hAnsi="仿宋_GB2312" w:eastAsia="仿宋_GB2312" w:cs="仿宋_GB2312"/>
          <w:color w:val="auto"/>
          <w:spacing w:val="6"/>
          <w:szCs w:val="30"/>
          <w:highlight w:val="none"/>
          <w:lang w:eastAsia="zh-Hans" w:bidi="ar"/>
        </w:rPr>
        <w:t>评估以2021—2025年为核心</w:t>
      </w:r>
      <w:r>
        <w:rPr>
          <w:rFonts w:hint="eastAsia" w:ascii="仿宋_GB2312" w:hAnsi="仿宋_GB2312" w:eastAsia="仿宋_GB2312" w:cs="仿宋_GB2312"/>
          <w:color w:val="auto"/>
          <w:spacing w:val="6"/>
          <w:szCs w:val="30"/>
          <w:highlight w:val="none"/>
          <w:lang w:val="en-US" w:eastAsia="zh-CN" w:bidi="ar"/>
        </w:rPr>
        <w:t>评估</w:t>
      </w:r>
      <w:r>
        <w:rPr>
          <w:rFonts w:hint="eastAsia" w:ascii="仿宋_GB2312" w:hAnsi="仿宋_GB2312" w:eastAsia="仿宋_GB2312" w:cs="仿宋_GB2312"/>
          <w:color w:val="auto"/>
          <w:spacing w:val="6"/>
          <w:szCs w:val="30"/>
          <w:highlight w:val="none"/>
          <w:lang w:eastAsia="zh-Hans" w:bidi="ar"/>
        </w:rPr>
        <w:t>期</w:t>
      </w:r>
      <w:r>
        <w:rPr>
          <w:rFonts w:hint="eastAsia" w:ascii="仿宋_GB2312" w:hAnsi="仿宋_GB2312" w:eastAsia="仿宋_GB2312" w:cs="仿宋_GB2312"/>
          <w:color w:val="auto"/>
          <w:spacing w:val="6"/>
          <w:szCs w:val="30"/>
          <w:highlight w:val="none"/>
          <w:lang w:eastAsia="zh-CN" w:bidi="ar"/>
        </w:rPr>
        <w:t>（</w:t>
      </w:r>
      <w:r>
        <w:rPr>
          <w:rFonts w:hint="eastAsia" w:ascii="仿宋_GB2312" w:hAnsi="仿宋_GB2312" w:eastAsia="仿宋_GB2312" w:cs="仿宋_GB2312"/>
          <w:color w:val="auto"/>
          <w:spacing w:val="6"/>
          <w:szCs w:val="30"/>
          <w:highlight w:val="none"/>
          <w:lang w:val="en-US" w:eastAsia="zh-CN" w:bidi="ar"/>
        </w:rPr>
        <w:t>对应的补贴年度为2020-2024年度</w:t>
      </w:r>
      <w:r>
        <w:rPr>
          <w:rFonts w:hint="eastAsia" w:ascii="仿宋_GB2312" w:hAnsi="仿宋_GB2312" w:eastAsia="仿宋_GB2312" w:cs="仿宋_GB2312"/>
          <w:color w:val="auto"/>
          <w:spacing w:val="6"/>
          <w:szCs w:val="30"/>
          <w:highlight w:val="none"/>
          <w:lang w:eastAsia="zh-CN" w:bidi="ar"/>
        </w:rPr>
        <w:t>）</w:t>
      </w:r>
      <w:r>
        <w:rPr>
          <w:rFonts w:hint="eastAsia" w:ascii="仿宋_GB2312" w:hAnsi="仿宋_GB2312" w:eastAsia="仿宋_GB2312" w:cs="仿宋_GB2312"/>
          <w:color w:val="auto"/>
          <w:spacing w:val="6"/>
          <w:szCs w:val="30"/>
          <w:highlight w:val="none"/>
          <w:lang w:eastAsia="zh-Hans" w:bidi="ar"/>
        </w:rPr>
        <w:t>，数据采集以该时段为重点，必要时追溯至2013年政策实施初期</w:t>
      </w:r>
      <w:r>
        <w:rPr>
          <w:rFonts w:hint="eastAsia" w:ascii="仿宋_GB2312" w:hAnsi="仿宋_GB2312" w:eastAsia="仿宋_GB2312" w:cs="仿宋_GB2312"/>
          <w:color w:val="auto"/>
          <w:spacing w:val="6"/>
          <w:szCs w:val="30"/>
          <w:highlight w:val="none"/>
          <w:lang w:eastAsia="zh-CN" w:bidi="ar"/>
        </w:rPr>
        <w:t>，</w:t>
      </w:r>
      <w:r>
        <w:rPr>
          <w:rFonts w:hint="eastAsia" w:ascii="仿宋_GB2312" w:hAnsi="仿宋_GB2312" w:eastAsia="仿宋_GB2312" w:cs="仿宋_GB2312"/>
          <w:color w:val="auto"/>
          <w:spacing w:val="6"/>
          <w:szCs w:val="30"/>
          <w:highlight w:val="none"/>
          <w:lang w:eastAsia="zh-Hans" w:bidi="ar"/>
        </w:rPr>
        <w:t>这一周期既覆盖了</w:t>
      </w:r>
      <w:r>
        <w:rPr>
          <w:rFonts w:hint="eastAsia" w:ascii="仿宋_GB2312" w:hAnsi="仿宋_GB2312" w:eastAsia="仿宋_GB2312" w:cs="仿宋_GB2312"/>
          <w:color w:val="auto"/>
          <w:spacing w:val="6"/>
          <w:szCs w:val="30"/>
          <w:highlight w:val="none"/>
          <w:lang w:eastAsia="zh-CN" w:bidi="ar"/>
        </w:rPr>
        <w:t>“十四五”规划</w:t>
      </w:r>
      <w:r>
        <w:rPr>
          <w:rFonts w:hint="eastAsia" w:ascii="仿宋_GB2312" w:hAnsi="仿宋_GB2312" w:eastAsia="仿宋_GB2312" w:cs="仿宋_GB2312"/>
          <w:color w:val="auto"/>
          <w:spacing w:val="6"/>
          <w:szCs w:val="30"/>
          <w:highlight w:val="none"/>
          <w:lang w:eastAsia="zh-Hans" w:bidi="ar"/>
        </w:rPr>
        <w:t>期，</w:t>
      </w:r>
      <w:r>
        <w:rPr>
          <w:rFonts w:hint="eastAsia" w:ascii="仿宋_GB2312" w:hAnsi="仿宋_GB2312" w:eastAsia="仿宋_GB2312" w:cs="仿宋_GB2312"/>
          <w:color w:val="auto"/>
          <w:spacing w:val="6"/>
          <w:szCs w:val="30"/>
          <w:highlight w:val="none"/>
          <w:lang w:val="en-US" w:eastAsia="zh-CN" w:bidi="ar"/>
        </w:rPr>
        <w:t>也符合</w:t>
      </w:r>
      <w:r>
        <w:rPr>
          <w:rFonts w:hint="eastAsia" w:ascii="仿宋_GB2312" w:hAnsi="仿宋_GB2312" w:eastAsia="仿宋_GB2312" w:cs="仿宋_GB2312"/>
          <w:color w:val="auto"/>
          <w:spacing w:val="6"/>
          <w:szCs w:val="30"/>
          <w:highlight w:val="none"/>
          <w:lang w:eastAsia="zh-Hans" w:bidi="ar"/>
        </w:rPr>
        <w:t>本项政策的核心制度设计</w:t>
      </w:r>
      <w:r>
        <w:rPr>
          <w:rFonts w:hint="eastAsia" w:ascii="仿宋_GB2312" w:hAnsi="仿宋_GB2312" w:eastAsia="仿宋_GB2312" w:cs="仿宋_GB2312"/>
          <w:color w:val="auto"/>
          <w:spacing w:val="6"/>
          <w:szCs w:val="30"/>
          <w:highlight w:val="none"/>
          <w:lang w:eastAsia="zh-CN" w:bidi="ar"/>
        </w:rPr>
        <w:t>，</w:t>
      </w:r>
      <w:r>
        <w:rPr>
          <w:rFonts w:hint="eastAsia" w:ascii="仿宋_GB2312" w:hAnsi="仿宋_GB2312" w:eastAsia="仿宋_GB2312" w:cs="仿宋_GB2312"/>
          <w:color w:val="auto"/>
          <w:spacing w:val="6"/>
          <w:szCs w:val="30"/>
          <w:highlight w:val="none"/>
          <w:lang w:eastAsia="zh-Hans" w:bidi="ar"/>
        </w:rPr>
        <w:t>与政策本身设定的五年约束期相匹配，能够较为客观地衡量政策的实施绩效，反映资助资金从投入到产出、从承诺履行到效果显现的全过程，</w:t>
      </w:r>
      <w:r>
        <w:rPr>
          <w:rFonts w:hint="eastAsia" w:ascii="仿宋_GB2312" w:hAnsi="仿宋_GB2312" w:eastAsia="仿宋_GB2312" w:cs="仿宋_GB2312"/>
          <w:color w:val="auto"/>
          <w:spacing w:val="6"/>
          <w:szCs w:val="30"/>
          <w:highlight w:val="none"/>
          <w:lang w:val="en-US" w:eastAsia="zh-CN" w:bidi="ar"/>
        </w:rPr>
        <w:t>以便</w:t>
      </w:r>
      <w:r>
        <w:rPr>
          <w:rFonts w:hint="eastAsia" w:ascii="仿宋_GB2312" w:hAnsi="仿宋_GB2312" w:eastAsia="仿宋_GB2312" w:cs="仿宋_GB2312"/>
          <w:color w:val="auto"/>
          <w:spacing w:val="6"/>
          <w:szCs w:val="30"/>
          <w:highlight w:val="none"/>
          <w:lang w:eastAsia="zh-Hans" w:bidi="ar"/>
        </w:rPr>
        <w:t>更</w:t>
      </w:r>
      <w:r>
        <w:rPr>
          <w:rFonts w:hint="eastAsia" w:ascii="仿宋_GB2312" w:hAnsi="仿宋_GB2312" w:eastAsia="仿宋_GB2312" w:cs="仿宋_GB2312"/>
          <w:color w:val="auto"/>
          <w:spacing w:val="6"/>
          <w:szCs w:val="30"/>
          <w:highlight w:val="none"/>
          <w:lang w:eastAsia="zh-CN" w:bidi="ar"/>
        </w:rPr>
        <w:t>好地</w:t>
      </w:r>
      <w:r>
        <w:rPr>
          <w:rFonts w:hint="eastAsia" w:ascii="仿宋_GB2312" w:hAnsi="仿宋_GB2312" w:eastAsia="仿宋_GB2312" w:cs="仿宋_GB2312"/>
          <w:color w:val="auto"/>
          <w:spacing w:val="6"/>
          <w:szCs w:val="30"/>
          <w:highlight w:val="none"/>
          <w:lang w:eastAsia="zh-Hans" w:bidi="ar"/>
        </w:rPr>
        <w:t>为政策优化提供支撑</w:t>
      </w:r>
      <w:r>
        <w:rPr>
          <w:rFonts w:hint="eastAsia" w:ascii="仿宋_GB2312" w:hAnsi="仿宋_GB2312" w:eastAsia="仿宋_GB2312" w:cs="仿宋_GB2312"/>
          <w:color w:val="auto"/>
          <w:spacing w:val="6"/>
          <w:szCs w:val="30"/>
          <w:highlight w:val="none"/>
          <w:lang w:val="en-US" w:eastAsia="zh-CN" w:bidi="ar"/>
        </w:rPr>
        <w:t>与依据</w:t>
      </w:r>
      <w:r>
        <w:rPr>
          <w:rFonts w:hint="eastAsia" w:ascii="仿宋_GB2312" w:hAnsi="仿宋_GB2312" w:eastAsia="仿宋_GB2312" w:cs="仿宋_GB2312"/>
          <w:color w:val="auto"/>
          <w:spacing w:val="6"/>
          <w:szCs w:val="30"/>
          <w:highlight w:val="none"/>
          <w:lang w:eastAsia="zh-Hans" w:bidi="ar"/>
        </w:rPr>
        <w:t>。</w:t>
      </w:r>
    </w:p>
    <w:bookmarkEnd w:id="44"/>
    <w:p w14:paraId="4A8C7C01">
      <w:pPr>
        <w:numPr>
          <w:ilvl w:val="-1"/>
          <w:numId w:val="0"/>
        </w:numPr>
        <w:adjustRightInd/>
        <w:snapToGrid/>
        <w:spacing w:line="590" w:lineRule="exact"/>
        <w:ind w:firstLine="654" w:firstLineChars="200"/>
        <w:rPr>
          <w:rFonts w:hint="eastAsia" w:ascii="仿宋_GB2312" w:hAnsi="仿宋_GB2312" w:eastAsia="仿宋_GB2312" w:cs="仿宋_GB2312"/>
          <w:color w:val="auto"/>
          <w:spacing w:val="6"/>
          <w:kern w:val="30"/>
          <w:sz w:val="30"/>
          <w:szCs w:val="30"/>
          <w:highlight w:val="none"/>
          <w:lang w:eastAsia="zh-Hans" w:bidi="ar"/>
        </w:rPr>
      </w:pPr>
      <w:r>
        <w:rPr>
          <w:rFonts w:hint="eastAsia" w:ascii="仿宋_GB2312" w:hAnsi="仿宋_GB2312" w:eastAsia="仿宋_GB2312" w:cs="仿宋_GB2312"/>
          <w:color w:val="auto"/>
          <w:spacing w:val="6"/>
          <w:kern w:val="30"/>
          <w:sz w:val="30"/>
          <w:szCs w:val="30"/>
          <w:highlight w:val="none"/>
          <w:lang w:val="en-US" w:eastAsia="zh-Hans" w:bidi="ar"/>
        </w:rPr>
        <w:t>2.项目</w:t>
      </w:r>
      <w:r>
        <w:rPr>
          <w:rFonts w:hint="eastAsia" w:ascii="仿宋_GB2312" w:hAnsi="仿宋_GB2312" w:eastAsia="仿宋_GB2312" w:cs="仿宋_GB2312"/>
          <w:color w:val="auto"/>
          <w:spacing w:val="6"/>
          <w:kern w:val="30"/>
          <w:sz w:val="30"/>
          <w:szCs w:val="30"/>
          <w:highlight w:val="none"/>
          <w:lang w:eastAsia="zh-Hans" w:bidi="ar"/>
        </w:rPr>
        <w:t>主要内容</w:t>
      </w:r>
    </w:p>
    <w:p w14:paraId="0A7F6029">
      <w:pPr>
        <w:numPr>
          <w:ilvl w:val="0"/>
          <w:numId w:val="0"/>
        </w:numPr>
        <w:adjustRightInd w:val="0"/>
        <w:snapToGrid w:val="0"/>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CN" w:bidi="ar"/>
        </w:rPr>
        <w:t>《资助办法》</w:t>
      </w:r>
      <w:r>
        <w:rPr>
          <w:rFonts w:hint="eastAsia" w:ascii="仿宋_GB2312" w:hAnsi="仿宋_GB2312" w:eastAsia="仿宋_GB2312" w:cs="仿宋_GB2312"/>
          <w:color w:val="auto"/>
          <w:spacing w:val="6"/>
          <w:szCs w:val="30"/>
          <w:highlight w:val="none"/>
          <w:lang w:eastAsia="zh-Hans" w:bidi="ar"/>
        </w:rPr>
        <w:t>由自治区民政厅、财政厅于2013年5月13日联合印发</w:t>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"http://www.shache.gov.cn/scx/c115165/202310/5c4ffa907ffd4e1da7725d9fd1b4734a.shtml"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"https://www.xjyl.gov.cn/xjylz/c112512/202309/e003f42b4c2841718278b72f82441195.shtml"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t>。该办法依据自治区人民政府《关于加快推进社会养老服务体系建设的意见》（新政发〔2012〕87号）制定，旨在完善民办养老机构扶持政策，规范资助民办养老机构申报、审批行为，进一步促进民办养老机构健康发展，有效提高服务和管理水平。</w:t>
      </w:r>
    </w:p>
    <w:p w14:paraId="7C45D320">
      <w:pPr>
        <w:numPr>
          <w:ilvl w:val="0"/>
          <w:numId w:val="0"/>
        </w:numPr>
        <w:adjustRightInd w:val="0"/>
        <w:snapToGrid w:val="0"/>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Hans" w:bidi="ar"/>
        </w:rPr>
        <w:t>（</w:t>
      </w:r>
      <w:r>
        <w:rPr>
          <w:rFonts w:hint="eastAsia" w:ascii="仿宋_GB2312" w:hAnsi="仿宋_GB2312" w:eastAsia="仿宋_GB2312" w:cs="仿宋_GB2312"/>
          <w:color w:val="auto"/>
          <w:spacing w:val="6"/>
          <w:szCs w:val="30"/>
          <w:highlight w:val="none"/>
          <w:lang w:val="en-US" w:eastAsia="zh-CN" w:bidi="ar"/>
        </w:rPr>
        <w:t>1</w:t>
      </w:r>
      <w:r>
        <w:rPr>
          <w:rFonts w:hint="eastAsia" w:ascii="仿宋_GB2312" w:hAnsi="仿宋_GB2312" w:eastAsia="仿宋_GB2312" w:cs="仿宋_GB2312"/>
          <w:color w:val="auto"/>
          <w:spacing w:val="6"/>
          <w:szCs w:val="30"/>
          <w:highlight w:val="none"/>
          <w:lang w:eastAsia="zh-Hans" w:bidi="ar"/>
        </w:rPr>
        <w:t>）资助对象</w:t>
      </w:r>
    </w:p>
    <w:p w14:paraId="58B2C73B">
      <w:pPr>
        <w:numPr>
          <w:ilvl w:val="0"/>
          <w:numId w:val="0"/>
        </w:numPr>
        <w:adjustRightInd w:val="0"/>
        <w:snapToGrid w:val="0"/>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Hans" w:bidi="ar"/>
        </w:rPr>
        <w:t>资助对象为在自治区行政区域内，经民政部门依法批准设置，符合民政部颁发的《老年人社会福利机构基本规范》（MZ008-2001），取得《社会福利机构设置批准证书》和《民办非企业单位登记证书》，为老年人提供住宿照料、康复、护理等服务的非营利性民办养老机构；以及社会力量采取承包、租赁、合营等方式与政府合作经营“公建民营”类型，取得《事业单位法人证书》的养老机构</w:t>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"http://www.shache.gov.cn/scx/c115165/202310/5c4ffa907ffd4e1da7725d9fd1b4734a.shtml"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"https://www.xjyl.gov.cn/xjylz/c112512/202309/e003f42b4c2841718278b72f82441195.shtml"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t>。在工商部门注册的营利性养老机构不纳入资助范围</w:t>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"http://www.shache.gov.cn/scx/c115165/202310/5c4ffa907ffd4e1da7725d9fd1b4734a.shtml"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"https://www.xjyl.gov.cn/xjylz/c116237/202305/61c32de4e47342cbb2f8672b704cae04.shtml"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t>。</w:t>
      </w:r>
    </w:p>
    <w:p w14:paraId="28C7107E">
      <w:pPr>
        <w:numPr>
          <w:ilvl w:val="0"/>
          <w:numId w:val="0"/>
        </w:numPr>
        <w:adjustRightInd w:val="0"/>
        <w:snapToGrid w:val="0"/>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Hans" w:bidi="ar"/>
        </w:rPr>
        <w:t>（</w:t>
      </w:r>
      <w:r>
        <w:rPr>
          <w:rFonts w:hint="eastAsia" w:ascii="仿宋_GB2312" w:hAnsi="仿宋_GB2312" w:eastAsia="仿宋_GB2312" w:cs="仿宋_GB2312"/>
          <w:color w:val="auto"/>
          <w:spacing w:val="6"/>
          <w:szCs w:val="30"/>
          <w:highlight w:val="none"/>
          <w:lang w:val="en-US" w:eastAsia="zh-CN" w:bidi="ar"/>
        </w:rPr>
        <w:t>2</w:t>
      </w:r>
      <w:r>
        <w:rPr>
          <w:rFonts w:hint="eastAsia" w:ascii="仿宋_GB2312" w:hAnsi="仿宋_GB2312" w:eastAsia="仿宋_GB2312" w:cs="仿宋_GB2312"/>
          <w:color w:val="auto"/>
          <w:spacing w:val="6"/>
          <w:szCs w:val="30"/>
          <w:highlight w:val="none"/>
          <w:lang w:eastAsia="zh-Hans" w:bidi="ar"/>
        </w:rPr>
        <w:t>）资助条件</w:t>
      </w:r>
    </w:p>
    <w:p w14:paraId="7F83B19D">
      <w:pPr>
        <w:numPr>
          <w:ilvl w:val="0"/>
          <w:numId w:val="0"/>
        </w:numPr>
        <w:adjustRightInd w:val="0"/>
        <w:snapToGrid w:val="0"/>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Hans" w:bidi="ar"/>
        </w:rPr>
        <w:t>民办养老机构须同时符合以下条件方可申请政府资助：床位在30张以上（含30张），取得相应登记证书</w:t>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"http://www.shache.gov.cn/scx/c115165/202310/5c4ffa907ffd4e1da7725d9fd1b4734a.shtml"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"https://www.xjyl.gov.cn/xjylz/c112512/202309/e003f42b4c2841718278b72f82441195.shtml"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t>；机构建设和经营管理须符合《老年人建筑设计规范》和《老年人社会福利机构基本规范》</w:t>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"http://www.shache.gov.cn/scx/c115165/202310/5c4ffa907ffd4e1da7725d9fd1b4734a.shtml"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"https://www.xjyl.gov.cn/xjylz/c112512/202309/e003f42b4c2841718278b72f82441195.shtml"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t>；开业满6个月以上且继续经营</w:t>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"http://www.shache.gov.cn/scx/c115165/202310/5c4ffa907ffd4e1da7725d9fd1b4734a.shtml"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"https://www.xjyl.gov.cn/xjylz/c112512/202309/e003f42b4c2841718278b72f82441195.shtml"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t>；入住率达到50%以上</w:t>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"http://www.shache.gov.cn/scx/c115165/202310/5c4ffa907ffd4e1da7725d9fd1b4734a.shtml"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"https://www.xjyl.gov.cn/xjylz/c112512/202309/e003f42b4c2841718278b72f82441195.shtml"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t>；入住老人及亲属满意率达80%以上</w:t>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"http://www.shache.gov.cn/scx/c115165/202310/5c4ffa907ffd4e1da7725d9fd1b4734a.shtml"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"https://www.xjyl.gov.cn/xjylz/c112512/202309/e003f42b4c2841718278b72f82441195.shtml"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t>；各项管理制度健全，管理服务规范，账目清晰</w:t>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"http://www.shache.gov.cn/scx/c115165/202310/5c4ffa907ffd4e1da7725d9fd1b4734a.shtml"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"https://www.xjyl.gov.cn/xjylz/c112512/202309/e003f42b4c2841718278b72f82441195.shtml"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t>；通过民政部门年度考核和登记机关年检，达到合格或基本合格，申请资助年度内无火灾、食物中毒、人员走失、经司法程序认定机构应承担责任的人身伤害等严重责任事故或3次以上重大服务纠纷</w:t>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"http://www.shache.gov.cn/scx/c115165/202310/5c4ffa907ffd4e1da7725d9fd1b4734a.shtml"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"https://www.xjyl.gov.cn/xjylz/c112512/202309/e003f42b4c2841718278b72f82441195.shtml"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t>；能够按照民政部门要求开展工作，主动接受民政部门管理</w:t>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"http://www.shache.gov.cn/scx/c115165/202310/5c4ffa907ffd4e1da7725d9fd1b4734a.shtml"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"https://www.xjyl.gov.cn/xjylz/c112512/202309/e003f42b4c2841718278b72f82441195.shtml"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t>。</w:t>
      </w:r>
    </w:p>
    <w:p w14:paraId="51928490">
      <w:pPr>
        <w:numPr>
          <w:ilvl w:val="0"/>
          <w:numId w:val="0"/>
        </w:numPr>
        <w:adjustRightInd w:val="0"/>
        <w:snapToGrid w:val="0"/>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Hans" w:bidi="ar"/>
        </w:rPr>
        <w:t>办法同时明确了七类不予资助的情形，包括未经批准擅自变更机构名称、地址或负责人</w:t>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"http://www.shache.gov.cn/scx/c115165/202310/5c4ffa907ffd4e1da7725d9fd1b4734a.shtml"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"https://www.xjyl.gov.cn/xjylz/c112512/202309/e003f42b4c2841718278b72f82441195.shtml"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t>；未经批准擅自合并或改为他用</w:t>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"http://www.shache.gov.cn/scx/c115165/202310/5c4ffa907ffd4e1da7725d9fd1b4734a.shtml"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"https://www.xjyl.gov.cn/xjylz/c112512/202309/e003f42b4c2841718278b72f82441195.shtml"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t>；年检不合格或逾期不申请办理年检手续</w:t>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"http://www.shache.gov.cn/scx/c115165/202310/5c4ffa907ffd4e1da7725d9fd1b4734a.shtml"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"https://www.xjyl.gov.cn/xjylz/c112512/202309/e003f42b4c2841718278b72f82441195.shtml"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t>；入住率达不到50%以上</w:t>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"http://www.shache.gov.cn/scx/c115165/202310/5c4ffa907ffd4e1da7725d9fd1b4734a.shtml"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"https://www.xjyl.gov.cn/xjylz/c112512/202309/e003f42b4c2841718278b72f82441195.shtml"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t>；财务账目混乱，不按规定要求报送报表或报表弄虚作假</w:t>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"http://www.shache.gov.cn/scx/c115165/202310/5c4ffa907ffd4e1da7725d9fd1b4734a.shtml"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"https://www.xjyl.gov.cn/xjylz/c112512/202309/e003f42b4c2841718278b72f82441195.shtml"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t>；管理服务质量差，入住老人及亲属满意率达不到80%，或一年内有效投诉3次以上</w:t>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"http://www.shache.gov.cn/scx/c115165/202310/5c4ffa907ffd4e1da7725d9fd1b4734a.shtml"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"https://www.xjyl.gov.cn/xjylz/c112512/202309/e003f42b4c2841718278b72f82441195.shtml"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t>；违反自治区养老机构基本规范、养老服务行业规定和职业道德，经批评教育不改</w:t>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"http://www.shache.gov.cn/scx/c115165/202310/5c4ffa907ffd4e1da7725d9fd1b4734a.shtml"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"https://www.xjyl.gov.cn/xjylz/c112512/202309/e003f42b4c2841718278b72f82441195.shtml"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t>。</w:t>
      </w:r>
    </w:p>
    <w:p w14:paraId="443E80E1">
      <w:pPr>
        <w:numPr>
          <w:ilvl w:val="0"/>
          <w:numId w:val="0"/>
        </w:numPr>
        <w:adjustRightInd w:val="0"/>
        <w:snapToGrid w:val="0"/>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Hans" w:bidi="ar"/>
        </w:rPr>
        <w:t>（</w:t>
      </w:r>
      <w:r>
        <w:rPr>
          <w:rFonts w:hint="eastAsia" w:ascii="仿宋_GB2312" w:hAnsi="仿宋_GB2312" w:eastAsia="仿宋_GB2312" w:cs="仿宋_GB2312"/>
          <w:color w:val="auto"/>
          <w:spacing w:val="6"/>
          <w:szCs w:val="30"/>
          <w:highlight w:val="none"/>
          <w:lang w:val="en-US" w:eastAsia="zh-CN" w:bidi="ar"/>
        </w:rPr>
        <w:t>3</w:t>
      </w:r>
      <w:r>
        <w:rPr>
          <w:rFonts w:hint="eastAsia" w:ascii="仿宋_GB2312" w:hAnsi="仿宋_GB2312" w:eastAsia="仿宋_GB2312" w:cs="仿宋_GB2312"/>
          <w:color w:val="auto"/>
          <w:spacing w:val="6"/>
          <w:szCs w:val="30"/>
          <w:highlight w:val="none"/>
          <w:lang w:eastAsia="zh-Hans" w:bidi="ar"/>
        </w:rPr>
        <w:t>）资助项目与标准</w:t>
      </w:r>
    </w:p>
    <w:p w14:paraId="244504B8">
      <w:pPr>
        <w:numPr>
          <w:ilvl w:val="0"/>
          <w:numId w:val="0"/>
        </w:numPr>
        <w:adjustRightInd w:val="0"/>
        <w:snapToGrid w:val="0"/>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Hans" w:bidi="ar"/>
        </w:rPr>
        <w:t>资助项目分为运营补贴和一次性开办补助两类</w:t>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"https://www.xjyl.gov.cn/xjylz/c112512/202309/e003f42b4c2841718278b72f82441195.shtml"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t>。</w:t>
      </w:r>
    </w:p>
    <w:p w14:paraId="4012A7DD">
      <w:pPr>
        <w:numPr>
          <w:ilvl w:val="0"/>
          <w:numId w:val="0"/>
        </w:numPr>
        <w:adjustRightInd w:val="0"/>
        <w:snapToGrid w:val="0"/>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Hans" w:bidi="ar"/>
        </w:rPr>
        <w:t>运营补贴方面，根据养老机构在院住满一个月（含）以上的老年人实际占用床位数，按照每人每月100元的标准给予运营补贴，由自治区财政和当地财政部门各承担50%</w:t>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"http://www.shache.gov.cn/scx/c115165/202310/5c4ffa907ffd4e1da7725d9fd1b4734a.shtml"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"https://www.xjyl.gov.cn/xjylz/c112512/202309/e003f42b4c2841718278b72f82441195.shtml"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t>。</w:t>
      </w:r>
    </w:p>
    <w:p w14:paraId="67855CCC">
      <w:pPr>
        <w:numPr>
          <w:ilvl w:val="0"/>
          <w:numId w:val="0"/>
        </w:numPr>
        <w:adjustRightInd w:val="0"/>
        <w:snapToGrid w:val="0"/>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Hans" w:bidi="ar"/>
        </w:rPr>
        <w:t>一次性开办补助方面，2012年10月12日后审批设立、运营6个月以上、入住率达到50%的养老机构，核定床位100张以下的，由当地财政给予一次性开办补助，具体标准由各地自行确定</w:t>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"http://www.shache.gov.cn/scx/c115165/202310/5c4ffa907ffd4e1da7725d9fd1b4734a.shtml"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"https://www.xjyl.gov.cn/xjylz/c112512/202309/e003f42b4c2841718278b72f82441195.shtml"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t>；核定床位100张（含）以上的，由自治区财政给予每张床位5</w:t>
      </w:r>
      <w:r>
        <w:rPr>
          <w:rFonts w:hint="eastAsia" w:ascii="仿宋_GB2312" w:hAnsi="仿宋_GB2312" w:eastAsia="仿宋_GB2312" w:cs="仿宋_GB2312"/>
          <w:color w:val="auto"/>
          <w:spacing w:val="6"/>
          <w:szCs w:val="30"/>
          <w:highlight w:val="none"/>
          <w:lang w:val="en-US" w:eastAsia="zh-CN" w:bidi="ar"/>
        </w:rPr>
        <w:t>,</w:t>
      </w:r>
      <w:r>
        <w:rPr>
          <w:rFonts w:hint="eastAsia" w:ascii="仿宋_GB2312" w:hAnsi="仿宋_GB2312" w:eastAsia="仿宋_GB2312" w:cs="仿宋_GB2312"/>
          <w:color w:val="auto"/>
          <w:spacing w:val="6"/>
          <w:szCs w:val="30"/>
          <w:highlight w:val="none"/>
          <w:lang w:eastAsia="zh-Hans" w:bidi="ar"/>
        </w:rPr>
        <w:t>000元的一次性开办补助</w:t>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"http://www.shache.gov.cn/scx/c115165/202310/5c4ffa907ffd4e1da7725d9fd1b4734a.shtml"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"https://www.xjyl.gov.cn/xjylz/c112512/202309/e003f42b4c2841718278b72f82441195.shtml"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t>。自建养老机构按照50%、30%、20%的比例分3年拨付</w:t>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"http://www.shache.gov.cn/scx/c115165/202310/5c4ffa907ffd4e1da7725d9fd1b4734a.shtml"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"https://www.xjyl.gov.cn/xjylz/c112512/202309/e003f42b4c2841718278b72f82441195.shtml"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t>；租赁房屋且租期在5年以上的养老机构，按照每年20%的比例分5年拨付</w:t>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"http://www.shache.gov.cn/scx/c115165/202310/5c4ffa907ffd4e1da7725d9fd1b4734a.shtml"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fldChar w:fldCharType="begin"/>
      </w:r>
      <w:r>
        <w:rPr>
          <w:rFonts w:hint="eastAsia" w:ascii="仿宋_GB2312" w:hAnsi="仿宋_GB2312" w:eastAsia="仿宋_GB2312" w:cs="仿宋_GB2312"/>
          <w:color w:val="auto"/>
          <w:spacing w:val="6"/>
          <w:szCs w:val="30"/>
          <w:highlight w:val="none"/>
          <w:lang w:eastAsia="zh-Hans" w:bidi="ar"/>
        </w:rPr>
        <w:instrText xml:space="preserve"> HYPERLINK "https://www.xjyl.gov.cn/xjylz/c112512/202309/e003f42b4c2841718278b72f82441195.shtml" \t "https://chat.deepseek.com/a/chat/s/_blank" </w:instrText>
      </w:r>
      <w:r>
        <w:rPr>
          <w:rFonts w:hint="eastAsia" w:ascii="仿宋_GB2312" w:hAnsi="仿宋_GB2312" w:eastAsia="仿宋_GB2312" w:cs="仿宋_GB2312"/>
          <w:color w:val="auto"/>
          <w:spacing w:val="6"/>
          <w:szCs w:val="30"/>
          <w:highlight w:val="none"/>
          <w:lang w:eastAsia="zh-Hans" w:bidi="ar"/>
        </w:rPr>
        <w:fldChar w:fldCharType="separate"/>
      </w:r>
      <w:r>
        <w:rPr>
          <w:rFonts w:hint="eastAsia" w:ascii="仿宋_GB2312" w:hAnsi="仿宋_GB2312" w:eastAsia="仿宋_GB2312" w:cs="仿宋_GB2312"/>
          <w:color w:val="auto"/>
          <w:spacing w:val="6"/>
          <w:szCs w:val="30"/>
          <w:highlight w:val="none"/>
          <w:lang w:eastAsia="zh-Hans" w:bidi="ar"/>
        </w:rPr>
        <w:fldChar w:fldCharType="end"/>
      </w:r>
      <w:r>
        <w:rPr>
          <w:rFonts w:hint="eastAsia" w:ascii="仿宋_GB2312" w:hAnsi="仿宋_GB2312" w:eastAsia="仿宋_GB2312" w:cs="仿宋_GB2312"/>
          <w:color w:val="auto"/>
          <w:spacing w:val="6"/>
          <w:szCs w:val="30"/>
          <w:highlight w:val="none"/>
          <w:lang w:eastAsia="zh-Hans" w:bidi="ar"/>
        </w:rPr>
        <w:t>。</w:t>
      </w:r>
    </w:p>
    <w:p w14:paraId="22688577">
      <w:pPr>
        <w:numPr>
          <w:ilvl w:val="0"/>
          <w:numId w:val="0"/>
        </w:numPr>
        <w:adjustRightInd w:val="0"/>
        <w:snapToGrid w:val="0"/>
        <w:spacing w:line="590" w:lineRule="exact"/>
        <w:ind w:firstLine="654" w:firstLineChars="200"/>
        <w:rPr>
          <w:rFonts w:hint="eastAsia" w:ascii="仿宋_GB2312" w:hAnsi="仿宋_GB2312" w:eastAsia="仿宋_GB2312" w:cs="仿宋_GB2312"/>
          <w:color w:val="auto"/>
          <w:spacing w:val="6"/>
          <w:szCs w:val="30"/>
          <w:highlight w:val="none"/>
          <w:lang w:val="en-US" w:eastAsia="zh-CN" w:bidi="ar"/>
        </w:rPr>
      </w:pPr>
      <w:r>
        <w:rPr>
          <w:rFonts w:hint="eastAsia" w:ascii="仿宋_GB2312" w:hAnsi="仿宋_GB2312" w:eastAsia="仿宋_GB2312" w:cs="仿宋_GB2312"/>
          <w:color w:val="auto"/>
          <w:spacing w:val="6"/>
          <w:szCs w:val="30"/>
          <w:highlight w:val="none"/>
          <w:lang w:eastAsia="zh-Hans" w:bidi="ar"/>
        </w:rPr>
        <w:t>（</w:t>
      </w:r>
      <w:r>
        <w:rPr>
          <w:rFonts w:hint="eastAsia" w:ascii="仿宋_GB2312" w:hAnsi="仿宋_GB2312" w:eastAsia="仿宋_GB2312" w:cs="仿宋_GB2312"/>
          <w:color w:val="auto"/>
          <w:spacing w:val="6"/>
          <w:szCs w:val="30"/>
          <w:highlight w:val="none"/>
          <w:lang w:val="en-US" w:eastAsia="zh-CN" w:bidi="ar"/>
        </w:rPr>
        <w:t>4</w:t>
      </w:r>
      <w:r>
        <w:rPr>
          <w:rFonts w:hint="eastAsia" w:ascii="仿宋_GB2312" w:hAnsi="仿宋_GB2312" w:eastAsia="仿宋_GB2312" w:cs="仿宋_GB2312"/>
          <w:color w:val="auto"/>
          <w:spacing w:val="6"/>
          <w:szCs w:val="30"/>
          <w:highlight w:val="none"/>
          <w:lang w:eastAsia="zh-Hans" w:bidi="ar"/>
        </w:rPr>
        <w:t>）</w:t>
      </w:r>
      <w:r>
        <w:rPr>
          <w:rFonts w:hint="eastAsia" w:ascii="仿宋_GB2312" w:hAnsi="仿宋_GB2312" w:eastAsia="仿宋_GB2312" w:cs="仿宋_GB2312"/>
          <w:color w:val="auto"/>
          <w:spacing w:val="6"/>
          <w:szCs w:val="30"/>
          <w:highlight w:val="none"/>
          <w:lang w:val="en-US" w:eastAsia="zh-CN" w:bidi="ar"/>
        </w:rPr>
        <w:t>补贴受益情况</w:t>
      </w:r>
    </w:p>
    <w:p w14:paraId="116DEC74">
      <w:pPr>
        <w:numPr>
          <w:ilvl w:val="0"/>
          <w:numId w:val="0"/>
        </w:numPr>
        <w:adjustRightInd w:val="0"/>
        <w:snapToGrid w:val="0"/>
        <w:spacing w:line="590" w:lineRule="exact"/>
        <w:ind w:firstLine="654" w:firstLineChars="200"/>
        <w:rPr>
          <w:rFonts w:hint="eastAsia" w:ascii="仿宋_GB2312" w:hAnsi="仿宋_GB2312" w:eastAsia="仿宋_GB2312" w:cs="仿宋_GB2312"/>
          <w:i w:val="0"/>
          <w:iCs w:val="0"/>
          <w:color w:val="auto"/>
          <w:spacing w:val="6"/>
          <w:kern w:val="30"/>
          <w:sz w:val="30"/>
          <w:szCs w:val="30"/>
          <w:highlight w:val="none"/>
          <w:u w:val="none"/>
          <w:lang w:val="en-US" w:eastAsia="zh-Hans" w:bidi="ar"/>
        </w:rPr>
      </w:pPr>
      <w:r>
        <w:rPr>
          <w:rFonts w:hint="eastAsia" w:ascii="仿宋_GB2312" w:hAnsi="仿宋_GB2312" w:eastAsia="仿宋_GB2312" w:cs="仿宋_GB2312"/>
          <w:color w:val="auto"/>
          <w:spacing w:val="6"/>
          <w:szCs w:val="30"/>
          <w:highlight w:val="none"/>
          <w:lang w:val="en-US" w:eastAsia="zh-Hans" w:bidi="ar"/>
        </w:rPr>
        <w:t>2021—2025年，运营补贴累计惠及养老机构44</w:t>
      </w:r>
      <w:r>
        <w:rPr>
          <w:rFonts w:hint="eastAsia" w:ascii="仿宋_GB2312" w:hAnsi="仿宋_GB2312" w:eastAsia="仿宋_GB2312" w:cs="仿宋_GB2312"/>
          <w:color w:val="auto"/>
          <w:spacing w:val="6"/>
          <w:szCs w:val="30"/>
          <w:highlight w:val="none"/>
          <w:lang w:val="en-US" w:eastAsia="zh-CN" w:bidi="ar"/>
        </w:rPr>
        <w:t>3</w:t>
      </w:r>
      <w:r>
        <w:rPr>
          <w:rFonts w:hint="eastAsia" w:ascii="仿宋_GB2312" w:hAnsi="仿宋_GB2312" w:eastAsia="仿宋_GB2312" w:cs="仿宋_GB2312"/>
          <w:color w:val="auto"/>
          <w:spacing w:val="6"/>
          <w:szCs w:val="30"/>
          <w:highlight w:val="none"/>
          <w:lang w:val="en-US" w:eastAsia="zh-Hans" w:bidi="ar"/>
        </w:rPr>
        <w:t>家次，年均约89家；一次性开办补贴惠及</w:t>
      </w:r>
      <w:r>
        <w:rPr>
          <w:rFonts w:hint="eastAsia" w:ascii="仿宋_GB2312" w:hAnsi="仿宋_GB2312" w:eastAsia="仿宋_GB2312" w:cs="仿宋_GB2312"/>
          <w:color w:val="auto"/>
          <w:spacing w:val="6"/>
          <w:szCs w:val="30"/>
          <w:highlight w:val="none"/>
          <w:lang w:val="en-US" w:eastAsia="zh-CN" w:bidi="ar"/>
        </w:rPr>
        <w:t>养老</w:t>
      </w:r>
      <w:r>
        <w:rPr>
          <w:rFonts w:hint="eastAsia" w:ascii="仿宋_GB2312" w:hAnsi="仿宋_GB2312" w:eastAsia="仿宋_GB2312" w:cs="仿宋_GB2312"/>
          <w:color w:val="auto"/>
          <w:spacing w:val="6"/>
          <w:szCs w:val="30"/>
          <w:highlight w:val="none"/>
          <w:lang w:val="en-US" w:eastAsia="zh-Hans" w:bidi="ar"/>
        </w:rPr>
        <w:t>机构</w:t>
      </w:r>
      <w:r>
        <w:rPr>
          <w:rFonts w:hint="eastAsia" w:ascii="仿宋_GB2312" w:hAnsi="仿宋_GB2312" w:eastAsia="仿宋_GB2312" w:cs="仿宋_GB2312"/>
          <w:i w:val="0"/>
          <w:iCs w:val="0"/>
          <w:color w:val="auto"/>
          <w:spacing w:val="6"/>
          <w:kern w:val="30"/>
          <w:sz w:val="30"/>
          <w:szCs w:val="30"/>
          <w:highlight w:val="none"/>
          <w:u w:val="none"/>
          <w:lang w:val="en-US" w:eastAsia="zh-Hans" w:bidi="ar"/>
        </w:rPr>
        <w:t>45家以上</w:t>
      </w:r>
      <w:r>
        <w:rPr>
          <w:rStyle w:val="25"/>
          <w:rFonts w:hint="eastAsia" w:ascii="仿宋_GB2312" w:hAnsi="仿宋_GB2312" w:eastAsia="仿宋_GB2312" w:cs="仿宋_GB2312"/>
          <w:i w:val="0"/>
          <w:iCs w:val="0"/>
          <w:color w:val="auto"/>
          <w:spacing w:val="6"/>
          <w:kern w:val="30"/>
          <w:sz w:val="30"/>
          <w:szCs w:val="30"/>
          <w:highlight w:val="none"/>
          <w:u w:val="none"/>
          <w:lang w:val="en-US" w:eastAsia="zh-Hans" w:bidi="ar"/>
        </w:rPr>
        <w:footnoteReference w:id="0"/>
      </w:r>
      <w:r>
        <w:rPr>
          <w:rFonts w:hint="eastAsia" w:ascii="仿宋_GB2312" w:hAnsi="仿宋_GB2312" w:eastAsia="仿宋_GB2312" w:cs="仿宋_GB2312"/>
          <w:i w:val="0"/>
          <w:iCs w:val="0"/>
          <w:color w:val="auto"/>
          <w:spacing w:val="6"/>
          <w:kern w:val="30"/>
          <w:sz w:val="30"/>
          <w:szCs w:val="30"/>
          <w:highlight w:val="none"/>
          <w:u w:val="none"/>
          <w:lang w:val="en-US" w:eastAsia="zh-Hans" w:bidi="ar"/>
        </w:rPr>
        <w:t>。</w:t>
      </w:r>
    </w:p>
    <w:p w14:paraId="723025DD">
      <w:pPr>
        <w:numPr>
          <w:ilvl w:val="-1"/>
          <w:numId w:val="0"/>
        </w:numPr>
        <w:spacing w:line="590" w:lineRule="exact"/>
        <w:ind w:firstLine="654" w:firstLineChars="200"/>
        <w:rPr>
          <w:rFonts w:hint="eastAsia" w:ascii="仿宋_GB2312" w:hAnsi="仿宋_GB2312" w:eastAsia="仿宋_GB2312" w:cs="仿宋_GB2312"/>
          <w:color w:val="auto"/>
          <w:spacing w:val="6"/>
          <w:kern w:val="30"/>
          <w:sz w:val="30"/>
          <w:szCs w:val="30"/>
          <w:highlight w:val="none"/>
          <w:lang w:eastAsia="zh-Hans" w:bidi="ar"/>
        </w:rPr>
      </w:pPr>
      <w:r>
        <w:rPr>
          <w:rFonts w:hint="eastAsia" w:ascii="仿宋_GB2312" w:hAnsi="仿宋_GB2312" w:eastAsia="仿宋_GB2312" w:cs="仿宋_GB2312"/>
          <w:color w:val="auto"/>
          <w:spacing w:val="6"/>
          <w:kern w:val="30"/>
          <w:sz w:val="30"/>
          <w:szCs w:val="30"/>
          <w:highlight w:val="none"/>
          <w:lang w:val="en-US" w:eastAsia="zh-Hans" w:bidi="ar"/>
        </w:rPr>
        <w:t>3.</w:t>
      </w:r>
      <w:r>
        <w:rPr>
          <w:rFonts w:hint="eastAsia" w:ascii="仿宋_GB2312" w:hAnsi="仿宋_GB2312" w:eastAsia="仿宋_GB2312" w:cs="仿宋_GB2312"/>
          <w:color w:val="auto"/>
          <w:spacing w:val="6"/>
          <w:kern w:val="30"/>
          <w:sz w:val="30"/>
          <w:szCs w:val="30"/>
          <w:highlight w:val="none"/>
          <w:lang w:eastAsia="zh-Hans" w:bidi="ar"/>
        </w:rPr>
        <w:t>资金投入和使用情况</w:t>
      </w:r>
    </w:p>
    <w:p w14:paraId="3714D451">
      <w:pPr>
        <w:numPr>
          <w:ilvl w:val="-1"/>
          <w:numId w:val="0"/>
        </w:numPr>
        <w:spacing w:line="590" w:lineRule="exact"/>
        <w:ind w:firstLine="654" w:firstLineChars="200"/>
        <w:rPr>
          <w:rFonts w:hint="eastAsia" w:ascii="仿宋_GB2312" w:hAnsi="仿宋_GB2312" w:eastAsia="仿宋_GB2312" w:cs="仿宋_GB2312"/>
          <w:color w:val="auto"/>
          <w:spacing w:val="6"/>
          <w:kern w:val="30"/>
          <w:szCs w:val="30"/>
          <w:highlight w:val="none"/>
          <w:lang w:eastAsia="zh-Hans" w:bidi="ar"/>
        </w:rPr>
      </w:pPr>
      <w:r>
        <w:rPr>
          <w:rFonts w:hint="eastAsia" w:ascii="仿宋_GB2312" w:hAnsi="仿宋_GB2312" w:eastAsia="仿宋_GB2312" w:cs="仿宋_GB2312"/>
          <w:color w:val="auto"/>
          <w:spacing w:val="6"/>
          <w:kern w:val="30"/>
          <w:szCs w:val="30"/>
          <w:highlight w:val="none"/>
          <w:lang w:eastAsia="zh-Hans" w:bidi="ar"/>
        </w:rPr>
        <w:t>（1）预算批复</w:t>
      </w:r>
    </w:p>
    <w:p w14:paraId="4B849C48">
      <w:pPr>
        <w:numPr>
          <w:ilvl w:val="-1"/>
          <w:numId w:val="0"/>
        </w:numPr>
        <w:spacing w:line="590" w:lineRule="exact"/>
        <w:ind w:left="0" w:firstLine="654" w:firstLineChars="200"/>
        <w:rPr>
          <w:rFonts w:hint="eastAsia" w:ascii="仿宋_GB2312" w:hAnsi="仿宋_GB2312" w:eastAsia="仿宋_GB2312" w:cs="仿宋_GB2312"/>
          <w:color w:val="auto"/>
          <w:spacing w:val="6"/>
          <w:kern w:val="30"/>
          <w:szCs w:val="30"/>
          <w:highlight w:val="none"/>
          <w:lang w:val="en-US" w:eastAsia="zh-Hans" w:bidi="ar"/>
        </w:rPr>
      </w:pPr>
      <w:bookmarkStart w:id="45" w:name="OLE_LINK8"/>
      <w:r>
        <w:rPr>
          <w:rFonts w:hint="eastAsia" w:ascii="仿宋_GB2312" w:hAnsi="仿宋_GB2312" w:eastAsia="仿宋_GB2312" w:cs="仿宋_GB2312"/>
          <w:color w:val="auto"/>
          <w:spacing w:val="6"/>
          <w:kern w:val="30"/>
          <w:szCs w:val="30"/>
          <w:highlight w:val="none"/>
          <w:lang w:val="en-US" w:eastAsia="zh-Hans" w:bidi="ar"/>
        </w:rPr>
        <w:t>根据</w:t>
      </w:r>
      <w:r>
        <w:rPr>
          <w:rFonts w:hint="eastAsia" w:ascii="仿宋_GB2312" w:hAnsi="仿宋_GB2312" w:eastAsia="仿宋_GB2312" w:cs="仿宋_GB2312"/>
          <w:color w:val="auto"/>
          <w:spacing w:val="6"/>
          <w:kern w:val="30"/>
          <w:szCs w:val="30"/>
          <w:highlight w:val="none"/>
          <w:lang w:val="en-US" w:eastAsia="zh-CN" w:bidi="ar"/>
        </w:rPr>
        <w:t>《关于提前下达自治区财政补助民办养老机构2021年预算指标的通知》（新财社〔2020〕277号）、《关于提前下达2022年民办养老机构补助资金预算的通知》（新财社〔2021〕290号）、《关于提前下达2023年民办养老机构补助资金预算的通知》（新财社〔2022〕223号）、《关于提前下达2024年自治区民办养老机构补助资金预算的通知》（新财社〔2023〕207号）、《</w:t>
      </w:r>
      <w:r>
        <w:rPr>
          <w:rFonts w:hint="eastAsia" w:ascii="仿宋_GB2312" w:hAnsi="仿宋_GB2312" w:eastAsia="仿宋_GB2312" w:cs="仿宋_GB2312"/>
          <w:color w:val="auto"/>
          <w:spacing w:val="6"/>
          <w:kern w:val="30"/>
          <w:szCs w:val="30"/>
          <w:highlight w:val="none"/>
          <w:lang w:val="en-US" w:eastAsia="zh-Hans" w:bidi="ar"/>
        </w:rPr>
        <w:t>关于提前下达2025年自治区民办养老机构补助资金预算的通知</w:t>
      </w:r>
      <w:r>
        <w:rPr>
          <w:rFonts w:hint="eastAsia" w:ascii="仿宋_GB2312" w:hAnsi="仿宋_GB2312" w:eastAsia="仿宋_GB2312" w:cs="仿宋_GB2312"/>
          <w:color w:val="auto"/>
          <w:spacing w:val="6"/>
          <w:kern w:val="30"/>
          <w:szCs w:val="30"/>
          <w:highlight w:val="none"/>
          <w:lang w:val="en-US" w:eastAsia="zh-CN" w:bidi="ar"/>
        </w:rPr>
        <w:t>》</w:t>
      </w:r>
      <w:r>
        <w:rPr>
          <w:rFonts w:hint="eastAsia" w:ascii="仿宋_GB2312" w:hAnsi="仿宋_GB2312" w:eastAsia="仿宋_GB2312" w:cs="仿宋_GB2312"/>
          <w:color w:val="auto"/>
          <w:spacing w:val="6"/>
          <w:kern w:val="30"/>
          <w:szCs w:val="30"/>
          <w:highlight w:val="none"/>
          <w:lang w:val="en-US" w:eastAsia="zh-Hans" w:bidi="ar"/>
        </w:rPr>
        <w:t>（新财社〔2024〕159号）</w:t>
      </w:r>
      <w:r>
        <w:rPr>
          <w:rFonts w:hint="eastAsia" w:ascii="仿宋_GB2312" w:hAnsi="仿宋_GB2312" w:eastAsia="仿宋_GB2312" w:cs="仿宋_GB2312"/>
          <w:color w:val="auto"/>
          <w:spacing w:val="6"/>
          <w:kern w:val="30"/>
          <w:szCs w:val="30"/>
          <w:highlight w:val="none"/>
          <w:lang w:val="en-US" w:eastAsia="zh-CN" w:bidi="ar"/>
        </w:rPr>
        <w:t>、《关于收回2025年自治区民办养老机构部分补助资金预算的通知》（新财社〔2025〕190号）等</w:t>
      </w:r>
      <w:r>
        <w:rPr>
          <w:rFonts w:hint="eastAsia" w:ascii="仿宋_GB2312" w:hAnsi="仿宋_GB2312" w:eastAsia="仿宋_GB2312" w:cs="仿宋_GB2312"/>
          <w:color w:val="auto"/>
          <w:spacing w:val="6"/>
          <w:kern w:val="30"/>
          <w:szCs w:val="30"/>
          <w:highlight w:val="none"/>
          <w:lang w:val="en-US" w:eastAsia="zh-Hans" w:bidi="ar"/>
        </w:rPr>
        <w:t>文件，</w:t>
      </w:r>
      <w:bookmarkEnd w:id="45"/>
      <w:r>
        <w:rPr>
          <w:rFonts w:hint="eastAsia" w:ascii="仿宋_GB2312" w:hAnsi="仿宋_GB2312" w:eastAsia="仿宋_GB2312" w:cs="仿宋_GB2312"/>
          <w:color w:val="auto"/>
          <w:spacing w:val="6"/>
          <w:kern w:val="30"/>
          <w:sz w:val="30"/>
          <w:szCs w:val="30"/>
          <w:highlight w:val="none"/>
          <w:lang w:bidi="ar"/>
        </w:rPr>
        <w:t>截至2025年</w:t>
      </w:r>
      <w:r>
        <w:rPr>
          <w:rFonts w:hint="eastAsia" w:ascii="仿宋_GB2312" w:hAnsi="仿宋_GB2312" w:eastAsia="仿宋_GB2312" w:cs="仿宋_GB2312"/>
          <w:color w:val="auto"/>
          <w:spacing w:val="6"/>
          <w:kern w:val="30"/>
          <w:sz w:val="30"/>
          <w:szCs w:val="30"/>
          <w:highlight w:val="none"/>
          <w:lang w:val="en-US" w:eastAsia="zh-CN" w:bidi="ar"/>
        </w:rPr>
        <w:t>12</w:t>
      </w:r>
      <w:r>
        <w:rPr>
          <w:rFonts w:hint="eastAsia" w:ascii="仿宋_GB2312" w:hAnsi="仿宋_GB2312" w:eastAsia="仿宋_GB2312" w:cs="仿宋_GB2312"/>
          <w:color w:val="auto"/>
          <w:spacing w:val="6"/>
          <w:kern w:val="30"/>
          <w:sz w:val="30"/>
          <w:szCs w:val="30"/>
          <w:highlight w:val="none"/>
          <w:lang w:bidi="ar"/>
        </w:rPr>
        <w:t>月3</w:t>
      </w:r>
      <w:r>
        <w:rPr>
          <w:rFonts w:hint="eastAsia" w:ascii="仿宋_GB2312" w:hAnsi="仿宋_GB2312" w:eastAsia="仿宋_GB2312" w:cs="仿宋_GB2312"/>
          <w:color w:val="auto"/>
          <w:spacing w:val="6"/>
          <w:kern w:val="30"/>
          <w:sz w:val="30"/>
          <w:szCs w:val="30"/>
          <w:highlight w:val="none"/>
          <w:lang w:val="en-US" w:eastAsia="zh-CN" w:bidi="ar"/>
        </w:rPr>
        <w:t>1</w:t>
      </w:r>
      <w:r>
        <w:rPr>
          <w:rFonts w:hint="eastAsia" w:ascii="仿宋_GB2312" w:hAnsi="仿宋_GB2312" w:eastAsia="仿宋_GB2312" w:cs="仿宋_GB2312"/>
          <w:color w:val="auto"/>
          <w:spacing w:val="6"/>
          <w:kern w:val="30"/>
          <w:sz w:val="30"/>
          <w:szCs w:val="30"/>
          <w:highlight w:val="none"/>
          <w:lang w:bidi="ar"/>
        </w:rPr>
        <w:t>日，2021—2025年</w:t>
      </w:r>
      <w:r>
        <w:rPr>
          <w:rFonts w:hint="eastAsia" w:ascii="仿宋_GB2312" w:hAnsi="仿宋_GB2312" w:eastAsia="仿宋_GB2312" w:cs="仿宋_GB2312"/>
          <w:color w:val="auto"/>
          <w:spacing w:val="6"/>
          <w:kern w:val="30"/>
          <w:sz w:val="30"/>
          <w:szCs w:val="30"/>
          <w:highlight w:val="none"/>
          <w:lang w:val="en-US" w:eastAsia="zh-CN" w:bidi="ar"/>
        </w:rPr>
        <w:t>自治区</w:t>
      </w:r>
      <w:r>
        <w:rPr>
          <w:rFonts w:hint="eastAsia" w:ascii="仿宋_GB2312" w:hAnsi="仿宋_GB2312" w:eastAsia="仿宋_GB2312" w:cs="仿宋_GB2312"/>
          <w:color w:val="auto"/>
          <w:spacing w:val="6"/>
          <w:kern w:val="30"/>
          <w:sz w:val="30"/>
          <w:szCs w:val="30"/>
          <w:highlight w:val="none"/>
          <w:lang w:bidi="ar"/>
        </w:rPr>
        <w:t>财政</w:t>
      </w:r>
      <w:r>
        <w:rPr>
          <w:rFonts w:hint="eastAsia" w:ascii="仿宋_GB2312" w:hAnsi="仿宋_GB2312" w:eastAsia="仿宋_GB2312" w:cs="仿宋_GB2312"/>
          <w:color w:val="auto"/>
          <w:spacing w:val="6"/>
          <w:kern w:val="30"/>
          <w:sz w:val="30"/>
          <w:szCs w:val="30"/>
          <w:highlight w:val="none"/>
          <w:lang w:val="en-US" w:eastAsia="zh-CN" w:bidi="ar"/>
        </w:rPr>
        <w:t>厅</w:t>
      </w:r>
      <w:r>
        <w:rPr>
          <w:rFonts w:hint="eastAsia" w:ascii="仿宋_GB2312" w:hAnsi="仿宋_GB2312" w:eastAsia="仿宋_GB2312" w:cs="仿宋_GB2312"/>
          <w:color w:val="auto"/>
          <w:spacing w:val="6"/>
          <w:kern w:val="30"/>
          <w:sz w:val="30"/>
          <w:szCs w:val="30"/>
          <w:highlight w:val="none"/>
          <w:lang w:bidi="ar"/>
        </w:rPr>
        <w:t>下达民办养老机构自治区财政补助资金7</w:t>
      </w:r>
      <w:r>
        <w:rPr>
          <w:rFonts w:hint="eastAsia" w:ascii="仿宋_GB2312" w:hAnsi="仿宋_GB2312" w:eastAsia="仿宋_GB2312" w:cs="仿宋_GB2312"/>
          <w:color w:val="auto"/>
          <w:spacing w:val="6"/>
          <w:kern w:val="30"/>
          <w:sz w:val="30"/>
          <w:szCs w:val="30"/>
          <w:highlight w:val="none"/>
          <w:lang w:val="en-US" w:eastAsia="zh-CN" w:bidi="ar"/>
        </w:rPr>
        <w:t>,</w:t>
      </w:r>
      <w:r>
        <w:rPr>
          <w:rFonts w:hint="eastAsia" w:ascii="仿宋_GB2312" w:hAnsi="仿宋_GB2312" w:eastAsia="仿宋_GB2312" w:cs="仿宋_GB2312"/>
          <w:color w:val="auto"/>
          <w:spacing w:val="6"/>
          <w:kern w:val="30"/>
          <w:sz w:val="30"/>
          <w:szCs w:val="30"/>
          <w:highlight w:val="none"/>
          <w:lang w:bidi="ar"/>
        </w:rPr>
        <w:t>171.35万元</w:t>
      </w:r>
      <w:r>
        <w:rPr>
          <w:rFonts w:hint="eastAsia" w:ascii="仿宋_GB2312" w:hAnsi="仿宋_GB2312" w:eastAsia="仿宋_GB2312" w:cs="仿宋_GB2312"/>
          <w:color w:val="auto"/>
          <w:spacing w:val="6"/>
          <w:kern w:val="30"/>
          <w:sz w:val="30"/>
          <w:szCs w:val="30"/>
          <w:highlight w:val="none"/>
          <w:lang w:eastAsia="zh-CN" w:bidi="ar"/>
        </w:rPr>
        <w:t>。</w:t>
      </w:r>
      <w:r>
        <w:rPr>
          <w:rFonts w:hint="eastAsia" w:ascii="仿宋_GB2312" w:hAnsi="仿宋_GB2312" w:eastAsia="仿宋_GB2312" w:cs="仿宋_GB2312"/>
          <w:color w:val="auto"/>
          <w:spacing w:val="6"/>
          <w:kern w:val="30"/>
          <w:szCs w:val="30"/>
          <w:highlight w:val="none"/>
          <w:lang w:eastAsia="zh-Hans" w:bidi="ar"/>
        </w:rPr>
        <w:t>（2）资金使用</w:t>
      </w:r>
      <w:r>
        <w:rPr>
          <w:rFonts w:hint="eastAsia" w:ascii="仿宋_GB2312" w:hAnsi="仿宋_GB2312" w:eastAsia="仿宋_GB2312" w:cs="仿宋_GB2312"/>
          <w:color w:val="auto"/>
          <w:spacing w:val="6"/>
          <w:kern w:val="30"/>
          <w:szCs w:val="30"/>
          <w:highlight w:val="none"/>
          <w:lang w:val="en-US" w:eastAsia="zh-Hans" w:bidi="ar"/>
        </w:rPr>
        <w:t>情况</w:t>
      </w:r>
    </w:p>
    <w:p w14:paraId="733ED8A6">
      <w:pPr>
        <w:numPr>
          <w:ilvl w:val="0"/>
          <w:numId w:val="0"/>
        </w:numPr>
        <w:spacing w:line="590" w:lineRule="exact"/>
        <w:ind w:firstLine="654" w:firstLineChars="200"/>
        <w:rPr>
          <w:rFonts w:hint="eastAsia" w:ascii="仿宋_GB2312" w:hAnsi="仿宋_GB2312" w:eastAsia="仿宋_GB2312" w:cs="仿宋_GB2312"/>
          <w:color w:val="auto"/>
          <w:spacing w:val="6"/>
          <w:kern w:val="30"/>
          <w:sz w:val="30"/>
          <w:szCs w:val="30"/>
          <w:highlight w:val="none"/>
          <w:lang w:val="en-US" w:eastAsia="zh-CN" w:bidi="ar"/>
        </w:rPr>
      </w:pPr>
      <w:r>
        <w:rPr>
          <w:rFonts w:hint="eastAsia" w:ascii="仿宋_GB2312" w:hAnsi="仿宋_GB2312" w:eastAsia="仿宋_GB2312" w:cs="仿宋_GB2312"/>
          <w:color w:val="auto"/>
          <w:spacing w:val="6"/>
          <w:szCs w:val="30"/>
          <w:highlight w:val="none"/>
          <w:lang w:eastAsia="zh-Hans" w:bidi="ar"/>
        </w:rPr>
        <w:t>截至202</w:t>
      </w:r>
      <w:r>
        <w:rPr>
          <w:rFonts w:hint="eastAsia" w:ascii="仿宋_GB2312" w:hAnsi="仿宋_GB2312" w:eastAsia="仿宋_GB2312" w:cs="仿宋_GB2312"/>
          <w:color w:val="auto"/>
          <w:spacing w:val="6"/>
          <w:szCs w:val="30"/>
          <w:highlight w:val="none"/>
          <w:lang w:val="en-US" w:eastAsia="zh-CN" w:bidi="ar"/>
        </w:rPr>
        <w:t>5</w:t>
      </w:r>
      <w:r>
        <w:rPr>
          <w:rFonts w:hint="eastAsia" w:ascii="仿宋_GB2312" w:hAnsi="仿宋_GB2312" w:eastAsia="仿宋_GB2312" w:cs="仿宋_GB2312"/>
          <w:color w:val="auto"/>
          <w:spacing w:val="6"/>
          <w:szCs w:val="30"/>
          <w:highlight w:val="none"/>
          <w:lang w:eastAsia="zh-Hans" w:bidi="ar"/>
        </w:rPr>
        <w:t>年</w:t>
      </w:r>
      <w:r>
        <w:rPr>
          <w:rFonts w:hint="eastAsia" w:ascii="仿宋_GB2312" w:hAnsi="仿宋_GB2312" w:eastAsia="仿宋_GB2312" w:cs="仿宋_GB2312"/>
          <w:color w:val="auto"/>
          <w:spacing w:val="6"/>
          <w:szCs w:val="30"/>
          <w:highlight w:val="none"/>
          <w:lang w:val="en-US" w:eastAsia="zh-CN" w:bidi="ar"/>
        </w:rPr>
        <w:t>12</w:t>
      </w:r>
      <w:r>
        <w:rPr>
          <w:rFonts w:hint="eastAsia" w:ascii="仿宋_GB2312" w:hAnsi="仿宋_GB2312" w:eastAsia="仿宋_GB2312" w:cs="仿宋_GB2312"/>
          <w:color w:val="auto"/>
          <w:spacing w:val="6"/>
          <w:szCs w:val="30"/>
          <w:highlight w:val="none"/>
          <w:lang w:eastAsia="zh-Hans" w:bidi="ar"/>
        </w:rPr>
        <w:t>月</w:t>
      </w:r>
      <w:r>
        <w:rPr>
          <w:rFonts w:hint="eastAsia" w:ascii="仿宋_GB2312" w:hAnsi="仿宋_GB2312" w:eastAsia="仿宋_GB2312" w:cs="仿宋_GB2312"/>
          <w:color w:val="auto"/>
          <w:spacing w:val="6"/>
          <w:szCs w:val="30"/>
          <w:highlight w:val="none"/>
          <w:lang w:val="en-US" w:eastAsia="zh-CN" w:bidi="ar"/>
        </w:rPr>
        <w:t>31</w:t>
      </w:r>
      <w:r>
        <w:rPr>
          <w:rFonts w:hint="eastAsia" w:ascii="仿宋_GB2312" w:hAnsi="仿宋_GB2312" w:eastAsia="仿宋_GB2312" w:cs="仿宋_GB2312"/>
          <w:color w:val="auto"/>
          <w:spacing w:val="6"/>
          <w:szCs w:val="30"/>
          <w:highlight w:val="none"/>
          <w:lang w:eastAsia="zh-Hans" w:bidi="ar"/>
        </w:rPr>
        <w:t>日</w:t>
      </w:r>
      <w:r>
        <w:rPr>
          <w:rFonts w:hint="eastAsia" w:ascii="仿宋_GB2312" w:hAnsi="仿宋_GB2312" w:eastAsia="仿宋_GB2312" w:cs="仿宋_GB2312"/>
          <w:color w:val="auto"/>
          <w:spacing w:val="6"/>
          <w:szCs w:val="30"/>
          <w:highlight w:val="none"/>
          <w:lang w:eastAsia="zh-CN" w:bidi="ar"/>
        </w:rPr>
        <w:t>，</w:t>
      </w:r>
      <w:r>
        <w:rPr>
          <w:rFonts w:hint="eastAsia" w:ascii="仿宋_GB2312" w:hAnsi="仿宋_GB2312" w:eastAsia="仿宋_GB2312" w:cs="仿宋_GB2312"/>
          <w:color w:val="auto"/>
          <w:spacing w:val="6"/>
          <w:szCs w:val="30"/>
          <w:highlight w:val="none"/>
          <w:lang w:eastAsia="zh-Hans" w:bidi="ar"/>
        </w:rPr>
        <w:t>自治区财政补助资金实际到位</w:t>
      </w:r>
      <w:r>
        <w:rPr>
          <w:rFonts w:hint="eastAsia" w:ascii="仿宋_GB2312" w:hAnsi="仿宋_GB2312" w:eastAsia="仿宋_GB2312" w:cs="仿宋_GB2312"/>
          <w:color w:val="auto"/>
          <w:spacing w:val="6"/>
          <w:szCs w:val="30"/>
          <w:highlight w:val="none"/>
          <w:lang w:val="en-US" w:eastAsia="zh-Hans" w:bidi="ar"/>
        </w:rPr>
        <w:t>7,171.35</w:t>
      </w:r>
      <w:r>
        <w:rPr>
          <w:rFonts w:hint="eastAsia" w:ascii="仿宋_GB2312" w:hAnsi="仿宋_GB2312" w:eastAsia="仿宋_GB2312" w:cs="仿宋_GB2312"/>
          <w:color w:val="auto"/>
          <w:spacing w:val="6"/>
          <w:kern w:val="30"/>
          <w:szCs w:val="30"/>
          <w:highlight w:val="none"/>
          <w:lang w:val="en-US" w:eastAsia="zh-Hans" w:bidi="ar"/>
        </w:rPr>
        <w:t>万</w:t>
      </w:r>
      <w:r>
        <w:rPr>
          <w:rFonts w:hint="eastAsia" w:ascii="仿宋_GB2312" w:hAnsi="仿宋_GB2312" w:eastAsia="仿宋_GB2312" w:cs="仿宋_GB2312"/>
          <w:color w:val="auto"/>
          <w:spacing w:val="6"/>
          <w:szCs w:val="30"/>
          <w:highlight w:val="none"/>
          <w:lang w:eastAsia="zh-Hans" w:bidi="ar"/>
        </w:rPr>
        <w:t>元，实际支出</w:t>
      </w:r>
      <w:r>
        <w:rPr>
          <w:rFonts w:hint="eastAsia" w:ascii="仿宋_GB2312" w:hAnsi="仿宋_GB2312" w:eastAsia="仿宋_GB2312" w:cs="仿宋_GB2312"/>
          <w:color w:val="auto"/>
          <w:spacing w:val="6"/>
          <w:kern w:val="30"/>
          <w:szCs w:val="30"/>
          <w:highlight w:val="none"/>
          <w:lang w:val="en-US" w:eastAsia="zh-CN" w:bidi="ar"/>
        </w:rPr>
        <w:t>6,941.36</w:t>
      </w:r>
      <w:r>
        <w:rPr>
          <w:rFonts w:hint="eastAsia" w:ascii="仿宋_GB2312" w:hAnsi="仿宋_GB2312" w:eastAsia="仿宋_GB2312" w:cs="仿宋_GB2312"/>
          <w:color w:val="auto"/>
          <w:spacing w:val="6"/>
          <w:kern w:val="30"/>
          <w:szCs w:val="30"/>
          <w:highlight w:val="none"/>
          <w:lang w:val="en-US" w:eastAsia="zh-Hans" w:bidi="ar"/>
        </w:rPr>
        <w:t>万</w:t>
      </w:r>
      <w:r>
        <w:rPr>
          <w:rFonts w:hint="eastAsia" w:ascii="仿宋_GB2312" w:hAnsi="仿宋_GB2312" w:eastAsia="仿宋_GB2312" w:cs="仿宋_GB2312"/>
          <w:color w:val="auto"/>
          <w:spacing w:val="6"/>
          <w:szCs w:val="30"/>
          <w:highlight w:val="none"/>
          <w:lang w:eastAsia="zh-Hans" w:bidi="ar"/>
        </w:rPr>
        <w:t>元，</w:t>
      </w:r>
      <w:r>
        <w:rPr>
          <w:rFonts w:hint="eastAsia" w:ascii="仿宋_GB2312" w:hAnsi="仿宋_GB2312" w:eastAsia="仿宋_GB2312" w:cs="仿宋_GB2312"/>
          <w:color w:val="auto"/>
          <w:spacing w:val="6"/>
          <w:szCs w:val="30"/>
          <w:highlight w:val="none"/>
          <w:lang w:val="en-US" w:eastAsia="zh-Hans" w:bidi="ar"/>
        </w:rPr>
        <w:t>预算执行率</w:t>
      </w:r>
      <w:r>
        <w:rPr>
          <w:rFonts w:hint="eastAsia" w:ascii="仿宋_GB2312" w:hAnsi="仿宋_GB2312" w:eastAsia="仿宋_GB2312" w:cs="仿宋_GB2312"/>
          <w:color w:val="auto"/>
          <w:spacing w:val="6"/>
          <w:szCs w:val="30"/>
          <w:highlight w:val="none"/>
          <w:lang w:val="en-US" w:eastAsia="zh-CN" w:bidi="ar"/>
        </w:rPr>
        <w:t>96.79</w:t>
      </w:r>
      <w:r>
        <w:rPr>
          <w:rFonts w:hint="eastAsia" w:ascii="仿宋_GB2312" w:hAnsi="仿宋_GB2312" w:eastAsia="仿宋_GB2312" w:cs="仿宋_GB2312"/>
          <w:color w:val="auto"/>
          <w:spacing w:val="6"/>
          <w:szCs w:val="30"/>
          <w:highlight w:val="none"/>
          <w:lang w:val="en-US" w:eastAsia="zh-Hans" w:bidi="ar"/>
        </w:rPr>
        <w:t>%。</w:t>
      </w:r>
    </w:p>
    <w:p w14:paraId="2C72D90A">
      <w:pPr>
        <w:numPr>
          <w:ilvl w:val="0"/>
          <w:numId w:val="0"/>
        </w:numPr>
        <w:spacing w:line="590" w:lineRule="exact"/>
        <w:ind w:firstLine="630" w:firstLineChars="200"/>
        <w:outlineLvl w:val="1"/>
        <w:rPr>
          <w:rFonts w:hint="eastAsia" w:ascii="楷体_GB2312" w:hAnsi="楷体_GB2312" w:eastAsia="楷体_GB2312" w:cs="楷体_GB2312"/>
          <w:color w:val="auto"/>
          <w:kern w:val="30"/>
          <w:sz w:val="30"/>
          <w:szCs w:val="30"/>
          <w:highlight w:val="none"/>
        </w:rPr>
      </w:pPr>
      <w:bookmarkStart w:id="46" w:name="_Toc16992"/>
      <w:bookmarkStart w:id="47" w:name="_Toc7100"/>
      <w:bookmarkStart w:id="48" w:name="_Toc29465"/>
      <w:bookmarkStart w:id="49" w:name="_Toc30274"/>
      <w:bookmarkStart w:id="50" w:name="_Toc10576"/>
      <w:bookmarkStart w:id="51" w:name="_Toc21541"/>
      <w:bookmarkStart w:id="52" w:name="_Toc17313"/>
      <w:bookmarkStart w:id="53" w:name="_Toc16148"/>
      <w:bookmarkStart w:id="54" w:name="_Toc5055"/>
      <w:bookmarkStart w:id="55" w:name="_Toc11974"/>
      <w:bookmarkStart w:id="56" w:name="_Toc28710"/>
      <w:bookmarkStart w:id="57" w:name="_Toc2180"/>
      <w:bookmarkStart w:id="58" w:name="_Toc20447"/>
      <w:bookmarkStart w:id="59" w:name="_Toc29602"/>
      <w:bookmarkStart w:id="60" w:name="_Toc8163"/>
      <w:bookmarkStart w:id="61" w:name="_Toc7258"/>
      <w:bookmarkStart w:id="62" w:name="_Toc9172"/>
      <w:bookmarkStart w:id="63" w:name="_Toc18754"/>
      <w:bookmarkStart w:id="64" w:name="_Toc27652"/>
      <w:bookmarkStart w:id="65" w:name="_Toc24105"/>
      <w:bookmarkStart w:id="66" w:name="_Toc23978"/>
      <w:r>
        <w:rPr>
          <w:rFonts w:hint="eastAsia" w:ascii="楷体_GB2312" w:hAnsi="楷体_GB2312" w:eastAsia="楷体_GB2312" w:cs="楷体_GB2312"/>
          <w:color w:val="auto"/>
          <w:szCs w:val="30"/>
          <w:highlight w:val="none"/>
        </w:rPr>
        <w:t>（</w:t>
      </w:r>
      <w:r>
        <w:rPr>
          <w:rFonts w:hint="eastAsia" w:ascii="楷体_GB2312" w:hAnsi="楷体_GB2312" w:eastAsia="楷体_GB2312" w:cs="楷体_GB2312"/>
          <w:color w:val="auto"/>
          <w:szCs w:val="30"/>
          <w:highlight w:val="none"/>
          <w:lang w:eastAsia="zh-CN"/>
        </w:rPr>
        <w:t>二</w:t>
      </w:r>
      <w:r>
        <w:rPr>
          <w:rFonts w:hint="eastAsia" w:ascii="楷体_GB2312" w:hAnsi="楷体_GB2312" w:eastAsia="楷体_GB2312" w:cs="楷体_GB2312"/>
          <w:color w:val="auto"/>
          <w:szCs w:val="30"/>
          <w:highlight w:val="none"/>
        </w:rPr>
        <w:t>）</w:t>
      </w:r>
      <w:r>
        <w:rPr>
          <w:rFonts w:hint="eastAsia" w:ascii="楷体_GB2312" w:hAnsi="楷体_GB2312" w:eastAsia="楷体_GB2312" w:cs="楷体_GB2312"/>
          <w:color w:val="auto"/>
          <w:kern w:val="30"/>
          <w:sz w:val="30"/>
          <w:szCs w:val="30"/>
          <w:highlight w:val="none"/>
        </w:rPr>
        <w:t>绩效目标设立情况</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Start w:id="67" w:name="OLE_LINK1"/>
    </w:p>
    <w:p w14:paraId="47A1A631">
      <w:pPr>
        <w:numPr>
          <w:ilvl w:val="0"/>
          <w:numId w:val="0"/>
        </w:numPr>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bookmarkStart w:id="68" w:name="_Hlk525314309"/>
      <w:r>
        <w:rPr>
          <w:rFonts w:hint="eastAsia" w:ascii="仿宋_GB2312" w:hAnsi="仿宋_GB2312" w:eastAsia="仿宋_GB2312" w:cs="仿宋_GB2312"/>
          <w:color w:val="auto"/>
          <w:spacing w:val="6"/>
          <w:szCs w:val="30"/>
          <w:highlight w:val="none"/>
          <w:lang w:eastAsia="zh-Hans" w:bidi="ar"/>
        </w:rPr>
        <w:t>2021—2025年，针对自治区财政补助资金均设立了绩效目标表，各年度的绩效目标和指标设置大体一致。具体如下：</w:t>
      </w:r>
    </w:p>
    <w:p w14:paraId="7781B4F4">
      <w:pPr>
        <w:numPr>
          <w:ilvl w:val="0"/>
          <w:numId w:val="0"/>
        </w:numPr>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Hans" w:bidi="ar"/>
        </w:rPr>
        <w:t>绩效目标：有效调动社会力量参与养老服务业积极性，提升民办养老机构床位数占养老机构床位总数比例，增加多元化养老服务供给，不断满足老年群体日益增长的养老服务需求。</w:t>
      </w:r>
    </w:p>
    <w:p w14:paraId="15A440D0">
      <w:pPr>
        <w:numPr>
          <w:ilvl w:val="0"/>
          <w:numId w:val="0"/>
        </w:numPr>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Hans" w:bidi="ar"/>
        </w:rPr>
        <w:t>绩效指标：运营补贴惠及养老机构数量、一次性开办补助惠及养老机构数量、各地州市财政部门在收到资金下发县市财政部门时间</w:t>
      </w:r>
      <w:r>
        <w:rPr>
          <w:rFonts w:hint="eastAsia" w:ascii="仿宋_GB2312" w:hAnsi="仿宋_GB2312" w:eastAsia="仿宋_GB2312" w:cs="仿宋_GB2312"/>
          <w:color w:val="auto"/>
          <w:spacing w:val="6"/>
          <w:szCs w:val="30"/>
          <w:highlight w:val="none"/>
          <w:lang w:eastAsia="zh-CN" w:bidi="ar"/>
        </w:rPr>
        <w:t>、</w:t>
      </w:r>
      <w:r>
        <w:rPr>
          <w:rFonts w:hint="eastAsia" w:ascii="仿宋_GB2312" w:hAnsi="仿宋_GB2312" w:eastAsia="仿宋_GB2312" w:cs="仿宋_GB2312"/>
          <w:color w:val="auto"/>
          <w:spacing w:val="6"/>
          <w:szCs w:val="30"/>
          <w:highlight w:val="none"/>
          <w:lang w:eastAsia="zh-Hans" w:bidi="ar"/>
        </w:rPr>
        <w:t>民办养老机构床位实际使用补助经费、民办养老机构一次性开办补贴标准、调动社会力量参与养老服务的积极性、民办养老机构满意度等指标。</w:t>
      </w:r>
    </w:p>
    <w:bookmarkEnd w:id="67"/>
    <w:bookmarkEnd w:id="68"/>
    <w:p w14:paraId="38EABDEB">
      <w:pPr>
        <w:spacing w:line="590" w:lineRule="exact"/>
        <w:ind w:firstLine="630" w:firstLineChars="200"/>
        <w:outlineLvl w:val="1"/>
        <w:rPr>
          <w:rFonts w:hint="eastAsia" w:ascii="楷体_GB2312" w:hAnsi="楷体_GB2312" w:eastAsia="楷体_GB2312" w:cs="楷体_GB2312"/>
          <w:color w:val="auto"/>
          <w:kern w:val="30"/>
          <w:sz w:val="30"/>
          <w:szCs w:val="30"/>
          <w:highlight w:val="none"/>
        </w:rPr>
      </w:pPr>
      <w:bookmarkStart w:id="69" w:name="_Toc29963"/>
      <w:bookmarkStart w:id="70" w:name="_Toc10674"/>
      <w:bookmarkStart w:id="71" w:name="_Toc1655"/>
      <w:bookmarkStart w:id="72" w:name="_Toc6984"/>
      <w:bookmarkStart w:id="73" w:name="_Toc21361"/>
      <w:bookmarkStart w:id="74" w:name="_Toc21010"/>
      <w:bookmarkStart w:id="75" w:name="_Toc17469"/>
      <w:bookmarkStart w:id="76" w:name="_Toc5409"/>
      <w:bookmarkStart w:id="77" w:name="_Toc730"/>
      <w:bookmarkStart w:id="78" w:name="_Toc19108"/>
      <w:bookmarkStart w:id="79" w:name="_Toc8819"/>
      <w:bookmarkStart w:id="80" w:name="_Toc5189"/>
      <w:bookmarkStart w:id="81" w:name="_Toc17132"/>
      <w:bookmarkStart w:id="82" w:name="_Toc29671"/>
      <w:bookmarkStart w:id="83" w:name="_Toc9954"/>
      <w:bookmarkStart w:id="84" w:name="_Toc9950"/>
      <w:bookmarkStart w:id="85" w:name="_Toc10824"/>
      <w:bookmarkStart w:id="86" w:name="_Toc335"/>
      <w:bookmarkStart w:id="87" w:name="_Toc20544"/>
      <w:bookmarkStart w:id="88" w:name="_Toc3087"/>
      <w:bookmarkStart w:id="89" w:name="_Toc2965"/>
      <w:bookmarkStart w:id="90" w:name="_Toc11836"/>
      <w:r>
        <w:rPr>
          <w:rFonts w:hint="eastAsia" w:ascii="楷体_GB2312" w:hAnsi="楷体_GB2312" w:eastAsia="楷体_GB2312" w:cs="楷体_GB2312"/>
          <w:color w:val="auto"/>
          <w:kern w:val="30"/>
          <w:sz w:val="30"/>
          <w:szCs w:val="30"/>
          <w:highlight w:val="none"/>
        </w:rPr>
        <w:t>（</w:t>
      </w:r>
      <w:r>
        <w:rPr>
          <w:rFonts w:hint="eastAsia" w:ascii="楷体_GB2312" w:hAnsi="楷体_GB2312" w:eastAsia="楷体_GB2312" w:cs="楷体_GB2312"/>
          <w:color w:val="auto"/>
          <w:kern w:val="30"/>
          <w:sz w:val="30"/>
          <w:szCs w:val="30"/>
          <w:highlight w:val="none"/>
          <w:lang w:eastAsia="zh-CN"/>
        </w:rPr>
        <w:t>三</w:t>
      </w:r>
      <w:r>
        <w:rPr>
          <w:rFonts w:hint="eastAsia" w:ascii="楷体_GB2312" w:hAnsi="楷体_GB2312" w:eastAsia="楷体_GB2312" w:cs="楷体_GB2312"/>
          <w:color w:val="auto"/>
          <w:kern w:val="30"/>
          <w:sz w:val="30"/>
          <w:szCs w:val="30"/>
          <w:highlight w:val="none"/>
        </w:rPr>
        <w:t>）项目组织管理情况</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26D586D0">
      <w:pPr>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bookmarkStart w:id="91" w:name="_Toc11427713"/>
      <w:r>
        <w:rPr>
          <w:rFonts w:hint="eastAsia" w:ascii="仿宋_GB2312" w:hAnsi="仿宋_GB2312" w:eastAsia="仿宋_GB2312" w:cs="仿宋_GB2312"/>
          <w:color w:val="auto"/>
          <w:spacing w:val="6"/>
          <w:szCs w:val="30"/>
          <w:highlight w:val="none"/>
          <w:lang w:eastAsia="zh-Hans" w:bidi="ar"/>
        </w:rPr>
        <w:t>根据《资助办法》及自治区养老服务体系建设相关文件规定，主要部门职能职责如下：</w:t>
      </w:r>
    </w:p>
    <w:p w14:paraId="34E20CC0">
      <w:pPr>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Hans" w:bidi="ar"/>
        </w:rPr>
        <w:t>（1）自治区民政厅：负责民办养老机构资助政策的制定、解释和修订；提出年度资助资金预算建议；组织全区民办养老机构资助申报的集中评审；指导监督各地资助审核、资金发放及绩效管理工作；组织开展政策执行情况的监督检查；对资助资金使用情况进行绩效评价；负责资助资金的分配方案制定和拨付审核。</w:t>
      </w:r>
    </w:p>
    <w:p w14:paraId="39CC85D2">
      <w:pPr>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Hans" w:bidi="ar"/>
        </w:rPr>
        <w:t>（2）自治区财政厅：负责安排民办养老机构资助资金预算，保障资金及时足额下达；对资助资金使用情况进行财政监督；组织开展重点绩效评价，将绩效评价结果与预算安排挂钩；会同民政厅研究调整资助标准和政策。</w:t>
      </w:r>
    </w:p>
    <w:p w14:paraId="6B4289E3">
      <w:pPr>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Hans" w:bidi="ar"/>
        </w:rPr>
        <w:t>（3）地（州、市）民政局：负责本地区民办养老机构资助申报的复核审查；汇总报送辖区内资助审核材料；指导县级民政局开展实地核查和资金拨付；对本地区资助政策执行情况进行监督和绩效自评。</w:t>
      </w:r>
    </w:p>
    <w:p w14:paraId="7ACA7A76">
      <w:pPr>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Hans" w:bidi="ar"/>
        </w:rPr>
        <w:t>（4）地（州、市）财政局：配合落实运营补贴中当地财政承担的50%配套资金，确保足额纳入年度预算并及时拨付；对辖区内资助资金使用情况进行监督检查。</w:t>
      </w:r>
    </w:p>
    <w:p w14:paraId="092862A8">
      <w:pPr>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Hans" w:bidi="ar"/>
        </w:rPr>
        <w:t>（5）县（市、区）民政局：负责受理民办养老机构资助申请；对申报材料的真实性、合规性进行初审；组织实地核查，核实床位数、入住人数、服务量等关键数据；填报资助审核汇总表报送地州民政局；按程序将资助资金拨付至机构；对受资助机构进行日常监管，定期核实床位和入住情况，督促履行承诺书约定。</w:t>
      </w:r>
    </w:p>
    <w:p w14:paraId="513AD9AF">
      <w:pPr>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Hans" w:bidi="ar"/>
        </w:rPr>
        <w:t>（6）县（市、区）财政局：配合民政部门做好资金拨付工作；落实本级财政配套资金；对辖区内资助资金使用情况进行监督。</w:t>
      </w:r>
    </w:p>
    <w:p w14:paraId="34E995C0">
      <w:pPr>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Hans" w:bidi="ar"/>
        </w:rPr>
        <w:t>（7）民办非营利养老机构（含“公建民营”）：依法登记备案，诚信经营，按照《资助办法》规定条件如实申报资助；签订《自治区养老机构资助资金使用承诺书》，承诺至少经营3年以上，5年内不改变社会福利性质和经营性质；建立资助资金专账，单独核算，专款专用；按规定用途使用资金，接受民政、财政等部门的监督检查和审计；定期报送服务月统计表、入住老人花名册等资料。</w:t>
      </w:r>
    </w:p>
    <w:p w14:paraId="259D4434">
      <w:pPr>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Hans" w:bidi="ar"/>
        </w:rPr>
        <w:t>2.制度建设</w:t>
      </w:r>
    </w:p>
    <w:p w14:paraId="70685165">
      <w:pPr>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Hans" w:bidi="ar"/>
        </w:rPr>
        <w:t>（1）项目管理</w:t>
      </w:r>
    </w:p>
    <w:p w14:paraId="67653363">
      <w:pPr>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Hans" w:bidi="ar"/>
        </w:rPr>
        <w:t>为加强民办养老机构资助管理，自治区民政厅、财政厅制定了《资助办法》，对资助对象、资助条件、资助项目和标准、申报审核程序、资金使用和管理、监督管理等方面作出明确规定。</w:t>
      </w:r>
    </w:p>
    <w:p w14:paraId="603CA73B">
      <w:pPr>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Hans" w:bidi="ar"/>
        </w:rPr>
        <w:t>（2）资金管理</w:t>
      </w:r>
    </w:p>
    <w:p w14:paraId="5DFCAA46">
      <w:pPr>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Hans" w:bidi="ar"/>
        </w:rPr>
        <w:t>《资助办法》规定了资助资金的用途、拨付方式、专账核算要求及违规处理方式。</w:t>
      </w:r>
    </w:p>
    <w:p w14:paraId="31281D76">
      <w:pPr>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Hans" w:bidi="ar"/>
        </w:rPr>
        <w:t>明确资助资金可用于以下用途：房屋的新建、改扩建及维修；设施设备的购置；其他有益于提高入住老人生活质量的项目。资助资金要专款专用，不得挪作他用，受资助机构须单独建账。</w:t>
      </w:r>
    </w:p>
    <w:p w14:paraId="0E37735D">
      <w:pPr>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Hans" w:bidi="ar"/>
        </w:rPr>
        <w:t>3.管理流程</w:t>
      </w:r>
    </w:p>
    <w:p w14:paraId="790B408D">
      <w:pPr>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Hans" w:bidi="ar"/>
        </w:rPr>
        <w:t>（1）各民办养老机构应该按月向县（市、区）民政局报送月度报表，县（市、区）民政局至少每季度对民办养老机构床位数、在院人数核实一次。县（市、区）民政局应当每半年将服务月统计表报送地州民政局。</w:t>
      </w:r>
    </w:p>
    <w:p w14:paraId="39FDD059">
      <w:pPr>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Hans" w:bidi="ar"/>
        </w:rPr>
        <w:t>（2）县（市、区）民政局对养老机构资助申报材料予以审核，对具备申报资格，符合申报条件的民办养老机构和“公建民营”类老年人社会福利机构进行实地核查，核实年度服务量。</w:t>
      </w:r>
    </w:p>
    <w:p w14:paraId="6AAF90C8">
      <w:pPr>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Hans" w:bidi="ar"/>
        </w:rPr>
        <w:t>依据初步核查结果，填报《自治区民办养老机构资助审核汇总表》，连同申报材料报送地州民政局。</w:t>
      </w:r>
    </w:p>
    <w:p w14:paraId="6DDC4CD9">
      <w:pPr>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Hans" w:bidi="ar"/>
        </w:rPr>
        <w:t>（3）地州民政局审查合格的，填报《自治区养老机构资助审核汇总表》，连同申报材料报自治区民政厅。</w:t>
      </w:r>
    </w:p>
    <w:p w14:paraId="77F6206A">
      <w:pPr>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Hans" w:bidi="ar"/>
        </w:rPr>
        <w:t>（4）自治区民政厅负责对民办养老机构和“公建民营”类老年人社会福利机构资助的集中评审。</w:t>
      </w:r>
    </w:p>
    <w:p w14:paraId="5A7D882D">
      <w:pPr>
        <w:widowControl/>
        <w:adjustRightInd/>
        <w:snapToGrid/>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Hans" w:bidi="ar"/>
        </w:rPr>
        <w:t>（5）各级民政部门对补助资金申请材料及时归档备查。</w:t>
      </w:r>
    </w:p>
    <w:bookmarkEnd w:id="91"/>
    <w:p w14:paraId="1078CEDB">
      <w:pPr>
        <w:spacing w:line="590" w:lineRule="exact"/>
        <w:ind w:firstLine="670" w:firstLineChars="200"/>
        <w:outlineLvl w:val="0"/>
        <w:rPr>
          <w:rFonts w:ascii="黑体" w:hAnsi="宋体" w:eastAsia="黑体" w:cs="宋体"/>
          <w:color w:val="auto"/>
          <w:kern w:val="30"/>
          <w:sz w:val="32"/>
          <w:szCs w:val="32"/>
          <w:highlight w:val="none"/>
        </w:rPr>
      </w:pPr>
      <w:bookmarkStart w:id="92" w:name="_Toc32296"/>
      <w:bookmarkStart w:id="93" w:name="_Toc28304"/>
      <w:bookmarkStart w:id="94" w:name="_Toc8743"/>
      <w:bookmarkStart w:id="95" w:name="_Toc7003"/>
      <w:bookmarkStart w:id="96" w:name="_Toc28501"/>
      <w:bookmarkStart w:id="97" w:name="_Toc7239"/>
      <w:bookmarkStart w:id="98" w:name="_Toc11241"/>
      <w:bookmarkStart w:id="99" w:name="_Toc21625"/>
      <w:bookmarkStart w:id="100" w:name="_Toc3996"/>
      <w:bookmarkStart w:id="101" w:name="_Toc11161"/>
      <w:bookmarkStart w:id="102" w:name="_Toc9818"/>
      <w:bookmarkStart w:id="103" w:name="_Toc4960"/>
      <w:bookmarkStart w:id="104" w:name="_Toc18357"/>
      <w:bookmarkStart w:id="105" w:name="_Toc27774"/>
      <w:bookmarkStart w:id="106" w:name="_Toc5843"/>
      <w:bookmarkStart w:id="107" w:name="_Toc14254"/>
      <w:bookmarkStart w:id="108" w:name="_Toc22939"/>
      <w:bookmarkStart w:id="109" w:name="_Toc218"/>
      <w:bookmarkStart w:id="110" w:name="_Toc19059"/>
      <w:bookmarkStart w:id="111" w:name="_Toc27322"/>
      <w:bookmarkStart w:id="112" w:name="_Toc5358"/>
      <w:bookmarkStart w:id="113" w:name="_Toc28676"/>
      <w:r>
        <w:rPr>
          <w:rFonts w:hint="eastAsia" w:ascii="黑体" w:hAnsi="黑体" w:eastAsia="黑体" w:cs="宋体"/>
          <w:color w:val="auto"/>
          <w:kern w:val="30"/>
          <w:sz w:val="32"/>
          <w:szCs w:val="32"/>
          <w:highlight w:val="none"/>
        </w:rPr>
        <w:t>二、</w:t>
      </w:r>
      <w:r>
        <w:rPr>
          <w:rFonts w:hint="eastAsia" w:ascii="黑体" w:hAnsi="黑体" w:eastAsia="黑体" w:cs="宋体"/>
          <w:color w:val="auto"/>
          <w:kern w:val="30"/>
          <w:sz w:val="32"/>
          <w:szCs w:val="32"/>
          <w:highlight w:val="none"/>
          <w:lang w:val="en-US" w:eastAsia="zh-CN"/>
        </w:rPr>
        <w:t>政策评估</w:t>
      </w:r>
      <w:r>
        <w:rPr>
          <w:rFonts w:hint="eastAsia" w:ascii="黑体" w:hAnsi="黑体" w:eastAsia="黑体" w:cs="宋体"/>
          <w:color w:val="auto"/>
          <w:kern w:val="30"/>
          <w:sz w:val="32"/>
          <w:szCs w:val="32"/>
          <w:highlight w:val="none"/>
        </w:rPr>
        <w:t>工作开展情况</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467F7C62">
      <w:pPr>
        <w:keepNext w:val="0"/>
        <w:keepLines w:val="0"/>
        <w:pageBreakBefore w:val="0"/>
        <w:widowControl/>
        <w:kinsoku/>
        <w:wordWrap/>
        <w:overflowPunct/>
        <w:topLinePunct w:val="0"/>
        <w:autoSpaceDE/>
        <w:autoSpaceDN/>
        <w:bidi w:val="0"/>
        <w:adjustRightInd/>
        <w:snapToGrid/>
        <w:spacing w:line="590" w:lineRule="exact"/>
        <w:ind w:firstLine="630" w:firstLineChars="200"/>
        <w:textAlignment w:val="auto"/>
        <w:outlineLvl w:val="1"/>
        <w:rPr>
          <w:rFonts w:hint="eastAsia" w:ascii="楷体_GB2312" w:hAnsi="楷体_GB2312" w:eastAsia="楷体_GB2312" w:cs="楷体_GB2312"/>
          <w:color w:val="auto"/>
          <w:spacing w:val="0"/>
          <w:kern w:val="30"/>
          <w:sz w:val="30"/>
          <w:szCs w:val="30"/>
          <w:highlight w:val="none"/>
          <w:lang w:eastAsia="zh-Hans" w:bidi="ar"/>
        </w:rPr>
      </w:pPr>
      <w:bookmarkStart w:id="114" w:name="_Toc20864"/>
      <w:bookmarkStart w:id="115" w:name="_Toc2011"/>
      <w:bookmarkStart w:id="116" w:name="_Toc26747"/>
      <w:bookmarkStart w:id="117" w:name="_Toc1596"/>
      <w:bookmarkStart w:id="118" w:name="_Toc13658"/>
      <w:bookmarkStart w:id="119" w:name="_Toc16464"/>
      <w:bookmarkStart w:id="120" w:name="_Toc32622"/>
      <w:bookmarkStart w:id="121" w:name="_Toc17009"/>
      <w:bookmarkStart w:id="122" w:name="_Toc15133"/>
      <w:bookmarkStart w:id="123" w:name="_Toc17795"/>
      <w:r>
        <w:rPr>
          <w:rFonts w:hint="eastAsia" w:ascii="楷体_GB2312" w:hAnsi="楷体_GB2312" w:eastAsia="楷体_GB2312" w:cs="楷体_GB2312"/>
          <w:color w:val="auto"/>
          <w:spacing w:val="0"/>
          <w:kern w:val="30"/>
          <w:sz w:val="30"/>
          <w:szCs w:val="30"/>
          <w:highlight w:val="none"/>
          <w:lang w:eastAsia="zh-Hans" w:bidi="ar"/>
        </w:rPr>
        <w:t>（一）政策评估的目的、对象和范围</w:t>
      </w:r>
      <w:bookmarkEnd w:id="114"/>
      <w:bookmarkEnd w:id="115"/>
      <w:bookmarkEnd w:id="116"/>
      <w:bookmarkEnd w:id="117"/>
      <w:bookmarkEnd w:id="118"/>
      <w:bookmarkEnd w:id="119"/>
      <w:bookmarkEnd w:id="120"/>
      <w:bookmarkEnd w:id="121"/>
      <w:bookmarkEnd w:id="122"/>
    </w:p>
    <w:p w14:paraId="5F3F2B10">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rPr>
          <w:rFonts w:hint="eastAsia" w:ascii="仿宋_GB2312" w:hAnsi="仿宋_GB2312" w:eastAsia="仿宋_GB2312" w:cs="仿宋_GB2312"/>
          <w:color w:val="auto"/>
          <w:spacing w:val="6"/>
          <w:kern w:val="30"/>
          <w:sz w:val="30"/>
          <w:szCs w:val="30"/>
          <w:highlight w:val="none"/>
          <w:lang w:eastAsia="zh-Hans" w:bidi="ar"/>
        </w:rPr>
      </w:pPr>
      <w:r>
        <w:rPr>
          <w:rFonts w:hint="eastAsia" w:ascii="仿宋_GB2312" w:hAnsi="仿宋_GB2312" w:eastAsia="仿宋_GB2312" w:cs="仿宋_GB2312"/>
          <w:color w:val="auto"/>
          <w:spacing w:val="6"/>
          <w:kern w:val="30"/>
          <w:sz w:val="30"/>
          <w:szCs w:val="30"/>
          <w:highlight w:val="none"/>
          <w:lang w:val="en-US" w:eastAsia="zh-CN" w:bidi="ar"/>
        </w:rPr>
        <w:t>1.</w:t>
      </w:r>
      <w:r>
        <w:rPr>
          <w:rFonts w:hint="eastAsia" w:ascii="仿宋_GB2312" w:hAnsi="仿宋_GB2312" w:eastAsia="仿宋_GB2312" w:cs="仿宋_GB2312"/>
          <w:color w:val="auto"/>
          <w:spacing w:val="6"/>
          <w:kern w:val="30"/>
          <w:sz w:val="30"/>
          <w:szCs w:val="30"/>
          <w:highlight w:val="none"/>
          <w:lang w:eastAsia="zh-Hans" w:bidi="ar"/>
        </w:rPr>
        <w:t>评估目的</w:t>
      </w:r>
    </w:p>
    <w:p w14:paraId="55646598">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rPr>
          <w:rFonts w:hint="eastAsia" w:ascii="仿宋_GB2312" w:hAnsi="仿宋_GB2312" w:eastAsia="仿宋_GB2312" w:cs="仿宋_GB2312"/>
          <w:color w:val="auto"/>
          <w:spacing w:val="6"/>
          <w:kern w:val="30"/>
          <w:sz w:val="30"/>
          <w:szCs w:val="30"/>
          <w:highlight w:val="none"/>
          <w:lang w:eastAsia="zh-Hans" w:bidi="ar"/>
        </w:rPr>
      </w:pPr>
      <w:r>
        <w:rPr>
          <w:rFonts w:hint="eastAsia" w:ascii="仿宋_GB2312" w:hAnsi="仿宋_GB2312" w:eastAsia="仿宋_GB2312" w:cs="仿宋_GB2312"/>
          <w:color w:val="auto"/>
          <w:spacing w:val="6"/>
          <w:kern w:val="30"/>
          <w:sz w:val="30"/>
          <w:szCs w:val="30"/>
          <w:highlight w:val="none"/>
          <w:lang w:eastAsia="zh-Hans" w:bidi="ar"/>
        </w:rPr>
        <w:t>本次评估旨在对《资助办法》的实施情况进行全面、客观的分析和判断。评估聚焦以下三个层面：一是系统梳理政策的执行情况，包括资助资金的拨付、使用与管理，以及各项资助条件的落实情况；二是客观识别政策执行过程中存在的突出问题，分析问题产生的根源；三是在总结政策实施成效与不足的基础上，提出具有针对性和可操作性的政策优化建议，为自治区民政厅是否延续、修订或废止该政策提供决策参考。</w:t>
      </w:r>
    </w:p>
    <w:p w14:paraId="453A70E6">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rPr>
          <w:rFonts w:hint="eastAsia" w:ascii="仿宋_GB2312" w:hAnsi="仿宋_GB2312" w:eastAsia="仿宋_GB2312" w:cs="仿宋_GB2312"/>
          <w:color w:val="auto"/>
          <w:spacing w:val="6"/>
          <w:kern w:val="30"/>
          <w:sz w:val="30"/>
          <w:szCs w:val="30"/>
          <w:highlight w:val="none"/>
          <w:lang w:eastAsia="zh-Hans" w:bidi="ar"/>
        </w:rPr>
      </w:pPr>
      <w:r>
        <w:rPr>
          <w:rFonts w:hint="eastAsia" w:ascii="仿宋_GB2312" w:hAnsi="仿宋_GB2312" w:eastAsia="仿宋_GB2312" w:cs="仿宋_GB2312"/>
          <w:color w:val="auto"/>
          <w:spacing w:val="6"/>
          <w:kern w:val="30"/>
          <w:sz w:val="30"/>
          <w:szCs w:val="30"/>
          <w:highlight w:val="none"/>
          <w:lang w:val="en-US" w:eastAsia="zh-CN" w:bidi="ar"/>
        </w:rPr>
        <w:t>2.</w:t>
      </w:r>
      <w:r>
        <w:rPr>
          <w:rFonts w:hint="eastAsia" w:ascii="仿宋_GB2312" w:hAnsi="仿宋_GB2312" w:eastAsia="仿宋_GB2312" w:cs="仿宋_GB2312"/>
          <w:color w:val="auto"/>
          <w:spacing w:val="6"/>
          <w:kern w:val="30"/>
          <w:sz w:val="30"/>
          <w:szCs w:val="30"/>
          <w:highlight w:val="none"/>
          <w:lang w:eastAsia="zh-Hans" w:bidi="ar"/>
        </w:rPr>
        <w:t>评估对象</w:t>
      </w:r>
    </w:p>
    <w:p w14:paraId="7306997C">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rPr>
          <w:rFonts w:hint="eastAsia" w:ascii="仿宋_GB2312" w:hAnsi="仿宋_GB2312" w:eastAsia="仿宋_GB2312" w:cs="仿宋_GB2312"/>
          <w:color w:val="auto"/>
          <w:spacing w:val="6"/>
          <w:kern w:val="30"/>
          <w:sz w:val="30"/>
          <w:szCs w:val="30"/>
          <w:highlight w:val="none"/>
          <w:lang w:eastAsia="zh-Hans" w:bidi="ar"/>
        </w:rPr>
      </w:pPr>
      <w:r>
        <w:rPr>
          <w:rFonts w:hint="eastAsia" w:ascii="仿宋_GB2312" w:hAnsi="仿宋_GB2312" w:eastAsia="仿宋_GB2312" w:cs="仿宋_GB2312"/>
          <w:color w:val="auto"/>
          <w:spacing w:val="6"/>
          <w:kern w:val="30"/>
          <w:sz w:val="30"/>
          <w:szCs w:val="30"/>
          <w:highlight w:val="none"/>
          <w:lang w:eastAsia="zh-Hans" w:bidi="ar"/>
        </w:rPr>
        <w:t>本次评估的对象为《资助办法》。该办法由自治区民政厅</w:t>
      </w:r>
      <w:r>
        <w:rPr>
          <w:rFonts w:hint="eastAsia" w:ascii="仿宋_GB2312" w:hAnsi="仿宋_GB2312" w:eastAsia="仿宋_GB2312" w:cs="仿宋_GB2312"/>
          <w:color w:val="auto"/>
          <w:spacing w:val="6"/>
          <w:kern w:val="30"/>
          <w:sz w:val="30"/>
          <w:szCs w:val="30"/>
          <w:highlight w:val="none"/>
          <w:lang w:val="en-US" w:eastAsia="zh-CN" w:bidi="ar"/>
        </w:rPr>
        <w:t>联合自治区财政厅</w:t>
      </w:r>
      <w:r>
        <w:rPr>
          <w:rFonts w:hint="eastAsia" w:ascii="仿宋_GB2312" w:hAnsi="仿宋_GB2312" w:eastAsia="仿宋_GB2312" w:cs="仿宋_GB2312"/>
          <w:color w:val="auto"/>
          <w:spacing w:val="6"/>
          <w:kern w:val="30"/>
          <w:sz w:val="30"/>
          <w:szCs w:val="30"/>
          <w:highlight w:val="none"/>
          <w:lang w:eastAsia="zh-Hans" w:bidi="ar"/>
        </w:rPr>
        <w:t>于2013年印发，旨在引导社会力量参与养老服务，增加普惠养老床位供给，提升民办养老机构服务质量。根据该办法，对符合资助条件的民办非营利养老机构和</w:t>
      </w:r>
      <w:r>
        <w:rPr>
          <w:rFonts w:hint="eastAsia" w:ascii="仿宋_GB2312" w:hAnsi="仿宋_GB2312" w:eastAsia="仿宋_GB2312" w:cs="仿宋_GB2312"/>
          <w:color w:val="auto"/>
          <w:spacing w:val="6"/>
          <w:kern w:val="30"/>
          <w:sz w:val="30"/>
          <w:szCs w:val="30"/>
          <w:highlight w:val="none"/>
          <w:lang w:eastAsia="zh-CN" w:bidi="ar"/>
        </w:rPr>
        <w:t>“</w:t>
      </w:r>
      <w:r>
        <w:rPr>
          <w:rFonts w:hint="eastAsia" w:ascii="仿宋_GB2312" w:hAnsi="仿宋_GB2312" w:eastAsia="仿宋_GB2312" w:cs="仿宋_GB2312"/>
          <w:color w:val="auto"/>
          <w:spacing w:val="6"/>
          <w:kern w:val="30"/>
          <w:sz w:val="30"/>
          <w:szCs w:val="30"/>
          <w:highlight w:val="none"/>
          <w:lang w:eastAsia="zh-Hans" w:bidi="ar"/>
        </w:rPr>
        <w:t>公建民营</w:t>
      </w:r>
      <w:r>
        <w:rPr>
          <w:rFonts w:hint="eastAsia" w:ascii="仿宋_GB2312" w:hAnsi="仿宋_GB2312" w:eastAsia="仿宋_GB2312" w:cs="仿宋_GB2312"/>
          <w:color w:val="auto"/>
          <w:spacing w:val="6"/>
          <w:kern w:val="30"/>
          <w:sz w:val="30"/>
          <w:szCs w:val="30"/>
          <w:highlight w:val="none"/>
          <w:lang w:eastAsia="zh-CN" w:bidi="ar"/>
        </w:rPr>
        <w:t>”</w:t>
      </w:r>
      <w:r>
        <w:rPr>
          <w:rFonts w:hint="eastAsia" w:ascii="仿宋_GB2312" w:hAnsi="仿宋_GB2312" w:eastAsia="仿宋_GB2312" w:cs="仿宋_GB2312"/>
          <w:color w:val="auto"/>
          <w:spacing w:val="6"/>
          <w:kern w:val="30"/>
          <w:sz w:val="30"/>
          <w:szCs w:val="30"/>
          <w:highlight w:val="none"/>
          <w:lang w:eastAsia="zh-Hans" w:bidi="ar"/>
        </w:rPr>
        <w:t>养老机构给予一次性开办补助</w:t>
      </w:r>
      <w:r>
        <w:rPr>
          <w:rFonts w:hint="eastAsia" w:ascii="仿宋_GB2312" w:hAnsi="仿宋_GB2312" w:eastAsia="仿宋_GB2312" w:cs="仿宋_GB2312"/>
          <w:color w:val="auto"/>
          <w:spacing w:val="6"/>
          <w:kern w:val="30"/>
          <w:sz w:val="30"/>
          <w:szCs w:val="30"/>
          <w:highlight w:val="none"/>
          <w:lang w:eastAsia="zh-CN" w:bidi="ar"/>
        </w:rPr>
        <w:t>、</w:t>
      </w:r>
      <w:r>
        <w:rPr>
          <w:rFonts w:hint="eastAsia" w:ascii="仿宋_GB2312" w:hAnsi="仿宋_GB2312" w:eastAsia="仿宋_GB2312" w:cs="仿宋_GB2312"/>
          <w:color w:val="auto"/>
          <w:spacing w:val="6"/>
          <w:kern w:val="30"/>
          <w:sz w:val="30"/>
          <w:szCs w:val="30"/>
          <w:highlight w:val="none"/>
          <w:lang w:eastAsia="zh-Hans" w:bidi="ar"/>
        </w:rPr>
        <w:t>运营补贴。本次评估以该政策的制度设计、执行过程、实施效果及存在问题为评估内容，涵盖政策条款的合理性、执行机制的顺畅性、资金使用的规范性、目标实现的程度以及各方主体的满意度等维度。</w:t>
      </w:r>
    </w:p>
    <w:p w14:paraId="0ED81920">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rPr>
          <w:rFonts w:hint="eastAsia" w:ascii="仿宋_GB2312" w:hAnsi="仿宋_GB2312" w:eastAsia="仿宋_GB2312" w:cs="仿宋_GB2312"/>
          <w:color w:val="auto"/>
          <w:spacing w:val="6"/>
          <w:kern w:val="30"/>
          <w:sz w:val="30"/>
          <w:szCs w:val="30"/>
          <w:highlight w:val="none"/>
          <w:lang w:eastAsia="zh-Hans" w:bidi="ar"/>
        </w:rPr>
      </w:pPr>
      <w:r>
        <w:rPr>
          <w:rFonts w:hint="eastAsia" w:ascii="仿宋_GB2312" w:hAnsi="仿宋_GB2312" w:eastAsia="仿宋_GB2312" w:cs="仿宋_GB2312"/>
          <w:color w:val="auto"/>
          <w:spacing w:val="6"/>
          <w:kern w:val="30"/>
          <w:sz w:val="30"/>
          <w:szCs w:val="30"/>
          <w:highlight w:val="none"/>
          <w:lang w:val="en-US" w:eastAsia="zh-CN" w:bidi="ar"/>
        </w:rPr>
        <w:t>3.</w:t>
      </w:r>
      <w:r>
        <w:rPr>
          <w:rFonts w:hint="eastAsia" w:ascii="仿宋_GB2312" w:hAnsi="仿宋_GB2312" w:eastAsia="仿宋_GB2312" w:cs="仿宋_GB2312"/>
          <w:color w:val="auto"/>
          <w:spacing w:val="6"/>
          <w:kern w:val="30"/>
          <w:sz w:val="30"/>
          <w:szCs w:val="30"/>
          <w:highlight w:val="none"/>
          <w:lang w:eastAsia="zh-Hans" w:bidi="ar"/>
        </w:rPr>
        <w:t>评估范围</w:t>
      </w:r>
    </w:p>
    <w:p w14:paraId="6D2D6659">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rPr>
          <w:rFonts w:hint="eastAsia" w:ascii="仿宋_GB2312" w:hAnsi="仿宋_GB2312" w:eastAsia="仿宋_GB2312" w:cs="仿宋_GB2312"/>
          <w:color w:val="auto"/>
          <w:spacing w:val="6"/>
          <w:kern w:val="30"/>
          <w:sz w:val="30"/>
          <w:szCs w:val="30"/>
          <w:highlight w:val="none"/>
          <w:lang w:eastAsia="zh-Hans" w:bidi="ar"/>
        </w:rPr>
      </w:pPr>
      <w:r>
        <w:rPr>
          <w:rFonts w:hint="eastAsia" w:ascii="仿宋_GB2312" w:hAnsi="仿宋_GB2312" w:eastAsia="仿宋_GB2312" w:cs="仿宋_GB2312"/>
          <w:color w:val="auto"/>
          <w:spacing w:val="6"/>
          <w:kern w:val="30"/>
          <w:sz w:val="30"/>
          <w:szCs w:val="30"/>
          <w:highlight w:val="none"/>
          <w:lang w:eastAsia="zh-Hans" w:bidi="ar"/>
        </w:rPr>
        <w:t>时间范围。本次评估以2021至2025年为核心</w:t>
      </w:r>
      <w:r>
        <w:rPr>
          <w:rFonts w:hint="eastAsia" w:ascii="仿宋_GB2312" w:hAnsi="仿宋_GB2312" w:eastAsia="仿宋_GB2312" w:cs="仿宋_GB2312"/>
          <w:color w:val="auto"/>
          <w:spacing w:val="6"/>
          <w:kern w:val="30"/>
          <w:sz w:val="30"/>
          <w:szCs w:val="30"/>
          <w:highlight w:val="none"/>
          <w:lang w:val="en-US" w:eastAsia="zh-CN" w:bidi="ar"/>
        </w:rPr>
        <w:t>评估</w:t>
      </w:r>
      <w:r>
        <w:rPr>
          <w:rFonts w:hint="eastAsia" w:ascii="仿宋_GB2312" w:hAnsi="仿宋_GB2312" w:eastAsia="仿宋_GB2312" w:cs="仿宋_GB2312"/>
          <w:color w:val="auto"/>
          <w:spacing w:val="6"/>
          <w:kern w:val="30"/>
          <w:sz w:val="30"/>
          <w:szCs w:val="30"/>
          <w:highlight w:val="none"/>
          <w:lang w:eastAsia="zh-Hans" w:bidi="ar"/>
        </w:rPr>
        <w:t>期，对应的补贴年度为2020至2024年度。数据采集以该时段为重点，必要时追溯至2013年政策实施初期。这一周期既覆盖了“十四五”规划期，与政策本身设定的五年约束期相匹配，能够较为客观地衡量政策的实施绩效，反映资助资金从投入到产出、从承诺履行到效果显现的全过程。</w:t>
      </w:r>
    </w:p>
    <w:p w14:paraId="7616137F">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rPr>
          <w:rFonts w:hint="eastAsia" w:ascii="仿宋_GB2312" w:hAnsi="仿宋_GB2312" w:eastAsia="仿宋_GB2312" w:cs="仿宋_GB2312"/>
          <w:color w:val="auto"/>
          <w:spacing w:val="6"/>
          <w:kern w:val="30"/>
          <w:sz w:val="30"/>
          <w:szCs w:val="30"/>
          <w:highlight w:val="none"/>
          <w:lang w:eastAsia="zh-Hans" w:bidi="ar"/>
        </w:rPr>
      </w:pPr>
      <w:r>
        <w:rPr>
          <w:rFonts w:hint="eastAsia" w:ascii="仿宋_GB2312" w:hAnsi="仿宋_GB2312" w:eastAsia="仿宋_GB2312" w:cs="仿宋_GB2312"/>
          <w:color w:val="auto"/>
          <w:spacing w:val="6"/>
          <w:kern w:val="30"/>
          <w:sz w:val="30"/>
          <w:szCs w:val="30"/>
          <w:highlight w:val="none"/>
          <w:lang w:eastAsia="zh-Hans" w:bidi="ar"/>
        </w:rPr>
        <w:t>地域范围。本次评估覆盖全疆北疆、南疆、东疆三大区域，选取乌鲁木齐市、昌吉回族自治州</w:t>
      </w:r>
      <w:r>
        <w:rPr>
          <w:rFonts w:hint="eastAsia" w:ascii="仿宋_GB2312" w:hAnsi="仿宋_GB2312" w:eastAsia="仿宋_GB2312" w:cs="仿宋_GB2312"/>
          <w:color w:val="auto"/>
          <w:spacing w:val="6"/>
          <w:kern w:val="30"/>
          <w:sz w:val="30"/>
          <w:szCs w:val="30"/>
          <w:highlight w:val="none"/>
          <w:lang w:eastAsia="zh-CN" w:bidi="ar"/>
        </w:rPr>
        <w:t>（</w:t>
      </w:r>
      <w:r>
        <w:rPr>
          <w:rFonts w:hint="eastAsia" w:ascii="仿宋_GB2312" w:hAnsi="仿宋_GB2312" w:eastAsia="仿宋_GB2312" w:cs="仿宋_GB2312"/>
          <w:color w:val="auto"/>
          <w:spacing w:val="6"/>
          <w:kern w:val="30"/>
          <w:sz w:val="30"/>
          <w:szCs w:val="30"/>
          <w:highlight w:val="none"/>
          <w:lang w:val="en-US" w:eastAsia="zh-CN" w:bidi="ar"/>
        </w:rPr>
        <w:t>以下简称“昌吉州”）</w:t>
      </w:r>
      <w:r>
        <w:rPr>
          <w:rFonts w:hint="eastAsia" w:ascii="仿宋_GB2312" w:hAnsi="仿宋_GB2312" w:eastAsia="仿宋_GB2312" w:cs="仿宋_GB2312"/>
          <w:color w:val="auto"/>
          <w:spacing w:val="6"/>
          <w:kern w:val="30"/>
          <w:sz w:val="30"/>
          <w:szCs w:val="30"/>
          <w:highlight w:val="none"/>
          <w:lang w:eastAsia="zh-Hans" w:bidi="ar"/>
        </w:rPr>
        <w:t>、喀什地区、哈密市</w:t>
      </w:r>
      <w:r>
        <w:rPr>
          <w:rFonts w:hint="eastAsia" w:ascii="仿宋_GB2312" w:hAnsi="仿宋_GB2312" w:eastAsia="仿宋_GB2312" w:cs="仿宋_GB2312"/>
          <w:color w:val="auto"/>
          <w:spacing w:val="6"/>
          <w:kern w:val="30"/>
          <w:sz w:val="30"/>
          <w:szCs w:val="30"/>
          <w:highlight w:val="none"/>
          <w:lang w:val="en-US" w:eastAsia="zh-CN" w:bidi="ar"/>
        </w:rPr>
        <w:t>四个</w:t>
      </w:r>
      <w:r>
        <w:rPr>
          <w:rFonts w:hint="eastAsia" w:ascii="仿宋_GB2312" w:hAnsi="仿宋_GB2312" w:eastAsia="仿宋_GB2312" w:cs="仿宋_GB2312"/>
          <w:color w:val="auto"/>
          <w:spacing w:val="6"/>
          <w:kern w:val="30"/>
          <w:sz w:val="30"/>
          <w:szCs w:val="30"/>
          <w:highlight w:val="none"/>
          <w:lang w:eastAsia="zh-Hans" w:bidi="ar"/>
        </w:rPr>
        <w:t>具有代表性的地</w:t>
      </w:r>
      <w:r>
        <w:rPr>
          <w:rFonts w:hint="eastAsia" w:ascii="仿宋_GB2312" w:hAnsi="仿宋_GB2312" w:eastAsia="仿宋_GB2312" w:cs="仿宋_GB2312"/>
          <w:color w:val="auto"/>
          <w:spacing w:val="6"/>
          <w:kern w:val="30"/>
          <w:sz w:val="30"/>
          <w:szCs w:val="30"/>
          <w:highlight w:val="none"/>
          <w:lang w:eastAsia="zh-CN" w:bidi="ar"/>
        </w:rPr>
        <w:t>（</w:t>
      </w:r>
      <w:r>
        <w:rPr>
          <w:rFonts w:hint="eastAsia" w:ascii="仿宋_GB2312" w:hAnsi="仿宋_GB2312" w:eastAsia="仿宋_GB2312" w:cs="仿宋_GB2312"/>
          <w:color w:val="auto"/>
          <w:spacing w:val="6"/>
          <w:kern w:val="30"/>
          <w:sz w:val="30"/>
          <w:szCs w:val="30"/>
          <w:highlight w:val="none"/>
          <w:lang w:eastAsia="zh-Hans" w:bidi="ar"/>
        </w:rPr>
        <w:t>州</w:t>
      </w:r>
      <w:r>
        <w:rPr>
          <w:rFonts w:hint="eastAsia" w:ascii="仿宋_GB2312" w:hAnsi="仿宋_GB2312" w:eastAsia="仿宋_GB2312" w:cs="仿宋_GB2312"/>
          <w:color w:val="auto"/>
          <w:spacing w:val="6"/>
          <w:kern w:val="30"/>
          <w:sz w:val="30"/>
          <w:szCs w:val="30"/>
          <w:highlight w:val="none"/>
          <w:lang w:eastAsia="zh-CN" w:bidi="ar"/>
        </w:rPr>
        <w:t>、</w:t>
      </w:r>
      <w:r>
        <w:rPr>
          <w:rFonts w:hint="eastAsia" w:ascii="仿宋_GB2312" w:hAnsi="仿宋_GB2312" w:eastAsia="仿宋_GB2312" w:cs="仿宋_GB2312"/>
          <w:color w:val="auto"/>
          <w:spacing w:val="6"/>
          <w:kern w:val="30"/>
          <w:sz w:val="30"/>
          <w:szCs w:val="30"/>
          <w:highlight w:val="none"/>
          <w:lang w:eastAsia="zh-Hans" w:bidi="ar"/>
        </w:rPr>
        <w:t>市</w:t>
      </w:r>
      <w:r>
        <w:rPr>
          <w:rFonts w:hint="eastAsia" w:ascii="仿宋_GB2312" w:hAnsi="仿宋_GB2312" w:eastAsia="仿宋_GB2312" w:cs="仿宋_GB2312"/>
          <w:color w:val="auto"/>
          <w:spacing w:val="6"/>
          <w:kern w:val="30"/>
          <w:sz w:val="30"/>
          <w:szCs w:val="30"/>
          <w:highlight w:val="none"/>
          <w:lang w:eastAsia="zh-CN" w:bidi="ar"/>
        </w:rPr>
        <w:t>）</w:t>
      </w:r>
      <w:r>
        <w:rPr>
          <w:rFonts w:hint="eastAsia" w:ascii="仿宋_GB2312" w:hAnsi="仿宋_GB2312" w:eastAsia="仿宋_GB2312" w:cs="仿宋_GB2312"/>
          <w:color w:val="auto"/>
          <w:spacing w:val="6"/>
          <w:kern w:val="30"/>
          <w:sz w:val="30"/>
          <w:szCs w:val="30"/>
          <w:highlight w:val="none"/>
          <w:lang w:eastAsia="zh-Hans" w:bidi="ar"/>
        </w:rPr>
        <w:t>作为实地评估抽样点，同时通过问卷调查覆盖全疆各类型养老机构及民政部门。</w:t>
      </w:r>
    </w:p>
    <w:p w14:paraId="1782AA11">
      <w:pPr>
        <w:keepNext w:val="0"/>
        <w:keepLines w:val="0"/>
        <w:pageBreakBefore w:val="0"/>
        <w:widowControl w:val="0"/>
        <w:kinsoku/>
        <w:wordWrap/>
        <w:overflowPunct/>
        <w:topLinePunct w:val="0"/>
        <w:autoSpaceDE/>
        <w:autoSpaceDN/>
        <w:bidi w:val="0"/>
        <w:adjustRightInd/>
        <w:snapToGrid/>
        <w:spacing w:line="590" w:lineRule="exact"/>
        <w:ind w:firstLine="654" w:firstLineChars="200"/>
        <w:textAlignment w:val="auto"/>
        <w:rPr>
          <w:rFonts w:hint="eastAsia" w:ascii="仿宋_GB2312" w:hAnsi="仿宋_GB2312" w:eastAsia="仿宋_GB2312" w:cs="仿宋_GB2312"/>
          <w:color w:val="auto"/>
          <w:spacing w:val="6"/>
          <w:kern w:val="30"/>
          <w:sz w:val="30"/>
          <w:szCs w:val="30"/>
          <w:highlight w:val="none"/>
          <w:lang w:eastAsia="zh-Hans" w:bidi="ar"/>
        </w:rPr>
      </w:pPr>
      <w:r>
        <w:rPr>
          <w:rFonts w:hint="eastAsia" w:ascii="仿宋_GB2312" w:hAnsi="仿宋_GB2312" w:eastAsia="仿宋_GB2312" w:cs="仿宋_GB2312"/>
          <w:color w:val="auto"/>
          <w:spacing w:val="6"/>
          <w:kern w:val="30"/>
          <w:sz w:val="30"/>
          <w:szCs w:val="30"/>
          <w:highlight w:val="none"/>
          <w:lang w:eastAsia="zh-Hans" w:bidi="ar"/>
        </w:rPr>
        <w:t>对象范围。评估对象涵盖三类主体：一是养老服务机构</w:t>
      </w:r>
      <w:r>
        <w:rPr>
          <w:rFonts w:hint="eastAsia" w:ascii="仿宋_GB2312" w:hAnsi="仿宋_GB2312" w:eastAsia="仿宋_GB2312" w:cs="仿宋_GB2312"/>
          <w:color w:val="auto"/>
          <w:spacing w:val="6"/>
          <w:kern w:val="30"/>
          <w:sz w:val="30"/>
          <w:szCs w:val="30"/>
          <w:highlight w:val="none"/>
          <w:lang w:eastAsia="zh-CN" w:bidi="ar"/>
        </w:rPr>
        <w:t>，</w:t>
      </w:r>
      <w:r>
        <w:rPr>
          <w:rFonts w:hint="eastAsia" w:ascii="仿宋_GB2312" w:hAnsi="仿宋_GB2312" w:eastAsia="仿宋_GB2312" w:cs="仿宋_GB2312"/>
          <w:color w:val="auto"/>
          <w:spacing w:val="6"/>
          <w:kern w:val="30"/>
          <w:sz w:val="30"/>
          <w:szCs w:val="30"/>
          <w:highlight w:val="none"/>
          <w:lang w:eastAsia="zh-Hans" w:bidi="ar"/>
        </w:rPr>
        <w:t>二是民政管理部门</w:t>
      </w:r>
      <w:r>
        <w:rPr>
          <w:rFonts w:hint="eastAsia" w:ascii="仿宋_GB2312" w:hAnsi="仿宋_GB2312" w:eastAsia="仿宋_GB2312" w:cs="仿宋_GB2312"/>
          <w:color w:val="auto"/>
          <w:spacing w:val="6"/>
          <w:kern w:val="30"/>
          <w:sz w:val="30"/>
          <w:szCs w:val="30"/>
          <w:highlight w:val="none"/>
          <w:lang w:eastAsia="zh-CN" w:bidi="ar"/>
        </w:rPr>
        <w:t>，</w:t>
      </w:r>
      <w:r>
        <w:rPr>
          <w:rFonts w:hint="eastAsia" w:ascii="仿宋_GB2312" w:hAnsi="仿宋_GB2312" w:eastAsia="仿宋_GB2312" w:cs="仿宋_GB2312"/>
          <w:color w:val="auto"/>
          <w:spacing w:val="6"/>
          <w:kern w:val="30"/>
          <w:sz w:val="30"/>
          <w:szCs w:val="30"/>
          <w:highlight w:val="none"/>
          <w:lang w:eastAsia="zh-Hans" w:bidi="ar"/>
        </w:rPr>
        <w:t>三是入住老人及亲属。</w:t>
      </w:r>
    </w:p>
    <w:bookmarkEnd w:id="123"/>
    <w:p w14:paraId="0040BF2A">
      <w:pPr>
        <w:spacing w:line="590" w:lineRule="exact"/>
        <w:ind w:firstLine="630" w:firstLineChars="200"/>
        <w:outlineLvl w:val="1"/>
        <w:rPr>
          <w:rFonts w:hint="eastAsia" w:ascii="楷体_GB2312" w:hAnsi="楷体_GB2312" w:eastAsia="楷体_GB2312" w:cs="楷体_GB2312"/>
          <w:color w:val="auto"/>
          <w:kern w:val="30"/>
          <w:sz w:val="30"/>
          <w:szCs w:val="30"/>
          <w:highlight w:val="none"/>
        </w:rPr>
      </w:pPr>
      <w:bookmarkStart w:id="124" w:name="_Toc12302"/>
      <w:bookmarkStart w:id="125" w:name="_Toc22422"/>
      <w:bookmarkStart w:id="126" w:name="_Toc24391"/>
      <w:bookmarkStart w:id="127" w:name="_Toc20487"/>
      <w:bookmarkStart w:id="128" w:name="_Toc6112"/>
      <w:bookmarkStart w:id="129" w:name="_Toc28668"/>
      <w:bookmarkStart w:id="130" w:name="_Toc10904"/>
      <w:bookmarkStart w:id="131" w:name="_Toc26985"/>
      <w:bookmarkStart w:id="132" w:name="_Toc11255"/>
      <w:bookmarkStart w:id="133" w:name="_Toc25282"/>
      <w:bookmarkStart w:id="134" w:name="_Toc1773"/>
      <w:bookmarkStart w:id="135" w:name="_Toc9416"/>
      <w:bookmarkStart w:id="136" w:name="_Toc22725"/>
      <w:bookmarkStart w:id="137" w:name="_Toc5125"/>
      <w:bookmarkStart w:id="138" w:name="_Toc980"/>
      <w:bookmarkStart w:id="139" w:name="_Toc3934"/>
      <w:bookmarkStart w:id="140" w:name="_Toc17211"/>
      <w:bookmarkStart w:id="141" w:name="_Toc16684"/>
      <w:bookmarkStart w:id="142" w:name="_Toc31875"/>
      <w:bookmarkStart w:id="143" w:name="_Toc1064"/>
      <w:bookmarkStart w:id="144" w:name="_Toc9511"/>
      <w:bookmarkStart w:id="145" w:name="_Toc11965"/>
      <w:r>
        <w:rPr>
          <w:rFonts w:hint="eastAsia" w:ascii="楷体_GB2312" w:hAnsi="楷体_GB2312" w:eastAsia="楷体_GB2312" w:cs="楷体_GB2312"/>
          <w:color w:val="auto"/>
          <w:kern w:val="30"/>
          <w:sz w:val="30"/>
          <w:szCs w:val="30"/>
          <w:highlight w:val="none"/>
        </w:rPr>
        <w:t>（二）</w:t>
      </w:r>
      <w:r>
        <w:rPr>
          <w:rFonts w:hint="eastAsia" w:ascii="楷体_GB2312" w:hAnsi="楷体_GB2312" w:eastAsia="楷体_GB2312" w:cs="楷体_GB2312"/>
          <w:color w:val="auto"/>
          <w:kern w:val="30"/>
          <w:sz w:val="30"/>
          <w:szCs w:val="30"/>
          <w:highlight w:val="none"/>
          <w:lang w:val="en-US" w:eastAsia="zh-CN"/>
        </w:rPr>
        <w:t>政策评估</w:t>
      </w:r>
      <w:r>
        <w:rPr>
          <w:rFonts w:hint="eastAsia" w:ascii="楷体_GB2312" w:hAnsi="楷体_GB2312" w:eastAsia="楷体_GB2312" w:cs="楷体_GB2312"/>
          <w:color w:val="auto"/>
          <w:kern w:val="30"/>
          <w:sz w:val="30"/>
          <w:szCs w:val="30"/>
          <w:highlight w:val="none"/>
        </w:rPr>
        <w:t>原则、</w:t>
      </w:r>
      <w:r>
        <w:rPr>
          <w:rFonts w:hint="eastAsia" w:ascii="楷体_GB2312" w:hAnsi="楷体_GB2312" w:eastAsia="楷体_GB2312" w:cs="楷体_GB2312"/>
          <w:color w:val="auto"/>
          <w:kern w:val="30"/>
          <w:sz w:val="30"/>
          <w:szCs w:val="30"/>
          <w:highlight w:val="none"/>
          <w:lang w:val="en-US" w:eastAsia="zh-CN"/>
        </w:rPr>
        <w:t>评估</w:t>
      </w:r>
      <w:r>
        <w:rPr>
          <w:rFonts w:hint="eastAsia" w:ascii="楷体_GB2312" w:hAnsi="楷体_GB2312" w:eastAsia="楷体_GB2312" w:cs="楷体_GB2312"/>
          <w:color w:val="auto"/>
          <w:kern w:val="30"/>
          <w:sz w:val="30"/>
          <w:szCs w:val="30"/>
          <w:highlight w:val="none"/>
        </w:rPr>
        <w:t>指标体系、方法、标准和抽样</w:t>
      </w:r>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14:paraId="4DAB14E1">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eastAsia="zh-Hans" w:bidi="ar"/>
        </w:rPr>
      </w:pPr>
      <w:r>
        <w:rPr>
          <w:rFonts w:hint="eastAsia" w:ascii="仿宋_GB2312" w:hAnsi="仿宋_GB2312" w:eastAsia="仿宋_GB2312" w:cs="仿宋_GB2312"/>
          <w:color w:val="auto"/>
          <w:spacing w:val="6"/>
          <w:sz w:val="30"/>
          <w:szCs w:val="30"/>
          <w:highlight w:val="none"/>
          <w:lang w:eastAsia="zh-Hans" w:bidi="ar"/>
        </w:rPr>
        <w:t>1.</w:t>
      </w:r>
      <w:r>
        <w:rPr>
          <w:rFonts w:hint="eastAsia" w:ascii="仿宋_GB2312" w:hAnsi="仿宋_GB2312" w:eastAsia="仿宋_GB2312" w:cs="仿宋_GB2312"/>
          <w:color w:val="auto"/>
          <w:spacing w:val="6"/>
          <w:sz w:val="30"/>
          <w:szCs w:val="30"/>
          <w:highlight w:val="none"/>
          <w:lang w:val="en-US" w:eastAsia="zh-CN" w:bidi="ar"/>
        </w:rPr>
        <w:t>政策评估</w:t>
      </w:r>
      <w:r>
        <w:rPr>
          <w:rFonts w:hint="eastAsia" w:ascii="仿宋_GB2312" w:hAnsi="仿宋_GB2312" w:eastAsia="仿宋_GB2312" w:cs="仿宋_GB2312"/>
          <w:color w:val="auto"/>
          <w:spacing w:val="6"/>
          <w:sz w:val="30"/>
          <w:szCs w:val="30"/>
          <w:highlight w:val="none"/>
          <w:lang w:eastAsia="zh-Hans" w:bidi="ar"/>
        </w:rPr>
        <w:t>原则</w:t>
      </w:r>
    </w:p>
    <w:p w14:paraId="21845DAD">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eastAsia="zh-Hans" w:bidi="ar"/>
        </w:rPr>
      </w:pPr>
      <w:r>
        <w:rPr>
          <w:rFonts w:hint="eastAsia" w:ascii="仿宋_GB2312" w:hAnsi="仿宋_GB2312" w:eastAsia="仿宋_GB2312" w:cs="仿宋_GB2312"/>
          <w:color w:val="auto"/>
          <w:spacing w:val="6"/>
          <w:sz w:val="30"/>
          <w:szCs w:val="30"/>
          <w:highlight w:val="none"/>
          <w:lang w:eastAsia="zh-Hans" w:bidi="ar"/>
        </w:rPr>
        <w:t>本次政策评估遵循科学规范、客观公正、突出重点、结果导向的基本原则：</w:t>
      </w:r>
    </w:p>
    <w:p w14:paraId="776EB6B3">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eastAsia="zh-Hans" w:bidi="ar"/>
        </w:rPr>
      </w:pPr>
      <w:r>
        <w:rPr>
          <w:rFonts w:hint="eastAsia" w:ascii="仿宋_GB2312" w:hAnsi="仿宋_GB2312" w:eastAsia="仿宋_GB2312" w:cs="仿宋_GB2312"/>
          <w:color w:val="auto"/>
          <w:spacing w:val="6"/>
          <w:sz w:val="30"/>
          <w:szCs w:val="30"/>
          <w:highlight w:val="none"/>
          <w:lang w:eastAsia="zh-CN" w:bidi="ar"/>
        </w:rPr>
        <w:t>（</w:t>
      </w:r>
      <w:r>
        <w:rPr>
          <w:rFonts w:hint="eastAsia" w:ascii="仿宋_GB2312" w:hAnsi="仿宋_GB2312" w:eastAsia="仿宋_GB2312" w:cs="仿宋_GB2312"/>
          <w:color w:val="auto"/>
          <w:spacing w:val="6"/>
          <w:sz w:val="30"/>
          <w:szCs w:val="30"/>
          <w:highlight w:val="none"/>
          <w:lang w:val="en-US" w:eastAsia="zh-CN" w:bidi="ar"/>
        </w:rPr>
        <w:t>1</w:t>
      </w:r>
      <w:r>
        <w:rPr>
          <w:rFonts w:hint="eastAsia" w:ascii="仿宋_GB2312" w:hAnsi="仿宋_GB2312" w:eastAsia="仿宋_GB2312" w:cs="仿宋_GB2312"/>
          <w:color w:val="auto"/>
          <w:spacing w:val="6"/>
          <w:sz w:val="30"/>
          <w:szCs w:val="30"/>
          <w:highlight w:val="none"/>
          <w:lang w:eastAsia="zh-CN" w:bidi="ar"/>
        </w:rPr>
        <w:t>）</w:t>
      </w:r>
      <w:r>
        <w:rPr>
          <w:rFonts w:hint="eastAsia" w:ascii="仿宋_GB2312" w:hAnsi="仿宋_GB2312" w:eastAsia="仿宋_GB2312" w:cs="仿宋_GB2312"/>
          <w:color w:val="auto"/>
          <w:spacing w:val="6"/>
          <w:sz w:val="30"/>
          <w:szCs w:val="30"/>
          <w:highlight w:val="none"/>
          <w:lang w:eastAsia="zh-Hans" w:bidi="ar"/>
        </w:rPr>
        <w:t>科学规范原则。评估工作注重政策执行的经济性、效率性和有效性，合理确定评估目标和内容，运用简便有效、定量与定性分析相结合的方法进行</w:t>
      </w:r>
      <w:r>
        <w:rPr>
          <w:rFonts w:hint="eastAsia" w:ascii="仿宋_GB2312" w:hAnsi="仿宋_GB2312" w:eastAsia="仿宋_GB2312" w:cs="仿宋_GB2312"/>
          <w:color w:val="auto"/>
          <w:spacing w:val="6"/>
          <w:sz w:val="30"/>
          <w:szCs w:val="30"/>
          <w:highlight w:val="none"/>
          <w:lang w:val="en-US" w:eastAsia="zh-CN" w:bidi="ar"/>
        </w:rPr>
        <w:t>评估</w:t>
      </w:r>
      <w:r>
        <w:rPr>
          <w:rFonts w:hint="eastAsia" w:ascii="仿宋_GB2312" w:hAnsi="仿宋_GB2312" w:eastAsia="仿宋_GB2312" w:cs="仿宋_GB2312"/>
          <w:color w:val="auto"/>
          <w:spacing w:val="6"/>
          <w:sz w:val="30"/>
          <w:szCs w:val="30"/>
          <w:highlight w:val="none"/>
          <w:lang w:eastAsia="zh-Hans" w:bidi="ar"/>
        </w:rPr>
        <w:t>，确保评估过程规范有序。</w:t>
      </w:r>
    </w:p>
    <w:p w14:paraId="4FBA9AD5">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eastAsia="zh-Hans" w:bidi="ar"/>
        </w:rPr>
      </w:pPr>
      <w:r>
        <w:rPr>
          <w:rFonts w:hint="eastAsia" w:ascii="仿宋_GB2312" w:hAnsi="仿宋_GB2312" w:eastAsia="仿宋_GB2312" w:cs="仿宋_GB2312"/>
          <w:color w:val="auto"/>
          <w:spacing w:val="6"/>
          <w:sz w:val="30"/>
          <w:szCs w:val="30"/>
          <w:highlight w:val="none"/>
          <w:lang w:eastAsia="zh-CN" w:bidi="ar"/>
        </w:rPr>
        <w:t>（</w:t>
      </w:r>
      <w:r>
        <w:rPr>
          <w:rFonts w:hint="eastAsia" w:ascii="仿宋_GB2312" w:hAnsi="仿宋_GB2312" w:eastAsia="仿宋_GB2312" w:cs="仿宋_GB2312"/>
          <w:color w:val="auto"/>
          <w:spacing w:val="6"/>
          <w:sz w:val="30"/>
          <w:szCs w:val="30"/>
          <w:highlight w:val="none"/>
          <w:lang w:val="en-US" w:eastAsia="zh-CN" w:bidi="ar"/>
        </w:rPr>
        <w:t>2</w:t>
      </w:r>
      <w:r>
        <w:rPr>
          <w:rFonts w:hint="eastAsia" w:ascii="仿宋_GB2312" w:hAnsi="仿宋_GB2312" w:eastAsia="仿宋_GB2312" w:cs="仿宋_GB2312"/>
          <w:color w:val="auto"/>
          <w:spacing w:val="6"/>
          <w:sz w:val="30"/>
          <w:szCs w:val="30"/>
          <w:highlight w:val="none"/>
          <w:lang w:eastAsia="zh-CN" w:bidi="ar"/>
        </w:rPr>
        <w:t>）</w:t>
      </w:r>
      <w:r>
        <w:rPr>
          <w:rFonts w:hint="eastAsia" w:ascii="仿宋_GB2312" w:hAnsi="仿宋_GB2312" w:eastAsia="仿宋_GB2312" w:cs="仿宋_GB2312"/>
          <w:color w:val="auto"/>
          <w:spacing w:val="6"/>
          <w:sz w:val="30"/>
          <w:szCs w:val="30"/>
          <w:highlight w:val="none"/>
          <w:lang w:eastAsia="zh-Hans" w:bidi="ar"/>
        </w:rPr>
        <w:t>客观公正原则。评估工作符合真实、客观、公正的要求，做到依据合法、标准统一、资料可靠、实事求是，真实反映政策实施情况。</w:t>
      </w:r>
    </w:p>
    <w:p w14:paraId="25481B95">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eastAsia="zh-Hans" w:bidi="ar"/>
        </w:rPr>
      </w:pPr>
      <w:r>
        <w:rPr>
          <w:rFonts w:hint="eastAsia" w:ascii="仿宋_GB2312" w:hAnsi="仿宋_GB2312" w:eastAsia="仿宋_GB2312" w:cs="仿宋_GB2312"/>
          <w:color w:val="auto"/>
          <w:spacing w:val="6"/>
          <w:sz w:val="30"/>
          <w:szCs w:val="30"/>
          <w:highlight w:val="none"/>
          <w:lang w:eastAsia="zh-CN" w:bidi="ar"/>
        </w:rPr>
        <w:t>（</w:t>
      </w:r>
      <w:r>
        <w:rPr>
          <w:rFonts w:hint="eastAsia" w:ascii="仿宋_GB2312" w:hAnsi="仿宋_GB2312" w:eastAsia="仿宋_GB2312" w:cs="仿宋_GB2312"/>
          <w:color w:val="auto"/>
          <w:spacing w:val="6"/>
          <w:sz w:val="30"/>
          <w:szCs w:val="30"/>
          <w:highlight w:val="none"/>
          <w:lang w:val="en-US" w:eastAsia="zh-CN" w:bidi="ar"/>
        </w:rPr>
        <w:t>3</w:t>
      </w:r>
      <w:r>
        <w:rPr>
          <w:rFonts w:hint="eastAsia" w:ascii="仿宋_GB2312" w:hAnsi="仿宋_GB2312" w:eastAsia="仿宋_GB2312" w:cs="仿宋_GB2312"/>
          <w:color w:val="auto"/>
          <w:spacing w:val="6"/>
          <w:sz w:val="30"/>
          <w:szCs w:val="30"/>
          <w:highlight w:val="none"/>
          <w:lang w:eastAsia="zh-CN" w:bidi="ar"/>
        </w:rPr>
        <w:t>）</w:t>
      </w:r>
      <w:r>
        <w:rPr>
          <w:rFonts w:hint="eastAsia" w:ascii="仿宋_GB2312" w:hAnsi="仿宋_GB2312" w:eastAsia="仿宋_GB2312" w:cs="仿宋_GB2312"/>
          <w:color w:val="auto"/>
          <w:spacing w:val="6"/>
          <w:sz w:val="30"/>
          <w:szCs w:val="30"/>
          <w:highlight w:val="none"/>
          <w:lang w:eastAsia="zh-Hans" w:bidi="ar"/>
        </w:rPr>
        <w:t>问题导向原则。评估工作围绕政策执行中的关键环节和核心问题展开，聚焦制度设计、资金管理、审核监管、实施效果等方面的突出问题，</w:t>
      </w:r>
      <w:r>
        <w:rPr>
          <w:rFonts w:hint="eastAsia" w:ascii="仿宋_GB2312" w:hAnsi="仿宋_GB2312" w:eastAsia="仿宋_GB2312" w:cs="仿宋_GB2312"/>
          <w:color w:val="auto"/>
          <w:spacing w:val="6"/>
          <w:sz w:val="30"/>
          <w:szCs w:val="30"/>
          <w:highlight w:val="none"/>
          <w:lang w:val="en-US" w:eastAsia="zh-CN" w:bidi="ar"/>
        </w:rPr>
        <w:t>评估</w:t>
      </w:r>
      <w:r>
        <w:rPr>
          <w:rFonts w:hint="eastAsia" w:ascii="仿宋_GB2312" w:hAnsi="仿宋_GB2312" w:eastAsia="仿宋_GB2312" w:cs="仿宋_GB2312"/>
          <w:color w:val="auto"/>
          <w:spacing w:val="6"/>
          <w:sz w:val="30"/>
          <w:szCs w:val="30"/>
          <w:highlight w:val="none"/>
          <w:lang w:eastAsia="zh-Hans" w:bidi="ar"/>
        </w:rPr>
        <w:t>结论清晰反映问题症结与政策设计之间的对应关系。</w:t>
      </w:r>
    </w:p>
    <w:p w14:paraId="49A7D834">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eastAsia="zh-Hans" w:bidi="ar"/>
        </w:rPr>
      </w:pPr>
      <w:r>
        <w:rPr>
          <w:rFonts w:hint="eastAsia" w:ascii="仿宋_GB2312" w:hAnsi="仿宋_GB2312" w:eastAsia="仿宋_GB2312" w:cs="仿宋_GB2312"/>
          <w:color w:val="auto"/>
          <w:spacing w:val="6"/>
          <w:sz w:val="30"/>
          <w:szCs w:val="30"/>
          <w:highlight w:val="none"/>
          <w:lang w:eastAsia="zh-CN" w:bidi="ar"/>
        </w:rPr>
        <w:t>（</w:t>
      </w:r>
      <w:r>
        <w:rPr>
          <w:rFonts w:hint="eastAsia" w:ascii="仿宋_GB2312" w:hAnsi="仿宋_GB2312" w:eastAsia="仿宋_GB2312" w:cs="仿宋_GB2312"/>
          <w:color w:val="auto"/>
          <w:spacing w:val="6"/>
          <w:sz w:val="30"/>
          <w:szCs w:val="30"/>
          <w:highlight w:val="none"/>
          <w:lang w:val="en-US" w:eastAsia="zh-CN" w:bidi="ar"/>
        </w:rPr>
        <w:t>4</w:t>
      </w:r>
      <w:r>
        <w:rPr>
          <w:rFonts w:hint="eastAsia" w:ascii="仿宋_GB2312" w:hAnsi="仿宋_GB2312" w:eastAsia="仿宋_GB2312" w:cs="仿宋_GB2312"/>
          <w:color w:val="auto"/>
          <w:spacing w:val="6"/>
          <w:sz w:val="30"/>
          <w:szCs w:val="30"/>
          <w:highlight w:val="none"/>
          <w:lang w:eastAsia="zh-CN" w:bidi="ar"/>
        </w:rPr>
        <w:t>）</w:t>
      </w:r>
      <w:r>
        <w:rPr>
          <w:rFonts w:hint="eastAsia" w:ascii="仿宋_GB2312" w:hAnsi="仿宋_GB2312" w:eastAsia="仿宋_GB2312" w:cs="仿宋_GB2312"/>
          <w:color w:val="auto"/>
          <w:spacing w:val="6"/>
          <w:sz w:val="30"/>
          <w:szCs w:val="30"/>
          <w:highlight w:val="none"/>
          <w:lang w:eastAsia="zh-Hans" w:bidi="ar"/>
        </w:rPr>
        <w:t>结果导向原则。评估结论与政策存续、制度调整、管理优化等挂钩，确保评估成果能够有效转化为政策优化的具体举措。</w:t>
      </w:r>
    </w:p>
    <w:p w14:paraId="444FB2DB">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eastAsia="zh-Hans" w:bidi="ar"/>
        </w:rPr>
      </w:pPr>
      <w:r>
        <w:rPr>
          <w:rFonts w:hint="eastAsia" w:ascii="仿宋_GB2312" w:hAnsi="仿宋_GB2312" w:eastAsia="仿宋_GB2312" w:cs="仿宋_GB2312"/>
          <w:color w:val="auto"/>
          <w:spacing w:val="6"/>
          <w:sz w:val="30"/>
          <w:szCs w:val="30"/>
          <w:highlight w:val="none"/>
          <w:lang w:eastAsia="zh-Hans" w:bidi="ar"/>
        </w:rPr>
        <w:t>2.</w:t>
      </w:r>
      <w:r>
        <w:rPr>
          <w:rFonts w:hint="eastAsia" w:ascii="仿宋_GB2312" w:hAnsi="仿宋_GB2312" w:eastAsia="仿宋_GB2312" w:cs="仿宋_GB2312"/>
          <w:color w:val="auto"/>
          <w:spacing w:val="6"/>
          <w:sz w:val="30"/>
          <w:szCs w:val="30"/>
          <w:highlight w:val="none"/>
          <w:lang w:val="en-US" w:eastAsia="zh-CN" w:bidi="ar"/>
        </w:rPr>
        <w:t>政策评估</w:t>
      </w:r>
      <w:r>
        <w:rPr>
          <w:rFonts w:hint="eastAsia" w:ascii="仿宋_GB2312" w:hAnsi="仿宋_GB2312" w:eastAsia="仿宋_GB2312" w:cs="仿宋_GB2312"/>
          <w:color w:val="auto"/>
          <w:spacing w:val="6"/>
          <w:sz w:val="30"/>
          <w:szCs w:val="30"/>
          <w:highlight w:val="none"/>
          <w:lang w:eastAsia="zh-Hans" w:bidi="ar"/>
        </w:rPr>
        <w:t>指标体系</w:t>
      </w:r>
    </w:p>
    <w:p w14:paraId="38BDBE54">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eastAsia="zh-Hans" w:bidi="ar"/>
        </w:rPr>
      </w:pPr>
      <w:bookmarkStart w:id="146" w:name="_Toc11440975"/>
      <w:r>
        <w:rPr>
          <w:rFonts w:hint="eastAsia" w:ascii="仿宋_GB2312" w:hAnsi="仿宋_GB2312" w:eastAsia="仿宋_GB2312" w:cs="仿宋_GB2312"/>
          <w:color w:val="auto"/>
          <w:spacing w:val="6"/>
          <w:sz w:val="30"/>
          <w:szCs w:val="30"/>
          <w:highlight w:val="none"/>
          <w:lang w:eastAsia="zh-Hans" w:bidi="ar"/>
        </w:rPr>
        <w:t>（1）</w:t>
      </w:r>
      <w:r>
        <w:rPr>
          <w:rFonts w:hint="eastAsia" w:ascii="仿宋_GB2312" w:hAnsi="仿宋_GB2312" w:eastAsia="仿宋_GB2312" w:cs="仿宋_GB2312"/>
          <w:color w:val="auto"/>
          <w:spacing w:val="6"/>
          <w:sz w:val="30"/>
          <w:szCs w:val="30"/>
          <w:highlight w:val="none"/>
          <w:lang w:val="en-US" w:eastAsia="zh-CN" w:bidi="ar"/>
        </w:rPr>
        <w:t>政策评估</w:t>
      </w:r>
      <w:r>
        <w:rPr>
          <w:rFonts w:hint="eastAsia" w:ascii="仿宋_GB2312" w:hAnsi="仿宋_GB2312" w:eastAsia="仿宋_GB2312" w:cs="仿宋_GB2312"/>
          <w:color w:val="auto"/>
          <w:spacing w:val="6"/>
          <w:sz w:val="30"/>
          <w:szCs w:val="30"/>
          <w:highlight w:val="none"/>
          <w:lang w:eastAsia="zh-Hans" w:bidi="ar"/>
        </w:rPr>
        <w:t>指标</w:t>
      </w:r>
    </w:p>
    <w:p w14:paraId="22F5D416">
      <w:pPr>
        <w:numPr>
          <w:ilvl w:val="0"/>
          <w:numId w:val="0"/>
        </w:numPr>
        <w:spacing w:line="590" w:lineRule="exact"/>
        <w:ind w:firstLine="654" w:firstLineChars="200"/>
        <w:rPr>
          <w:rFonts w:hint="eastAsia" w:ascii="仿宋_GB2312" w:hAnsi="仿宋_GB2312" w:eastAsia="仿宋_GB2312" w:cs="仿宋_GB2312"/>
          <w:color w:val="auto"/>
          <w:spacing w:val="6"/>
          <w:kern w:val="30"/>
          <w:sz w:val="30"/>
          <w:szCs w:val="30"/>
          <w:highlight w:val="none"/>
          <w:lang w:eastAsia="zh-Hans" w:bidi="ar"/>
        </w:rPr>
      </w:pPr>
      <w:r>
        <w:rPr>
          <w:rFonts w:hint="eastAsia" w:ascii="仿宋_GB2312" w:hAnsi="仿宋_GB2312" w:eastAsia="仿宋_GB2312" w:cs="仿宋_GB2312"/>
          <w:color w:val="auto"/>
          <w:spacing w:val="6"/>
          <w:kern w:val="30"/>
          <w:sz w:val="30"/>
          <w:szCs w:val="30"/>
          <w:highlight w:val="none"/>
          <w:lang w:eastAsia="zh-Hans" w:bidi="ar"/>
        </w:rPr>
        <w:t>根据《自治区党委自治区人民政府关于全面实施预算绩效管理的实施意见》（新党发﹝2018﹞30号）要求，结合</w:t>
      </w:r>
      <w:r>
        <w:rPr>
          <w:rFonts w:hint="eastAsia" w:ascii="仿宋_GB2312" w:hAnsi="仿宋_GB2312" w:eastAsia="仿宋_GB2312" w:cs="仿宋_GB2312"/>
          <w:color w:val="auto"/>
          <w:spacing w:val="6"/>
          <w:kern w:val="30"/>
          <w:sz w:val="30"/>
          <w:szCs w:val="30"/>
          <w:highlight w:val="none"/>
          <w:lang w:val="en-US" w:eastAsia="zh-Hans" w:bidi="ar"/>
        </w:rPr>
        <w:t>资助政策</w:t>
      </w:r>
      <w:r>
        <w:rPr>
          <w:rFonts w:hint="eastAsia" w:ascii="仿宋_GB2312" w:hAnsi="仿宋_GB2312" w:eastAsia="仿宋_GB2312" w:cs="仿宋_GB2312"/>
          <w:color w:val="auto"/>
          <w:spacing w:val="6"/>
          <w:kern w:val="30"/>
          <w:sz w:val="30"/>
          <w:szCs w:val="30"/>
          <w:highlight w:val="none"/>
          <w:lang w:eastAsia="zh-Hans" w:bidi="ar"/>
        </w:rPr>
        <w:t>支持</w:t>
      </w:r>
      <w:r>
        <w:rPr>
          <w:rFonts w:hint="eastAsia" w:ascii="仿宋_GB2312" w:hAnsi="仿宋_GB2312" w:eastAsia="仿宋_GB2312" w:cs="仿宋_GB2312"/>
          <w:color w:val="auto"/>
          <w:spacing w:val="6"/>
          <w:kern w:val="30"/>
          <w:sz w:val="30"/>
          <w:szCs w:val="30"/>
          <w:highlight w:val="none"/>
          <w:lang w:val="en-US" w:eastAsia="zh-Hans" w:bidi="ar"/>
        </w:rPr>
        <w:t>范围</w:t>
      </w:r>
      <w:r>
        <w:rPr>
          <w:rFonts w:hint="eastAsia" w:ascii="仿宋_GB2312" w:hAnsi="仿宋_GB2312" w:eastAsia="仿宋_GB2312" w:cs="仿宋_GB2312"/>
          <w:color w:val="auto"/>
          <w:spacing w:val="6"/>
          <w:kern w:val="30"/>
          <w:sz w:val="30"/>
          <w:szCs w:val="30"/>
          <w:highlight w:val="none"/>
          <w:lang w:eastAsia="zh-Hans" w:bidi="ar"/>
        </w:rPr>
        <w:t>、</w:t>
      </w:r>
      <w:r>
        <w:rPr>
          <w:rFonts w:hint="eastAsia" w:ascii="仿宋_GB2312" w:hAnsi="仿宋_GB2312" w:eastAsia="仿宋_GB2312" w:cs="仿宋_GB2312"/>
          <w:color w:val="auto"/>
          <w:spacing w:val="6"/>
          <w:kern w:val="30"/>
          <w:sz w:val="30"/>
          <w:szCs w:val="30"/>
          <w:highlight w:val="none"/>
          <w:lang w:val="en-US" w:eastAsia="zh-Hans" w:bidi="ar"/>
        </w:rPr>
        <w:t>补贴标准</w:t>
      </w:r>
      <w:r>
        <w:rPr>
          <w:rFonts w:hint="eastAsia" w:ascii="仿宋_GB2312" w:hAnsi="仿宋_GB2312" w:eastAsia="仿宋_GB2312" w:cs="仿宋_GB2312"/>
          <w:color w:val="auto"/>
          <w:spacing w:val="6"/>
          <w:kern w:val="30"/>
          <w:sz w:val="30"/>
          <w:szCs w:val="30"/>
          <w:highlight w:val="none"/>
          <w:lang w:eastAsia="zh-Hans" w:bidi="ar"/>
        </w:rPr>
        <w:t>和</w:t>
      </w:r>
      <w:r>
        <w:rPr>
          <w:rFonts w:hint="eastAsia" w:ascii="仿宋_GB2312" w:hAnsi="仿宋_GB2312" w:eastAsia="仿宋_GB2312" w:cs="仿宋_GB2312"/>
          <w:color w:val="auto"/>
          <w:spacing w:val="6"/>
          <w:kern w:val="30"/>
          <w:sz w:val="30"/>
          <w:szCs w:val="30"/>
          <w:highlight w:val="none"/>
          <w:lang w:val="en-US" w:eastAsia="zh-Hans" w:bidi="ar"/>
        </w:rPr>
        <w:t>申报流程</w:t>
      </w:r>
      <w:r>
        <w:rPr>
          <w:rFonts w:hint="eastAsia" w:ascii="仿宋_GB2312" w:hAnsi="仿宋_GB2312" w:eastAsia="仿宋_GB2312" w:cs="仿宋_GB2312"/>
          <w:color w:val="auto"/>
          <w:spacing w:val="6"/>
          <w:kern w:val="30"/>
          <w:sz w:val="30"/>
          <w:szCs w:val="30"/>
          <w:highlight w:val="none"/>
          <w:lang w:eastAsia="zh-Hans" w:bidi="ar"/>
        </w:rPr>
        <w:t>，</w:t>
      </w:r>
      <w:r>
        <w:rPr>
          <w:rFonts w:hint="eastAsia" w:ascii="仿宋_GB2312" w:hAnsi="仿宋_GB2312" w:eastAsia="仿宋_GB2312" w:cs="仿宋_GB2312"/>
          <w:color w:val="auto"/>
          <w:spacing w:val="6"/>
          <w:kern w:val="30"/>
          <w:sz w:val="30"/>
          <w:szCs w:val="30"/>
          <w:highlight w:val="none"/>
          <w:lang w:val="en-US" w:eastAsia="zh-Hans" w:bidi="ar"/>
        </w:rPr>
        <w:t>以</w:t>
      </w:r>
      <w:r>
        <w:rPr>
          <w:rFonts w:hint="eastAsia" w:ascii="仿宋_GB2312" w:hAnsi="仿宋_GB2312" w:eastAsia="仿宋_GB2312" w:cs="仿宋_GB2312"/>
          <w:color w:val="auto"/>
          <w:spacing w:val="6"/>
          <w:kern w:val="30"/>
          <w:sz w:val="30"/>
          <w:szCs w:val="30"/>
          <w:highlight w:val="none"/>
          <w:lang w:eastAsia="zh-Hans" w:bidi="ar"/>
        </w:rPr>
        <w:t>“政策科学性→资金管理→组织实施→产出与效益→政策效果与存续价值”</w:t>
      </w:r>
      <w:r>
        <w:rPr>
          <w:rFonts w:hint="eastAsia" w:ascii="仿宋_GB2312" w:hAnsi="仿宋_GB2312" w:eastAsia="仿宋_GB2312" w:cs="仿宋_GB2312"/>
          <w:color w:val="auto"/>
          <w:spacing w:val="6"/>
          <w:kern w:val="30"/>
          <w:sz w:val="30"/>
          <w:szCs w:val="30"/>
          <w:highlight w:val="none"/>
          <w:lang w:val="en-US" w:eastAsia="zh-Hans" w:bidi="ar"/>
        </w:rPr>
        <w:t>为</w:t>
      </w:r>
      <w:r>
        <w:rPr>
          <w:rFonts w:hint="eastAsia" w:ascii="仿宋_GB2312" w:hAnsi="仿宋_GB2312" w:eastAsia="仿宋_GB2312" w:cs="仿宋_GB2312"/>
          <w:color w:val="auto"/>
          <w:spacing w:val="6"/>
          <w:kern w:val="30"/>
          <w:sz w:val="30"/>
          <w:szCs w:val="30"/>
          <w:highlight w:val="none"/>
          <w:lang w:val="en-US" w:eastAsia="zh-CN" w:bidi="ar"/>
        </w:rPr>
        <w:t>评估</w:t>
      </w:r>
      <w:r>
        <w:rPr>
          <w:rFonts w:hint="eastAsia" w:ascii="仿宋_GB2312" w:hAnsi="仿宋_GB2312" w:eastAsia="仿宋_GB2312" w:cs="仿宋_GB2312"/>
          <w:color w:val="auto"/>
          <w:spacing w:val="6"/>
          <w:kern w:val="30"/>
          <w:sz w:val="30"/>
          <w:szCs w:val="30"/>
          <w:highlight w:val="none"/>
          <w:lang w:eastAsia="zh-Hans" w:bidi="ar"/>
        </w:rPr>
        <w:t>逻辑主线，本次</w:t>
      </w:r>
      <w:r>
        <w:rPr>
          <w:rFonts w:hint="eastAsia" w:ascii="仿宋_GB2312" w:hAnsi="仿宋_GB2312" w:eastAsia="仿宋_GB2312" w:cs="仿宋_GB2312"/>
          <w:color w:val="auto"/>
          <w:spacing w:val="6"/>
          <w:kern w:val="30"/>
          <w:sz w:val="30"/>
          <w:szCs w:val="30"/>
          <w:highlight w:val="none"/>
          <w:lang w:val="en-US" w:eastAsia="zh-Hans" w:bidi="ar"/>
        </w:rPr>
        <w:t>到</w:t>
      </w:r>
      <w:r>
        <w:rPr>
          <w:rFonts w:hint="eastAsia" w:ascii="仿宋_GB2312" w:hAnsi="仿宋_GB2312" w:eastAsia="仿宋_GB2312" w:cs="仿宋_GB2312"/>
          <w:color w:val="auto"/>
          <w:spacing w:val="6"/>
          <w:kern w:val="30"/>
          <w:sz w:val="30"/>
          <w:szCs w:val="30"/>
          <w:highlight w:val="none"/>
          <w:lang w:eastAsia="zh-Hans" w:bidi="ar"/>
        </w:rPr>
        <w:t>期评估指标体系具体设置如下：</w:t>
      </w:r>
    </w:p>
    <w:p w14:paraId="480F4958">
      <w:pPr>
        <w:numPr>
          <w:ilvl w:val="0"/>
          <w:numId w:val="0"/>
        </w:numPr>
        <w:spacing w:line="590" w:lineRule="exact"/>
        <w:ind w:firstLine="654" w:firstLineChars="200"/>
        <w:rPr>
          <w:rFonts w:hint="eastAsia" w:ascii="仿宋_GB2312" w:hAnsi="仿宋_GB2312" w:eastAsia="仿宋_GB2312" w:cs="仿宋_GB2312"/>
          <w:color w:val="auto"/>
          <w:spacing w:val="6"/>
          <w:kern w:val="30"/>
          <w:sz w:val="30"/>
          <w:szCs w:val="30"/>
          <w:highlight w:val="none"/>
          <w:lang w:eastAsia="zh-Hans" w:bidi="ar"/>
        </w:rPr>
      </w:pPr>
      <w:r>
        <w:rPr>
          <w:rFonts w:hint="eastAsia" w:ascii="仿宋_GB2312" w:hAnsi="仿宋_GB2312" w:eastAsia="仿宋_GB2312" w:cs="仿宋_GB2312"/>
          <w:color w:val="auto"/>
          <w:spacing w:val="6"/>
          <w:kern w:val="30"/>
          <w:sz w:val="30"/>
          <w:szCs w:val="30"/>
          <w:highlight w:val="none"/>
          <w:lang w:eastAsia="zh-Hans" w:bidi="ar"/>
        </w:rPr>
        <w:t>本指标体系共设一级指标2个：执行期目标实现与资金管理（70分）、</w:t>
      </w:r>
      <w:r>
        <w:rPr>
          <w:rFonts w:hint="eastAsia" w:ascii="仿宋_GB2312" w:hAnsi="仿宋_GB2312" w:eastAsia="仿宋_GB2312" w:cs="仿宋_GB2312"/>
          <w:color w:val="auto"/>
          <w:spacing w:val="6"/>
          <w:kern w:val="30"/>
          <w:sz w:val="30"/>
          <w:szCs w:val="30"/>
          <w:highlight w:val="none"/>
          <w:lang w:val="en-US" w:eastAsia="zh-Hans" w:bidi="ar"/>
        </w:rPr>
        <w:t>政策调整方向与存续价值</w:t>
      </w:r>
      <w:r>
        <w:rPr>
          <w:rFonts w:hint="eastAsia" w:ascii="仿宋_GB2312" w:hAnsi="仿宋_GB2312" w:eastAsia="仿宋_GB2312" w:cs="仿宋_GB2312"/>
          <w:color w:val="auto"/>
          <w:spacing w:val="6"/>
          <w:kern w:val="30"/>
          <w:sz w:val="30"/>
          <w:szCs w:val="30"/>
          <w:highlight w:val="none"/>
          <w:lang w:eastAsia="zh-Hans" w:bidi="ar"/>
        </w:rPr>
        <w:t>（30分）；</w:t>
      </w:r>
    </w:p>
    <w:p w14:paraId="434F9C2E">
      <w:pPr>
        <w:numPr>
          <w:ilvl w:val="0"/>
          <w:numId w:val="0"/>
        </w:numPr>
        <w:spacing w:line="590" w:lineRule="exact"/>
        <w:ind w:firstLine="654" w:firstLineChars="200"/>
        <w:rPr>
          <w:rFonts w:hint="eastAsia" w:ascii="仿宋_GB2312" w:hAnsi="仿宋_GB2312" w:eastAsia="仿宋_GB2312" w:cs="仿宋_GB2312"/>
          <w:color w:val="auto"/>
          <w:spacing w:val="6"/>
          <w:kern w:val="30"/>
          <w:sz w:val="30"/>
          <w:szCs w:val="30"/>
          <w:highlight w:val="none"/>
          <w:lang w:eastAsia="zh-Hans" w:bidi="ar"/>
        </w:rPr>
      </w:pPr>
      <w:r>
        <w:rPr>
          <w:rFonts w:hint="eastAsia" w:ascii="仿宋_GB2312" w:hAnsi="仿宋_GB2312" w:eastAsia="仿宋_GB2312" w:cs="仿宋_GB2312"/>
          <w:color w:val="auto"/>
          <w:spacing w:val="6"/>
          <w:kern w:val="30"/>
          <w:sz w:val="30"/>
          <w:szCs w:val="30"/>
          <w:highlight w:val="none"/>
          <w:lang w:eastAsia="zh-Hans" w:bidi="ar"/>
        </w:rPr>
        <w:t>二级指标6个：政策科学合理性（13分）、资金管理（23分）、组织实施（12分）、产出与效益（22分）、政策效果与问题诊断（20分）、政策存续价值（10分）；</w:t>
      </w:r>
    </w:p>
    <w:p w14:paraId="6627B14B">
      <w:pPr>
        <w:numPr>
          <w:ilvl w:val="0"/>
          <w:numId w:val="0"/>
        </w:numPr>
        <w:spacing w:line="590" w:lineRule="exact"/>
        <w:ind w:firstLine="654" w:firstLineChars="200"/>
        <w:rPr>
          <w:rFonts w:hint="eastAsia" w:ascii="仿宋_GB2312" w:hAnsi="仿宋_GB2312" w:eastAsia="仿宋_GB2312" w:cs="仿宋_GB2312"/>
          <w:color w:val="auto"/>
          <w:spacing w:val="6"/>
          <w:kern w:val="30"/>
          <w:sz w:val="30"/>
          <w:szCs w:val="30"/>
          <w:highlight w:val="none"/>
          <w:lang w:eastAsia="zh-Hans" w:bidi="ar"/>
        </w:rPr>
      </w:pPr>
      <w:r>
        <w:rPr>
          <w:rFonts w:hint="eastAsia" w:ascii="仿宋_GB2312" w:hAnsi="仿宋_GB2312" w:eastAsia="仿宋_GB2312" w:cs="仿宋_GB2312"/>
          <w:color w:val="auto"/>
          <w:spacing w:val="6"/>
          <w:kern w:val="30"/>
          <w:sz w:val="30"/>
          <w:szCs w:val="30"/>
          <w:highlight w:val="none"/>
          <w:lang w:eastAsia="zh-Hans" w:bidi="ar"/>
        </w:rPr>
        <w:t>三级指标20个：政策目标与规划衔接度、政策条件引导有效性、资金到位率、配套资金落实率、资金使用有效性、补贴资金使用合规性、固定资产管理规范性、审核程序规范性、监管机制有效性、区域覆盖均衡性、床位与机构增长、护理型床位占比、机构服务质量、机构持续经营能力、补贴标准合理性、入住率补贴门槛合理性、申报资料要求合理性、审核程序合理性、继续实施依据充分性、政策退出影响评估。</w:t>
      </w:r>
    </w:p>
    <w:bookmarkEnd w:id="146"/>
    <w:p w14:paraId="05A71E1F">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eastAsia="zh-Hans" w:bidi="ar"/>
        </w:rPr>
      </w:pPr>
      <w:bookmarkStart w:id="147" w:name="_Toc1781702951"/>
      <w:bookmarkStart w:id="148" w:name="_Toc2053974070"/>
      <w:bookmarkStart w:id="149" w:name="_Toc1548"/>
      <w:bookmarkStart w:id="150" w:name="_Toc1011169467"/>
      <w:bookmarkStart w:id="151" w:name="_Toc726"/>
      <w:bookmarkStart w:id="152" w:name="_Toc1540283240"/>
      <w:bookmarkStart w:id="153" w:name="_Toc7309"/>
      <w:bookmarkStart w:id="154" w:name="_Toc1237088845"/>
      <w:bookmarkStart w:id="155" w:name="_Toc1085414003"/>
      <w:bookmarkStart w:id="156" w:name="_Toc1450700610"/>
      <w:bookmarkStart w:id="157" w:name="_Toc11440977"/>
      <w:bookmarkStart w:id="158" w:name="_Toc22478"/>
      <w:r>
        <w:rPr>
          <w:rFonts w:hint="eastAsia" w:ascii="仿宋_GB2312" w:hAnsi="仿宋_GB2312" w:eastAsia="仿宋_GB2312" w:cs="仿宋_GB2312"/>
          <w:color w:val="auto"/>
          <w:spacing w:val="6"/>
          <w:sz w:val="30"/>
          <w:szCs w:val="30"/>
          <w:highlight w:val="none"/>
          <w:lang w:eastAsia="zh-Hans" w:bidi="ar"/>
        </w:rPr>
        <w:t>3.评估的主要方法</w:t>
      </w:r>
    </w:p>
    <w:p w14:paraId="0EC57FCF">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eastAsia="zh-Hans" w:bidi="ar"/>
        </w:rPr>
      </w:pPr>
      <w:r>
        <w:rPr>
          <w:rFonts w:hint="eastAsia" w:ascii="仿宋_GB2312" w:hAnsi="仿宋_GB2312" w:eastAsia="仿宋_GB2312" w:cs="仿宋_GB2312"/>
          <w:color w:val="auto"/>
          <w:spacing w:val="6"/>
          <w:sz w:val="30"/>
          <w:szCs w:val="30"/>
          <w:highlight w:val="none"/>
          <w:lang w:eastAsia="zh-Hans" w:bidi="ar"/>
        </w:rPr>
        <w:t>本次</w:t>
      </w:r>
      <w:r>
        <w:rPr>
          <w:rFonts w:hint="eastAsia" w:ascii="仿宋_GB2312" w:hAnsi="仿宋_GB2312" w:eastAsia="仿宋_GB2312" w:cs="仿宋_GB2312"/>
          <w:color w:val="auto"/>
          <w:spacing w:val="6"/>
          <w:sz w:val="30"/>
          <w:szCs w:val="30"/>
          <w:highlight w:val="none"/>
          <w:lang w:val="en-US" w:eastAsia="zh-CN" w:bidi="ar"/>
        </w:rPr>
        <w:t>政策评估</w:t>
      </w:r>
      <w:r>
        <w:rPr>
          <w:rFonts w:hint="eastAsia" w:ascii="仿宋_GB2312" w:hAnsi="仿宋_GB2312" w:eastAsia="仿宋_GB2312" w:cs="仿宋_GB2312"/>
          <w:color w:val="auto"/>
          <w:spacing w:val="6"/>
          <w:sz w:val="30"/>
          <w:szCs w:val="30"/>
          <w:highlight w:val="none"/>
          <w:lang w:eastAsia="zh-Hans" w:bidi="ar"/>
        </w:rPr>
        <w:t>综合采用比较</w:t>
      </w:r>
      <w:r>
        <w:rPr>
          <w:rFonts w:hint="eastAsia" w:ascii="仿宋_GB2312" w:hAnsi="仿宋_GB2312" w:eastAsia="仿宋_GB2312" w:cs="仿宋_GB2312"/>
          <w:color w:val="auto"/>
          <w:spacing w:val="6"/>
          <w:sz w:val="30"/>
          <w:szCs w:val="30"/>
          <w:highlight w:val="none"/>
          <w:lang w:val="en-US" w:eastAsia="zh-Hans" w:bidi="ar"/>
        </w:rPr>
        <w:t>分析</w:t>
      </w:r>
      <w:r>
        <w:rPr>
          <w:rFonts w:hint="eastAsia" w:ascii="仿宋_GB2312" w:hAnsi="仿宋_GB2312" w:eastAsia="仿宋_GB2312" w:cs="仿宋_GB2312"/>
          <w:color w:val="auto"/>
          <w:spacing w:val="6"/>
          <w:sz w:val="30"/>
          <w:szCs w:val="30"/>
          <w:highlight w:val="none"/>
          <w:lang w:eastAsia="zh-Hans" w:bidi="ar"/>
        </w:rPr>
        <w:t>法、公众评判法、</w:t>
      </w:r>
      <w:r>
        <w:rPr>
          <w:rFonts w:hint="eastAsia" w:ascii="仿宋_GB2312" w:hAnsi="仿宋_GB2312" w:eastAsia="仿宋_GB2312" w:cs="仿宋_GB2312"/>
          <w:color w:val="auto"/>
          <w:spacing w:val="6"/>
          <w:sz w:val="30"/>
          <w:szCs w:val="30"/>
          <w:highlight w:val="none"/>
          <w:lang w:val="en-US" w:eastAsia="zh-Hans" w:bidi="ar"/>
        </w:rPr>
        <w:t>综合评价法</w:t>
      </w:r>
      <w:r>
        <w:rPr>
          <w:rFonts w:hint="eastAsia" w:ascii="仿宋_GB2312" w:hAnsi="仿宋_GB2312" w:eastAsia="仿宋_GB2312" w:cs="仿宋_GB2312"/>
          <w:color w:val="auto"/>
          <w:spacing w:val="6"/>
          <w:sz w:val="30"/>
          <w:szCs w:val="30"/>
          <w:highlight w:val="none"/>
          <w:lang w:eastAsia="zh-Hans" w:bidi="ar"/>
        </w:rPr>
        <w:t>等方法进行</w:t>
      </w:r>
      <w:r>
        <w:rPr>
          <w:rFonts w:hint="eastAsia" w:ascii="仿宋_GB2312" w:hAnsi="仿宋_GB2312" w:eastAsia="仿宋_GB2312" w:cs="仿宋_GB2312"/>
          <w:color w:val="auto"/>
          <w:spacing w:val="6"/>
          <w:sz w:val="30"/>
          <w:szCs w:val="30"/>
          <w:highlight w:val="none"/>
          <w:lang w:val="en-US" w:eastAsia="zh-CN" w:bidi="ar"/>
        </w:rPr>
        <w:t>评估</w:t>
      </w:r>
      <w:r>
        <w:rPr>
          <w:rFonts w:hint="eastAsia" w:ascii="仿宋_GB2312" w:hAnsi="仿宋_GB2312" w:eastAsia="仿宋_GB2312" w:cs="仿宋_GB2312"/>
          <w:color w:val="auto"/>
          <w:spacing w:val="6"/>
          <w:sz w:val="30"/>
          <w:szCs w:val="30"/>
          <w:highlight w:val="none"/>
          <w:lang w:eastAsia="zh-Hans" w:bidi="ar"/>
        </w:rPr>
        <w:t>。</w:t>
      </w:r>
    </w:p>
    <w:p w14:paraId="103B907B">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eastAsia="zh-Hans" w:bidi="ar"/>
        </w:rPr>
      </w:pPr>
      <w:r>
        <w:rPr>
          <w:rFonts w:hint="eastAsia" w:ascii="仿宋_GB2312" w:hAnsi="仿宋_GB2312" w:eastAsia="仿宋_GB2312" w:cs="仿宋_GB2312"/>
          <w:color w:val="auto"/>
          <w:spacing w:val="6"/>
          <w:sz w:val="30"/>
          <w:szCs w:val="30"/>
          <w:highlight w:val="none"/>
          <w:lang w:eastAsia="zh-CN" w:bidi="ar"/>
        </w:rPr>
        <w:t>（</w:t>
      </w:r>
      <w:r>
        <w:rPr>
          <w:rFonts w:hint="eastAsia" w:ascii="仿宋_GB2312" w:hAnsi="仿宋_GB2312" w:eastAsia="仿宋_GB2312" w:cs="仿宋_GB2312"/>
          <w:color w:val="auto"/>
          <w:spacing w:val="6"/>
          <w:sz w:val="30"/>
          <w:szCs w:val="30"/>
          <w:highlight w:val="none"/>
          <w:lang w:eastAsia="zh-Hans" w:bidi="ar"/>
        </w:rPr>
        <w:t>1</w:t>
      </w:r>
      <w:r>
        <w:rPr>
          <w:rFonts w:hint="eastAsia" w:ascii="仿宋_GB2312" w:hAnsi="仿宋_GB2312" w:eastAsia="仿宋_GB2312" w:cs="仿宋_GB2312"/>
          <w:color w:val="auto"/>
          <w:spacing w:val="6"/>
          <w:sz w:val="30"/>
          <w:szCs w:val="30"/>
          <w:highlight w:val="none"/>
          <w:lang w:eastAsia="zh-CN" w:bidi="ar"/>
        </w:rPr>
        <w:t>）</w:t>
      </w:r>
      <w:r>
        <w:rPr>
          <w:rFonts w:hint="eastAsia" w:ascii="仿宋_GB2312" w:hAnsi="仿宋_GB2312" w:eastAsia="仿宋_GB2312" w:cs="仿宋_GB2312"/>
          <w:color w:val="auto"/>
          <w:spacing w:val="6"/>
          <w:sz w:val="30"/>
          <w:szCs w:val="30"/>
          <w:highlight w:val="none"/>
          <w:lang w:eastAsia="zh-Hans" w:bidi="ar"/>
        </w:rPr>
        <w:t>比较分析法</w:t>
      </w:r>
    </w:p>
    <w:p w14:paraId="0C697DD4">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eastAsia="zh-Hans" w:bidi="ar"/>
        </w:rPr>
      </w:pPr>
      <w:r>
        <w:rPr>
          <w:rFonts w:hint="eastAsia" w:ascii="仿宋_GB2312" w:hAnsi="仿宋_GB2312" w:eastAsia="仿宋_GB2312" w:cs="仿宋_GB2312"/>
          <w:color w:val="auto"/>
          <w:spacing w:val="6"/>
          <w:sz w:val="30"/>
          <w:szCs w:val="30"/>
          <w:highlight w:val="none"/>
          <w:lang w:eastAsia="zh-Hans" w:bidi="ar"/>
        </w:rPr>
        <w:t>本次到期政策评估综合运用横向比较、纵向比较、相结合的方法，系统分析《资助办法》的执行成效与问题。</w:t>
      </w:r>
    </w:p>
    <w:p w14:paraId="5F5E8D49">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eastAsia="zh-Hans" w:bidi="ar"/>
        </w:rPr>
      </w:pPr>
      <w:r>
        <w:rPr>
          <w:rFonts w:hint="eastAsia" w:ascii="仿宋_GB2312" w:hAnsi="仿宋_GB2312" w:eastAsia="仿宋_GB2312" w:cs="仿宋_GB2312"/>
          <w:color w:val="auto"/>
          <w:spacing w:val="6"/>
          <w:sz w:val="30"/>
          <w:szCs w:val="30"/>
          <w:highlight w:val="none"/>
          <w:lang w:val="en-US" w:eastAsia="zh-CN" w:bidi="ar"/>
        </w:rPr>
        <w:t>①</w:t>
      </w:r>
      <w:r>
        <w:rPr>
          <w:rFonts w:hint="eastAsia" w:ascii="仿宋_GB2312" w:hAnsi="仿宋_GB2312" w:eastAsia="仿宋_GB2312" w:cs="仿宋_GB2312"/>
          <w:color w:val="auto"/>
          <w:spacing w:val="6"/>
          <w:sz w:val="30"/>
          <w:szCs w:val="30"/>
          <w:highlight w:val="none"/>
          <w:lang w:eastAsia="zh-Hans" w:bidi="ar"/>
        </w:rPr>
        <w:t>横向比较：选取与新疆经济发展水平、人口结构、地理条件相近的周边省份，对比其民办养老机构资助政策的补贴标准、入住率门槛、资助范围、资金管理要求等核心制度要素。通过横向对比，判断自治区资助政策在全国同类政策中的相对位置，识别新疆政策在标准设定、覆盖范围、监管机制等方面的优势与不足，为政策优化提供外部参照。</w:t>
      </w:r>
    </w:p>
    <w:p w14:paraId="6BC78AD1">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eastAsia="zh-Hans" w:bidi="ar"/>
        </w:rPr>
      </w:pPr>
      <w:r>
        <w:rPr>
          <w:rFonts w:hint="eastAsia" w:ascii="仿宋_GB2312" w:hAnsi="仿宋_GB2312" w:eastAsia="仿宋_GB2312" w:cs="仿宋_GB2312"/>
          <w:color w:val="auto"/>
          <w:spacing w:val="6"/>
          <w:sz w:val="30"/>
          <w:szCs w:val="30"/>
          <w:highlight w:val="none"/>
          <w:lang w:val="en-US" w:eastAsia="zh-CN" w:bidi="ar"/>
        </w:rPr>
        <w:t>②</w:t>
      </w:r>
      <w:r>
        <w:rPr>
          <w:rFonts w:hint="eastAsia" w:ascii="仿宋_GB2312" w:hAnsi="仿宋_GB2312" w:eastAsia="仿宋_GB2312" w:cs="仿宋_GB2312"/>
          <w:color w:val="auto"/>
          <w:spacing w:val="6"/>
          <w:sz w:val="30"/>
          <w:szCs w:val="30"/>
          <w:highlight w:val="none"/>
          <w:lang w:eastAsia="zh-Hans" w:bidi="ar"/>
        </w:rPr>
        <w:t>纵向比较：一是依据《资助办法》、绩效目标表，对比政策规定的资助条件、补贴标准、审核流程与实际执行数据的差异，评估政策规定的落地程度及执行偏差；二是将历年数据（20</w:t>
      </w:r>
      <w:r>
        <w:rPr>
          <w:rFonts w:hint="eastAsia" w:ascii="仿宋_GB2312" w:hAnsi="仿宋_GB2312" w:eastAsia="仿宋_GB2312" w:cs="仿宋_GB2312"/>
          <w:color w:val="auto"/>
          <w:spacing w:val="6"/>
          <w:sz w:val="30"/>
          <w:szCs w:val="30"/>
          <w:highlight w:val="none"/>
          <w:lang w:val="en-US" w:eastAsia="zh-CN" w:bidi="ar"/>
        </w:rPr>
        <w:t>21</w:t>
      </w:r>
      <w:r>
        <w:rPr>
          <w:rFonts w:hint="eastAsia" w:ascii="仿宋_GB2312" w:hAnsi="仿宋_GB2312" w:eastAsia="仿宋_GB2312" w:cs="仿宋_GB2312"/>
          <w:color w:val="auto"/>
          <w:spacing w:val="6"/>
          <w:sz w:val="30"/>
          <w:szCs w:val="30"/>
          <w:highlight w:val="none"/>
          <w:lang w:eastAsia="zh-Hans" w:bidi="ar"/>
        </w:rPr>
        <w:t>—202</w:t>
      </w:r>
      <w:r>
        <w:rPr>
          <w:rFonts w:hint="eastAsia" w:ascii="仿宋_GB2312" w:hAnsi="仿宋_GB2312" w:eastAsia="仿宋_GB2312" w:cs="仿宋_GB2312"/>
          <w:color w:val="auto"/>
          <w:spacing w:val="6"/>
          <w:sz w:val="30"/>
          <w:szCs w:val="30"/>
          <w:highlight w:val="none"/>
          <w:lang w:val="en-US" w:eastAsia="zh-CN" w:bidi="ar"/>
        </w:rPr>
        <w:t>5</w:t>
      </w:r>
      <w:r>
        <w:rPr>
          <w:rFonts w:hint="eastAsia" w:ascii="仿宋_GB2312" w:hAnsi="仿宋_GB2312" w:eastAsia="仿宋_GB2312" w:cs="仿宋_GB2312"/>
          <w:color w:val="auto"/>
          <w:spacing w:val="6"/>
          <w:sz w:val="30"/>
          <w:szCs w:val="30"/>
          <w:highlight w:val="none"/>
          <w:lang w:eastAsia="zh-Hans" w:bidi="ar"/>
        </w:rPr>
        <w:t>年基础养老机构数据）进行纵向对比，系统评估政策产出和效益的完成度及变化趋势。</w:t>
      </w:r>
    </w:p>
    <w:p w14:paraId="7216A325">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eastAsia="zh-Hans" w:bidi="ar"/>
        </w:rPr>
      </w:pPr>
      <w:r>
        <w:rPr>
          <w:rFonts w:hint="eastAsia" w:ascii="仿宋_GB2312" w:hAnsi="仿宋_GB2312" w:eastAsia="仿宋_GB2312" w:cs="仿宋_GB2312"/>
          <w:color w:val="auto"/>
          <w:spacing w:val="6"/>
          <w:sz w:val="30"/>
          <w:szCs w:val="30"/>
          <w:highlight w:val="none"/>
          <w:lang w:val="en-US" w:eastAsia="zh-CN" w:bidi="ar"/>
        </w:rPr>
        <w:t>③</w:t>
      </w:r>
      <w:r>
        <w:rPr>
          <w:rFonts w:hint="eastAsia" w:ascii="仿宋_GB2312" w:hAnsi="仿宋_GB2312" w:eastAsia="仿宋_GB2312" w:cs="仿宋_GB2312"/>
          <w:color w:val="auto"/>
          <w:spacing w:val="6"/>
          <w:sz w:val="30"/>
          <w:szCs w:val="30"/>
          <w:highlight w:val="none"/>
          <w:lang w:eastAsia="zh-Hans" w:bidi="ar"/>
        </w:rPr>
        <w:t>交叉验证：将实地核查的机构床位数、入住人数、资金使用、经营性质、社会福利性质等情况，与申报材料、备案系统数据进行比对，识别数据真实性及合规风险。</w:t>
      </w:r>
    </w:p>
    <w:p w14:paraId="61327F04">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eastAsia="zh-Hans" w:bidi="ar"/>
        </w:rPr>
      </w:pPr>
      <w:r>
        <w:rPr>
          <w:rFonts w:hint="eastAsia" w:ascii="仿宋_GB2312" w:hAnsi="仿宋_GB2312" w:eastAsia="仿宋_GB2312" w:cs="仿宋_GB2312"/>
          <w:color w:val="auto"/>
          <w:spacing w:val="6"/>
          <w:sz w:val="30"/>
          <w:szCs w:val="30"/>
          <w:highlight w:val="none"/>
          <w:lang w:eastAsia="zh-CN" w:bidi="ar"/>
        </w:rPr>
        <w:t>（</w:t>
      </w:r>
      <w:r>
        <w:rPr>
          <w:rFonts w:hint="eastAsia" w:ascii="仿宋_GB2312" w:hAnsi="仿宋_GB2312" w:eastAsia="仿宋_GB2312" w:cs="仿宋_GB2312"/>
          <w:color w:val="auto"/>
          <w:spacing w:val="6"/>
          <w:sz w:val="30"/>
          <w:szCs w:val="30"/>
          <w:highlight w:val="none"/>
          <w:lang w:val="en-US" w:eastAsia="zh-CN" w:bidi="ar"/>
        </w:rPr>
        <w:t>2</w:t>
      </w:r>
      <w:r>
        <w:rPr>
          <w:rFonts w:hint="eastAsia" w:ascii="仿宋_GB2312" w:hAnsi="仿宋_GB2312" w:eastAsia="仿宋_GB2312" w:cs="仿宋_GB2312"/>
          <w:color w:val="auto"/>
          <w:spacing w:val="6"/>
          <w:sz w:val="30"/>
          <w:szCs w:val="30"/>
          <w:highlight w:val="none"/>
          <w:lang w:eastAsia="zh-CN" w:bidi="ar"/>
        </w:rPr>
        <w:t>）</w:t>
      </w:r>
      <w:r>
        <w:rPr>
          <w:rFonts w:hint="eastAsia" w:ascii="仿宋_GB2312" w:hAnsi="仿宋_GB2312" w:eastAsia="仿宋_GB2312" w:cs="仿宋_GB2312"/>
          <w:color w:val="auto"/>
          <w:spacing w:val="6"/>
          <w:sz w:val="30"/>
          <w:szCs w:val="30"/>
          <w:highlight w:val="none"/>
          <w:lang w:eastAsia="zh-Hans" w:bidi="ar"/>
        </w:rPr>
        <w:t>公众评判法</w:t>
      </w:r>
    </w:p>
    <w:p w14:paraId="72ED6531">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eastAsia="zh-Hans" w:bidi="ar"/>
        </w:rPr>
      </w:pPr>
      <w:r>
        <w:rPr>
          <w:rFonts w:hint="eastAsia" w:ascii="仿宋_GB2312" w:hAnsi="仿宋_GB2312" w:eastAsia="仿宋_GB2312" w:cs="仿宋_GB2312"/>
          <w:color w:val="auto"/>
          <w:spacing w:val="6"/>
          <w:sz w:val="30"/>
          <w:szCs w:val="30"/>
          <w:highlight w:val="none"/>
          <w:lang w:eastAsia="zh-Hans" w:bidi="ar"/>
        </w:rPr>
        <w:t>通过现场调查、深度访谈及发放电子调查问卷等方式，了解政策执行中存在的问题，以及政策实施后对调动社会力量参与养老服务业积极性、增加多元化养老服务供给、提升服务质量等方面的实际影响。同时，获取主管部门、养老机构负责人、护理人员、入住老人及家属等对政策效果的综合评价、满意度反馈及改进建议。评价组将调查、访谈及问卷获取的数据作为政策效益、满意度等定性定量评价的依据。</w:t>
      </w:r>
    </w:p>
    <w:p w14:paraId="6E22B6C3">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eastAsia="zh-Hans" w:bidi="ar"/>
        </w:rPr>
      </w:pPr>
      <w:r>
        <w:rPr>
          <w:rFonts w:hint="eastAsia" w:ascii="仿宋_GB2312" w:hAnsi="仿宋_GB2312" w:eastAsia="仿宋_GB2312" w:cs="仿宋_GB2312"/>
          <w:color w:val="auto"/>
          <w:spacing w:val="6"/>
          <w:sz w:val="30"/>
          <w:szCs w:val="30"/>
          <w:highlight w:val="none"/>
          <w:lang w:eastAsia="zh-CN" w:bidi="ar"/>
        </w:rPr>
        <w:t>（</w:t>
      </w:r>
      <w:r>
        <w:rPr>
          <w:rFonts w:hint="eastAsia" w:ascii="仿宋_GB2312" w:hAnsi="仿宋_GB2312" w:eastAsia="仿宋_GB2312" w:cs="仿宋_GB2312"/>
          <w:color w:val="auto"/>
          <w:spacing w:val="6"/>
          <w:sz w:val="30"/>
          <w:szCs w:val="30"/>
          <w:highlight w:val="none"/>
          <w:lang w:val="en-US" w:eastAsia="zh-CN" w:bidi="ar"/>
        </w:rPr>
        <w:t>3</w:t>
      </w:r>
      <w:r>
        <w:rPr>
          <w:rFonts w:hint="eastAsia" w:ascii="仿宋_GB2312" w:hAnsi="仿宋_GB2312" w:eastAsia="仿宋_GB2312" w:cs="仿宋_GB2312"/>
          <w:color w:val="auto"/>
          <w:spacing w:val="6"/>
          <w:sz w:val="30"/>
          <w:szCs w:val="30"/>
          <w:highlight w:val="none"/>
          <w:lang w:eastAsia="zh-CN" w:bidi="ar"/>
        </w:rPr>
        <w:t>）</w:t>
      </w:r>
      <w:r>
        <w:rPr>
          <w:rFonts w:hint="eastAsia" w:ascii="仿宋_GB2312" w:hAnsi="仿宋_GB2312" w:eastAsia="仿宋_GB2312" w:cs="仿宋_GB2312"/>
          <w:color w:val="auto"/>
          <w:spacing w:val="6"/>
          <w:sz w:val="30"/>
          <w:szCs w:val="30"/>
          <w:highlight w:val="none"/>
          <w:lang w:eastAsia="zh-Hans" w:bidi="ar"/>
        </w:rPr>
        <w:t>综合评价法</w:t>
      </w:r>
    </w:p>
    <w:p w14:paraId="5359A9C8">
      <w:pPr>
        <w:numPr>
          <w:ilvl w:val="-1"/>
          <w:numId w:val="0"/>
        </w:numPr>
        <w:spacing w:line="590" w:lineRule="exact"/>
        <w:ind w:firstLine="654" w:firstLineChars="200"/>
        <w:jc w:val="both"/>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 w:val="30"/>
          <w:szCs w:val="30"/>
          <w:highlight w:val="none"/>
          <w:lang w:eastAsia="zh-Hans" w:bidi="ar"/>
        </w:rPr>
        <w:t>系统梳理政策全流程资料，包括：政策文件、资金管理办法、申报审核档案、补贴发放台账、机构备案信息、绩效目标表、自评报告、审计报告、民政部门监督检查记录等。通过查阅资料了解政策执行情况和存在的不足，为评价工作收集充分、有效的证据。综合从政策设计、资金管理、组织实施、产出与效益等维度出发，结合政策特点与评估重点设置指标体系及权重，逐项打分并汇总得分，形成综合评估结论。</w:t>
      </w:r>
    </w:p>
    <w:p w14:paraId="0FCC182E">
      <w:pPr>
        <w:numPr>
          <w:ilvl w:val="-1"/>
          <w:numId w:val="0"/>
        </w:numPr>
        <w:spacing w:line="590" w:lineRule="exact"/>
        <w:ind w:firstLine="654" w:firstLineChars="200"/>
        <w:jc w:val="both"/>
        <w:outlineLvl w:val="9"/>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 w:val="30"/>
          <w:szCs w:val="30"/>
          <w:highlight w:val="none"/>
          <w:lang w:val="en-US" w:eastAsia="zh-Hans" w:bidi="ar"/>
        </w:rPr>
        <w:t>4.</w:t>
      </w:r>
      <w:r>
        <w:rPr>
          <w:rFonts w:hint="eastAsia" w:ascii="仿宋_GB2312" w:hAnsi="仿宋_GB2312" w:eastAsia="仿宋_GB2312" w:cs="仿宋_GB2312"/>
          <w:color w:val="auto"/>
          <w:spacing w:val="6"/>
          <w:szCs w:val="30"/>
          <w:highlight w:val="none"/>
          <w:lang w:eastAsia="zh-Hans" w:bidi="ar"/>
        </w:rPr>
        <w:t>评</w:t>
      </w:r>
      <w:r>
        <w:rPr>
          <w:rFonts w:hint="eastAsia" w:ascii="仿宋_GB2312" w:hAnsi="仿宋_GB2312" w:eastAsia="仿宋_GB2312" w:cs="仿宋_GB2312"/>
          <w:color w:val="auto"/>
          <w:spacing w:val="6"/>
          <w:szCs w:val="30"/>
          <w:highlight w:val="none"/>
          <w:lang w:val="en-US" w:eastAsia="zh-CN" w:bidi="ar"/>
        </w:rPr>
        <w:t>估</w:t>
      </w:r>
      <w:r>
        <w:rPr>
          <w:rFonts w:hint="eastAsia" w:ascii="仿宋_GB2312" w:hAnsi="仿宋_GB2312" w:eastAsia="仿宋_GB2312" w:cs="仿宋_GB2312"/>
          <w:color w:val="auto"/>
          <w:spacing w:val="6"/>
          <w:szCs w:val="30"/>
          <w:highlight w:val="none"/>
          <w:lang w:eastAsia="zh-Hans" w:bidi="ar"/>
        </w:rPr>
        <w:t>标准</w:t>
      </w:r>
      <w:bookmarkEnd w:id="147"/>
      <w:bookmarkEnd w:id="148"/>
      <w:bookmarkEnd w:id="149"/>
      <w:bookmarkEnd w:id="150"/>
      <w:bookmarkEnd w:id="151"/>
      <w:bookmarkEnd w:id="152"/>
      <w:bookmarkEnd w:id="153"/>
      <w:bookmarkEnd w:id="154"/>
      <w:bookmarkEnd w:id="155"/>
      <w:bookmarkEnd w:id="156"/>
      <w:bookmarkEnd w:id="157"/>
      <w:bookmarkEnd w:id="158"/>
    </w:p>
    <w:p w14:paraId="5A241F13">
      <w:pPr>
        <w:numPr>
          <w:ilvl w:val="-1"/>
          <w:numId w:val="0"/>
        </w:numPr>
        <w:spacing w:line="590" w:lineRule="exact"/>
        <w:ind w:firstLine="654" w:firstLineChars="200"/>
        <w:jc w:val="both"/>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Hans" w:bidi="ar"/>
        </w:rPr>
        <w:t>政策评估标准通常包括计划标准、历史标准及其他标准等，用于对指标完成情况进行比较。本次政策评估中主要使用三类标准进行评价：</w:t>
      </w:r>
    </w:p>
    <w:p w14:paraId="05BBE079">
      <w:pPr>
        <w:numPr>
          <w:ilvl w:val="-1"/>
          <w:numId w:val="0"/>
        </w:numPr>
        <w:spacing w:line="590" w:lineRule="exact"/>
        <w:ind w:firstLine="654" w:firstLineChars="200"/>
        <w:jc w:val="both"/>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Hans" w:bidi="ar"/>
        </w:rPr>
        <w:t>1.计划标准：依据《资助办法》、各年度资金分配方案、绩效目标表、机构申报材料及承诺书等作为计划标准。</w:t>
      </w:r>
    </w:p>
    <w:p w14:paraId="34FFAA9F">
      <w:pPr>
        <w:numPr>
          <w:ilvl w:val="-1"/>
          <w:numId w:val="0"/>
        </w:numPr>
        <w:spacing w:line="590" w:lineRule="exact"/>
        <w:ind w:firstLine="654" w:firstLineChars="200"/>
        <w:jc w:val="both"/>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Hans" w:bidi="ar"/>
        </w:rPr>
        <w:t>2.历史标准：对部分指标缺乏明确计划目标的，以2013—2020年政策执行初期的历史数据（如床位增长率、入住率、护理型床位占比等）作为比较基准，评估2021—2025年核心评价期的变化趋势。</w:t>
      </w:r>
    </w:p>
    <w:p w14:paraId="600A2EF4">
      <w:pPr>
        <w:numPr>
          <w:ilvl w:val="-1"/>
          <w:numId w:val="0"/>
        </w:numPr>
        <w:spacing w:line="590" w:lineRule="exact"/>
        <w:ind w:firstLine="654" w:firstLineChars="200"/>
        <w:jc w:val="both"/>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Hans" w:bidi="ar"/>
        </w:rPr>
        <w:t>3.其他标准：对部分无法直接参照计划或历史数据的指标，采用国家和自治区认可的行业标准、技术规范及政策文件进行评价，例如：《老年人照料设施建筑设计标准》《老年人能力评估规范》《养老机构服务安全基本规范》《建筑设计防火规范》《建筑防火通用规范》《消防设施通用规范》《中华人民共和国食品安全法》《食品经营许可和备案管理办法》《中华人民共和国特种设备安全法》以及消防、食品安全、特种设备等相关强制性标准。</w:t>
      </w:r>
    </w:p>
    <w:p w14:paraId="79A0BADE">
      <w:pPr>
        <w:numPr>
          <w:ilvl w:val="-1"/>
          <w:numId w:val="0"/>
        </w:numPr>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r>
        <w:rPr>
          <w:rFonts w:hint="eastAsia" w:ascii="仿宋_GB2312" w:hAnsi="仿宋_GB2312" w:eastAsia="仿宋_GB2312" w:cs="仿宋_GB2312"/>
          <w:color w:val="auto"/>
          <w:spacing w:val="6"/>
          <w:szCs w:val="30"/>
          <w:highlight w:val="none"/>
          <w:lang w:eastAsia="zh-Hans" w:bidi="ar"/>
        </w:rPr>
        <w:t>本次</w:t>
      </w:r>
      <w:r>
        <w:rPr>
          <w:rFonts w:hint="eastAsia" w:ascii="仿宋_GB2312" w:hAnsi="仿宋_GB2312" w:eastAsia="仿宋_GB2312" w:cs="仿宋_GB2312"/>
          <w:color w:val="auto"/>
          <w:spacing w:val="6"/>
          <w:szCs w:val="30"/>
          <w:highlight w:val="none"/>
          <w:lang w:val="en-US" w:eastAsia="zh-CN" w:bidi="ar"/>
        </w:rPr>
        <w:t>政策评估</w:t>
      </w:r>
      <w:r>
        <w:rPr>
          <w:rFonts w:hint="eastAsia" w:ascii="仿宋_GB2312" w:hAnsi="仿宋_GB2312" w:eastAsia="仿宋_GB2312" w:cs="仿宋_GB2312"/>
          <w:color w:val="auto"/>
          <w:spacing w:val="6"/>
          <w:szCs w:val="30"/>
          <w:highlight w:val="none"/>
          <w:lang w:eastAsia="zh-Hans" w:bidi="ar"/>
        </w:rPr>
        <w:t>采用百分制，各级指标依据其指标权重确定分值，评估人员根据评价情况对各级指标进行打分，最终得分由各级评估指标得分加总得到。根据最终得分情况将评估标准分为四个等级：优（得分≥90分）；良（80分≤得分＜90分）；中（60分≤得分＜80分）；差（得分＜60分）。</w:t>
      </w:r>
    </w:p>
    <w:p w14:paraId="6F77C52E">
      <w:pPr>
        <w:numPr>
          <w:ilvl w:val="-1"/>
          <w:numId w:val="0"/>
        </w:numPr>
        <w:spacing w:line="590" w:lineRule="exact"/>
        <w:ind w:firstLine="654" w:firstLineChars="200"/>
        <w:jc w:val="both"/>
        <w:rPr>
          <w:rFonts w:hint="eastAsia" w:ascii="仿宋_GB2312" w:hAnsi="仿宋_GB2312" w:eastAsia="仿宋_GB2312" w:cs="仿宋_GB2312"/>
          <w:color w:val="auto"/>
          <w:spacing w:val="6"/>
          <w:szCs w:val="30"/>
          <w:highlight w:val="none"/>
          <w:lang w:val="en-US" w:eastAsia="zh-Hans" w:bidi="ar"/>
        </w:rPr>
      </w:pPr>
      <w:r>
        <w:rPr>
          <w:rFonts w:hint="eastAsia" w:ascii="仿宋_GB2312" w:hAnsi="仿宋_GB2312" w:eastAsia="仿宋_GB2312" w:cs="仿宋_GB2312"/>
          <w:color w:val="auto"/>
          <w:spacing w:val="6"/>
          <w:kern w:val="30"/>
          <w:sz w:val="30"/>
          <w:szCs w:val="30"/>
          <w:highlight w:val="none"/>
          <w:lang w:val="en-US" w:eastAsia="zh-Hans" w:bidi="ar"/>
        </w:rPr>
        <w:t>5.</w:t>
      </w:r>
      <w:r>
        <w:rPr>
          <w:rFonts w:hint="eastAsia" w:ascii="仿宋_GB2312" w:hAnsi="仿宋_GB2312" w:eastAsia="仿宋_GB2312" w:cs="仿宋_GB2312"/>
          <w:color w:val="auto"/>
          <w:spacing w:val="6"/>
          <w:szCs w:val="30"/>
          <w:highlight w:val="none"/>
          <w:lang w:val="en-US" w:eastAsia="zh-Hans" w:bidi="ar"/>
        </w:rPr>
        <w:t>实地评估抽样</w:t>
      </w:r>
    </w:p>
    <w:p w14:paraId="5801A5FB">
      <w:pPr>
        <w:numPr>
          <w:ilvl w:val="-1"/>
          <w:numId w:val="0"/>
        </w:numPr>
        <w:spacing w:line="590" w:lineRule="exact"/>
        <w:ind w:firstLine="654" w:firstLineChars="200"/>
        <w:jc w:val="both"/>
        <w:rPr>
          <w:rFonts w:hint="eastAsia" w:ascii="仿宋_GB2312" w:hAnsi="仿宋_GB2312" w:eastAsia="仿宋_GB2312" w:cs="仿宋_GB2312"/>
          <w:color w:val="auto"/>
          <w:spacing w:val="6"/>
          <w:kern w:val="30"/>
          <w:sz w:val="30"/>
          <w:szCs w:val="30"/>
          <w:highlight w:val="none"/>
          <w:lang w:val="en-US" w:eastAsia="zh-Hans" w:bidi="ar"/>
        </w:rPr>
      </w:pPr>
      <w:r>
        <w:rPr>
          <w:rFonts w:hint="eastAsia" w:ascii="仿宋_GB2312" w:hAnsi="仿宋_GB2312" w:eastAsia="仿宋_GB2312" w:cs="仿宋_GB2312"/>
          <w:color w:val="auto"/>
          <w:spacing w:val="6"/>
          <w:kern w:val="30"/>
          <w:sz w:val="30"/>
          <w:szCs w:val="30"/>
          <w:highlight w:val="none"/>
          <w:lang w:val="en-US" w:eastAsia="zh-Hans" w:bidi="ar"/>
        </w:rPr>
        <w:t>（1）资金抽样：本次抽样计划资金抽样100%，2021—2025年自治区财政厅下达民办养老机构自治区财政补助资金7,171.35万元，本次到期绩效评估抽样资金7,171.35万元，资金抽样100%。</w:t>
      </w:r>
    </w:p>
    <w:p w14:paraId="1F23587C">
      <w:pPr>
        <w:spacing w:line="590" w:lineRule="exact"/>
        <w:ind w:firstLine="654" w:firstLineChars="200"/>
        <w:outlineLvl w:val="9"/>
        <w:rPr>
          <w:rFonts w:hint="eastAsia" w:ascii="仿宋_GB2312" w:hAnsi="仿宋_GB2312" w:eastAsia="仿宋_GB2312" w:cs="仿宋_GB2312"/>
          <w:color w:val="auto"/>
          <w:spacing w:val="6"/>
          <w:kern w:val="30"/>
          <w:sz w:val="30"/>
          <w:szCs w:val="30"/>
          <w:highlight w:val="none"/>
          <w:shd w:val="clear" w:color="auto" w:fill="auto"/>
          <w:lang w:val="en-US" w:eastAsia="zh-Hans" w:bidi="ar"/>
        </w:rPr>
      </w:pPr>
      <w:bookmarkStart w:id="159" w:name="_Toc11189"/>
      <w:r>
        <w:rPr>
          <w:rFonts w:hint="eastAsia" w:ascii="仿宋_GB2312" w:hAnsi="仿宋_GB2312" w:eastAsia="仿宋_GB2312" w:cs="仿宋_GB2312"/>
          <w:color w:val="auto"/>
          <w:spacing w:val="6"/>
          <w:kern w:val="30"/>
          <w:sz w:val="30"/>
          <w:szCs w:val="30"/>
          <w:highlight w:val="none"/>
          <w:shd w:val="clear" w:color="auto" w:fill="auto"/>
          <w:lang w:val="en-US" w:eastAsia="zh-Hans" w:bidi="ar"/>
        </w:rPr>
        <w:t>（2）实地评估抽样：2021—2025年自治区财政民办养老机构资助资金分配涉及全区14个地（州、市），考虑到区域代表性、资金集中度及调研可行性，本次到期绩效评估实地查看乌鲁木齐市（北疆）、昌吉州（北疆）、喀什地区（南疆）、哈密市（东疆）4个地（州、市）的政策执行情况。</w:t>
      </w:r>
      <w:bookmarkStart w:id="160" w:name="_Toc5622"/>
      <w:bookmarkStart w:id="161" w:name="_Toc29089"/>
      <w:bookmarkStart w:id="162" w:name="_Toc11065"/>
      <w:bookmarkStart w:id="163" w:name="_Toc8291"/>
      <w:bookmarkStart w:id="164" w:name="_Toc9038"/>
      <w:bookmarkStart w:id="165" w:name="_Toc22695"/>
      <w:bookmarkStart w:id="166" w:name="_Toc21424"/>
      <w:bookmarkStart w:id="167" w:name="_Toc17638"/>
      <w:bookmarkStart w:id="168" w:name="_Toc14663"/>
      <w:bookmarkStart w:id="169" w:name="_Toc22294"/>
      <w:bookmarkStart w:id="170" w:name="_Toc9899"/>
      <w:bookmarkStart w:id="171" w:name="_Toc23333"/>
      <w:bookmarkStart w:id="172" w:name="_Toc8110"/>
      <w:bookmarkStart w:id="173" w:name="_Toc20407"/>
      <w:bookmarkStart w:id="174" w:name="_Toc19901"/>
      <w:bookmarkStart w:id="175" w:name="_Toc445"/>
    </w:p>
    <w:p w14:paraId="0D2708F8">
      <w:pPr>
        <w:spacing w:line="590" w:lineRule="exact"/>
        <w:ind w:firstLine="630" w:firstLineChars="200"/>
        <w:outlineLvl w:val="1"/>
        <w:rPr>
          <w:rFonts w:hint="eastAsia" w:ascii="楷体_GB2312" w:hAnsi="楷体_GB2312" w:eastAsia="楷体_GB2312" w:cs="楷体_GB2312"/>
          <w:color w:val="auto"/>
          <w:kern w:val="30"/>
          <w:sz w:val="30"/>
          <w:szCs w:val="30"/>
          <w:highlight w:val="none"/>
        </w:rPr>
      </w:pPr>
      <w:bookmarkStart w:id="176" w:name="_Toc23868"/>
      <w:bookmarkStart w:id="177" w:name="_Toc11006"/>
      <w:bookmarkStart w:id="178" w:name="_Toc23215"/>
      <w:bookmarkStart w:id="179" w:name="_Toc22359"/>
      <w:bookmarkStart w:id="180" w:name="_Toc19063"/>
      <w:r>
        <w:rPr>
          <w:rFonts w:hint="eastAsia" w:ascii="楷体_GB2312" w:hAnsi="楷体_GB2312" w:eastAsia="楷体_GB2312" w:cs="楷体_GB2312"/>
          <w:color w:val="auto"/>
          <w:kern w:val="30"/>
          <w:sz w:val="30"/>
          <w:szCs w:val="30"/>
          <w:highlight w:val="none"/>
        </w:rPr>
        <w:t>（三）</w:t>
      </w:r>
      <w:r>
        <w:rPr>
          <w:rFonts w:hint="eastAsia" w:ascii="楷体_GB2312" w:hAnsi="楷体_GB2312" w:eastAsia="楷体_GB2312" w:cs="楷体_GB2312"/>
          <w:color w:val="auto"/>
          <w:kern w:val="30"/>
          <w:sz w:val="30"/>
          <w:szCs w:val="30"/>
          <w:highlight w:val="none"/>
          <w:lang w:val="en-US" w:eastAsia="zh-CN"/>
        </w:rPr>
        <w:t>政策评估</w:t>
      </w:r>
      <w:r>
        <w:rPr>
          <w:rFonts w:hint="eastAsia" w:ascii="楷体_GB2312" w:hAnsi="楷体_GB2312" w:eastAsia="楷体_GB2312" w:cs="楷体_GB2312"/>
          <w:color w:val="auto"/>
          <w:kern w:val="30"/>
          <w:sz w:val="30"/>
          <w:szCs w:val="30"/>
          <w:highlight w:val="none"/>
        </w:rPr>
        <w:t>工作过程</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14:paraId="609FEF36">
      <w:pPr>
        <w:numPr>
          <w:ilvl w:val="-1"/>
          <w:numId w:val="0"/>
        </w:numPr>
        <w:spacing w:line="590" w:lineRule="exact"/>
        <w:ind w:firstLine="654" w:firstLineChars="200"/>
        <w:rPr>
          <w:rFonts w:hint="eastAsia" w:ascii="仿宋_GB2312" w:hAnsi="仿宋_GB2312" w:eastAsia="仿宋_GB2312" w:cs="仿宋_GB2312"/>
          <w:color w:val="auto"/>
          <w:spacing w:val="6"/>
          <w:kern w:val="30"/>
          <w:sz w:val="30"/>
          <w:szCs w:val="30"/>
          <w:highlight w:val="none"/>
          <w:lang w:eastAsia="zh-Hans" w:bidi="ar"/>
        </w:rPr>
      </w:pPr>
      <w:r>
        <w:rPr>
          <w:rFonts w:hint="eastAsia" w:ascii="仿宋_GB2312" w:hAnsi="仿宋_GB2312" w:eastAsia="仿宋_GB2312" w:cs="仿宋_GB2312"/>
          <w:color w:val="auto"/>
          <w:spacing w:val="6"/>
          <w:kern w:val="30"/>
          <w:sz w:val="30"/>
          <w:szCs w:val="30"/>
          <w:highlight w:val="none"/>
          <w:lang w:eastAsia="zh-Hans" w:bidi="ar"/>
        </w:rPr>
        <w:t>本项目</w:t>
      </w:r>
      <w:r>
        <w:rPr>
          <w:rFonts w:hint="eastAsia" w:ascii="仿宋_GB2312" w:hAnsi="仿宋_GB2312" w:eastAsia="仿宋_GB2312" w:cs="仿宋_GB2312"/>
          <w:color w:val="auto"/>
          <w:spacing w:val="6"/>
          <w:kern w:val="30"/>
          <w:sz w:val="30"/>
          <w:szCs w:val="30"/>
          <w:highlight w:val="none"/>
          <w:lang w:val="en-US" w:eastAsia="zh-CN" w:bidi="ar"/>
        </w:rPr>
        <w:t>于</w:t>
      </w:r>
      <w:r>
        <w:rPr>
          <w:rFonts w:hint="eastAsia" w:ascii="仿宋_GB2312" w:hAnsi="仿宋_GB2312" w:eastAsia="仿宋_GB2312" w:cs="仿宋_GB2312"/>
          <w:color w:val="auto"/>
          <w:spacing w:val="6"/>
          <w:kern w:val="30"/>
          <w:sz w:val="30"/>
          <w:szCs w:val="30"/>
          <w:highlight w:val="none"/>
          <w:lang w:eastAsia="zh-Hans" w:bidi="ar"/>
        </w:rPr>
        <w:t>2026年5月1</w:t>
      </w:r>
      <w:r>
        <w:rPr>
          <w:rFonts w:hint="eastAsia" w:ascii="仿宋_GB2312" w:hAnsi="仿宋_GB2312" w:eastAsia="仿宋_GB2312" w:cs="仿宋_GB2312"/>
          <w:color w:val="auto"/>
          <w:spacing w:val="6"/>
          <w:kern w:val="30"/>
          <w:sz w:val="30"/>
          <w:szCs w:val="30"/>
          <w:highlight w:val="none"/>
          <w:lang w:val="en-US" w:eastAsia="zh-CN" w:bidi="ar"/>
        </w:rPr>
        <w:t>1</w:t>
      </w:r>
      <w:r>
        <w:rPr>
          <w:rFonts w:hint="eastAsia" w:ascii="仿宋_GB2312" w:hAnsi="仿宋_GB2312" w:eastAsia="仿宋_GB2312" w:cs="仿宋_GB2312"/>
          <w:color w:val="auto"/>
          <w:spacing w:val="6"/>
          <w:kern w:val="30"/>
          <w:sz w:val="30"/>
          <w:szCs w:val="30"/>
          <w:highlight w:val="none"/>
          <w:lang w:eastAsia="zh-Hans" w:bidi="ar"/>
        </w:rPr>
        <w:t>日开始，2026年7月</w:t>
      </w:r>
      <w:r>
        <w:rPr>
          <w:rFonts w:hint="eastAsia" w:ascii="仿宋_GB2312" w:hAnsi="仿宋_GB2312" w:eastAsia="仿宋_GB2312" w:cs="仿宋_GB2312"/>
          <w:color w:val="auto"/>
          <w:spacing w:val="6"/>
          <w:kern w:val="30"/>
          <w:sz w:val="30"/>
          <w:szCs w:val="30"/>
          <w:highlight w:val="none"/>
          <w:lang w:val="en-US" w:eastAsia="zh-CN" w:bidi="ar"/>
        </w:rPr>
        <w:t>15</w:t>
      </w:r>
      <w:r>
        <w:rPr>
          <w:rFonts w:hint="eastAsia" w:ascii="仿宋_GB2312" w:hAnsi="仿宋_GB2312" w:eastAsia="仿宋_GB2312" w:cs="仿宋_GB2312"/>
          <w:color w:val="auto"/>
          <w:spacing w:val="6"/>
          <w:kern w:val="30"/>
          <w:sz w:val="30"/>
          <w:szCs w:val="30"/>
          <w:highlight w:val="none"/>
          <w:lang w:eastAsia="zh-Hans" w:bidi="ar"/>
        </w:rPr>
        <w:t>日结束。评估工作分为进点会，前期开展调研，编制实施方案，审核修改实施方案并征求意见及开展试点评估，实地评估，撰写报告等</w:t>
      </w:r>
      <w:r>
        <w:rPr>
          <w:rFonts w:hint="eastAsia" w:ascii="仿宋_GB2312" w:hAnsi="仿宋_GB2312" w:eastAsia="仿宋_GB2312" w:cs="仿宋_GB2312"/>
          <w:color w:val="auto"/>
          <w:spacing w:val="6"/>
          <w:kern w:val="30"/>
          <w:sz w:val="30"/>
          <w:szCs w:val="30"/>
          <w:highlight w:val="none"/>
          <w:lang w:val="en-US" w:eastAsia="zh-CN" w:bidi="ar"/>
        </w:rPr>
        <w:t>七</w:t>
      </w:r>
      <w:r>
        <w:rPr>
          <w:rFonts w:hint="eastAsia" w:ascii="仿宋_GB2312" w:hAnsi="仿宋_GB2312" w:eastAsia="仿宋_GB2312" w:cs="仿宋_GB2312"/>
          <w:color w:val="auto"/>
          <w:spacing w:val="6"/>
          <w:kern w:val="30"/>
          <w:sz w:val="30"/>
          <w:szCs w:val="30"/>
          <w:highlight w:val="none"/>
          <w:lang w:eastAsia="zh-Hans" w:bidi="ar"/>
        </w:rPr>
        <w:t>个阶段。具体安排如下：</w:t>
      </w:r>
    </w:p>
    <w:p w14:paraId="438391BE">
      <w:pPr>
        <w:numPr>
          <w:ilvl w:val="-1"/>
          <w:numId w:val="0"/>
        </w:numPr>
        <w:spacing w:line="590" w:lineRule="exact"/>
        <w:ind w:firstLine="654" w:firstLineChars="200"/>
        <w:rPr>
          <w:rFonts w:hint="eastAsia" w:ascii="仿宋_GB2312" w:hAnsi="仿宋_GB2312" w:eastAsia="仿宋_GB2312" w:cs="仿宋_GB2312"/>
          <w:color w:val="auto"/>
          <w:spacing w:val="6"/>
          <w:kern w:val="30"/>
          <w:sz w:val="30"/>
          <w:szCs w:val="30"/>
          <w:highlight w:val="none"/>
          <w:lang w:eastAsia="zh-Hans" w:bidi="ar"/>
        </w:rPr>
      </w:pPr>
      <w:r>
        <w:rPr>
          <w:rFonts w:hint="eastAsia" w:ascii="仿宋_GB2312" w:hAnsi="仿宋_GB2312" w:eastAsia="仿宋_GB2312" w:cs="仿宋_GB2312"/>
          <w:color w:val="auto"/>
          <w:spacing w:val="6"/>
          <w:kern w:val="30"/>
          <w:sz w:val="30"/>
          <w:szCs w:val="30"/>
          <w:highlight w:val="none"/>
          <w:lang w:eastAsia="zh-Hans" w:bidi="ar"/>
        </w:rPr>
        <w:t>1.评</w:t>
      </w:r>
      <w:r>
        <w:rPr>
          <w:rFonts w:hint="eastAsia" w:ascii="仿宋_GB2312" w:hAnsi="仿宋_GB2312" w:eastAsia="仿宋_GB2312" w:cs="仿宋_GB2312"/>
          <w:color w:val="auto"/>
          <w:spacing w:val="6"/>
          <w:kern w:val="30"/>
          <w:sz w:val="30"/>
          <w:szCs w:val="30"/>
          <w:highlight w:val="none"/>
          <w:lang w:val="en-US" w:eastAsia="zh-CN" w:bidi="ar"/>
        </w:rPr>
        <w:t>估</w:t>
      </w:r>
      <w:r>
        <w:rPr>
          <w:rFonts w:hint="eastAsia" w:ascii="仿宋_GB2312" w:hAnsi="仿宋_GB2312" w:eastAsia="仿宋_GB2312" w:cs="仿宋_GB2312"/>
          <w:color w:val="auto"/>
          <w:spacing w:val="6"/>
          <w:kern w:val="30"/>
          <w:sz w:val="30"/>
          <w:szCs w:val="30"/>
          <w:highlight w:val="none"/>
          <w:lang w:eastAsia="zh-Hans" w:bidi="ar"/>
        </w:rPr>
        <w:t>进点会</w:t>
      </w:r>
    </w:p>
    <w:p w14:paraId="3C1CCC7A">
      <w:pPr>
        <w:numPr>
          <w:ilvl w:val="-1"/>
          <w:numId w:val="0"/>
        </w:numPr>
        <w:spacing w:line="590" w:lineRule="exact"/>
        <w:ind w:firstLine="654" w:firstLineChars="200"/>
        <w:rPr>
          <w:rFonts w:hint="eastAsia" w:ascii="仿宋_GB2312" w:hAnsi="仿宋_GB2312" w:eastAsia="仿宋_GB2312" w:cs="仿宋_GB2312"/>
          <w:color w:val="auto"/>
          <w:spacing w:val="6"/>
          <w:kern w:val="30"/>
          <w:sz w:val="30"/>
          <w:szCs w:val="30"/>
          <w:highlight w:val="none"/>
          <w:lang w:eastAsia="zh-Hans" w:bidi="ar"/>
        </w:rPr>
      </w:pPr>
      <w:r>
        <w:rPr>
          <w:rFonts w:hint="eastAsia" w:ascii="仿宋_GB2312" w:hAnsi="仿宋_GB2312" w:eastAsia="仿宋_GB2312" w:cs="仿宋_GB2312"/>
          <w:color w:val="auto"/>
          <w:spacing w:val="6"/>
          <w:kern w:val="30"/>
          <w:sz w:val="30"/>
          <w:szCs w:val="30"/>
          <w:highlight w:val="none"/>
          <w:lang w:eastAsia="zh-Hans" w:bidi="ar"/>
        </w:rPr>
        <w:t>2026年5月11日，本次政策评估由自治区财政厅绩效处（绩效评价中心）组织召开见面会。会议上明确了本次政策评估质量要求、时间安排、三方联系人及项目对接。</w:t>
      </w:r>
    </w:p>
    <w:p w14:paraId="0F9B4527">
      <w:pPr>
        <w:numPr>
          <w:ilvl w:val="-1"/>
          <w:numId w:val="0"/>
        </w:numPr>
        <w:spacing w:line="590" w:lineRule="exact"/>
        <w:ind w:firstLine="654" w:firstLineChars="200"/>
        <w:rPr>
          <w:rFonts w:hint="eastAsia" w:ascii="仿宋_GB2312" w:hAnsi="仿宋_GB2312" w:eastAsia="仿宋_GB2312" w:cs="仿宋_GB2312"/>
          <w:color w:val="auto"/>
          <w:spacing w:val="6"/>
          <w:kern w:val="30"/>
          <w:sz w:val="30"/>
          <w:szCs w:val="30"/>
          <w:highlight w:val="none"/>
          <w:lang w:eastAsia="zh-Hans" w:bidi="ar"/>
        </w:rPr>
      </w:pPr>
      <w:r>
        <w:rPr>
          <w:rFonts w:hint="eastAsia" w:ascii="仿宋_GB2312" w:hAnsi="仿宋_GB2312" w:eastAsia="仿宋_GB2312" w:cs="仿宋_GB2312"/>
          <w:color w:val="auto"/>
          <w:spacing w:val="6"/>
          <w:kern w:val="30"/>
          <w:sz w:val="30"/>
          <w:szCs w:val="30"/>
          <w:highlight w:val="none"/>
          <w:lang w:eastAsia="zh-Hans" w:bidi="ar"/>
        </w:rPr>
        <w:t>2.前期调研及启动会</w:t>
      </w:r>
    </w:p>
    <w:p w14:paraId="5A5683B8">
      <w:pPr>
        <w:numPr>
          <w:ilvl w:val="-1"/>
          <w:numId w:val="0"/>
        </w:numPr>
        <w:spacing w:line="590" w:lineRule="exact"/>
        <w:ind w:firstLine="654" w:firstLineChars="200"/>
        <w:rPr>
          <w:rFonts w:hint="eastAsia" w:ascii="仿宋_GB2312" w:hAnsi="仿宋_GB2312" w:eastAsia="仿宋_GB2312" w:cs="仿宋_GB2312"/>
          <w:color w:val="auto"/>
          <w:spacing w:val="6"/>
          <w:kern w:val="30"/>
          <w:sz w:val="30"/>
          <w:szCs w:val="30"/>
          <w:highlight w:val="none"/>
          <w:lang w:eastAsia="zh-Hans" w:bidi="ar"/>
        </w:rPr>
      </w:pPr>
      <w:r>
        <w:rPr>
          <w:rFonts w:hint="eastAsia" w:ascii="仿宋_GB2312" w:hAnsi="仿宋_GB2312" w:eastAsia="仿宋_GB2312" w:cs="仿宋_GB2312"/>
          <w:color w:val="auto"/>
          <w:spacing w:val="6"/>
          <w:kern w:val="30"/>
          <w:sz w:val="30"/>
          <w:szCs w:val="30"/>
          <w:highlight w:val="none"/>
          <w:lang w:eastAsia="zh-Hans" w:bidi="ar"/>
        </w:rPr>
        <w:t>2026年5月12日—5月15日。事务所选派5名评</w:t>
      </w:r>
      <w:r>
        <w:rPr>
          <w:rFonts w:hint="eastAsia" w:ascii="仿宋_GB2312" w:hAnsi="仿宋_GB2312" w:eastAsia="仿宋_GB2312" w:cs="仿宋_GB2312"/>
          <w:color w:val="auto"/>
          <w:spacing w:val="6"/>
          <w:kern w:val="30"/>
          <w:sz w:val="30"/>
          <w:szCs w:val="30"/>
          <w:highlight w:val="none"/>
          <w:lang w:val="en-US" w:eastAsia="zh-CN" w:bidi="ar"/>
        </w:rPr>
        <w:t>估</w:t>
      </w:r>
      <w:r>
        <w:rPr>
          <w:rFonts w:hint="eastAsia" w:ascii="仿宋_GB2312" w:hAnsi="仿宋_GB2312" w:eastAsia="仿宋_GB2312" w:cs="仿宋_GB2312"/>
          <w:color w:val="auto"/>
          <w:spacing w:val="6"/>
          <w:kern w:val="30"/>
          <w:sz w:val="30"/>
          <w:szCs w:val="30"/>
          <w:highlight w:val="none"/>
          <w:lang w:eastAsia="zh-Hans" w:bidi="ar"/>
        </w:rPr>
        <w:t>人员开展前期调研，由自治区民政厅将收集好的资料及时提交给事务所。2026年5月15日自治区财政厅绩效处（绩效评价中心）、资金处室共同组织项目单位、事务所召开启动会，评估组与相关工作人员就政策背景、政策文件、实施过程资料等进行沟通核实。</w:t>
      </w:r>
    </w:p>
    <w:p w14:paraId="17BCD6F1">
      <w:pPr>
        <w:numPr>
          <w:ilvl w:val="-1"/>
          <w:numId w:val="0"/>
        </w:numPr>
        <w:spacing w:line="590" w:lineRule="exact"/>
        <w:ind w:firstLine="654" w:firstLineChars="200"/>
        <w:rPr>
          <w:rFonts w:hint="eastAsia" w:ascii="仿宋_GB2312" w:hAnsi="仿宋_GB2312" w:eastAsia="仿宋_GB2312" w:cs="仿宋_GB2312"/>
          <w:color w:val="auto"/>
          <w:spacing w:val="6"/>
          <w:kern w:val="30"/>
          <w:sz w:val="30"/>
          <w:szCs w:val="30"/>
          <w:highlight w:val="none"/>
          <w:lang w:eastAsia="zh-Hans" w:bidi="ar"/>
        </w:rPr>
      </w:pPr>
      <w:r>
        <w:rPr>
          <w:rFonts w:hint="eastAsia" w:ascii="仿宋_GB2312" w:hAnsi="仿宋_GB2312" w:eastAsia="仿宋_GB2312" w:cs="仿宋_GB2312"/>
          <w:color w:val="auto"/>
          <w:spacing w:val="6"/>
          <w:kern w:val="30"/>
          <w:sz w:val="30"/>
          <w:szCs w:val="30"/>
          <w:highlight w:val="none"/>
          <w:lang w:eastAsia="zh-Hans" w:bidi="ar"/>
        </w:rPr>
        <w:t>3.编制实施方案</w:t>
      </w:r>
    </w:p>
    <w:p w14:paraId="12CFA046">
      <w:pPr>
        <w:numPr>
          <w:ilvl w:val="-1"/>
          <w:numId w:val="0"/>
        </w:numPr>
        <w:spacing w:line="590" w:lineRule="exact"/>
        <w:ind w:firstLine="654" w:firstLineChars="200"/>
        <w:rPr>
          <w:rFonts w:hint="eastAsia" w:ascii="仿宋_GB2312" w:hAnsi="仿宋_GB2312" w:eastAsia="仿宋_GB2312" w:cs="仿宋_GB2312"/>
          <w:color w:val="auto"/>
          <w:spacing w:val="6"/>
          <w:kern w:val="30"/>
          <w:sz w:val="30"/>
          <w:szCs w:val="30"/>
          <w:highlight w:val="none"/>
          <w:lang w:eastAsia="zh-Hans" w:bidi="ar"/>
        </w:rPr>
      </w:pPr>
      <w:r>
        <w:rPr>
          <w:rFonts w:hint="eastAsia" w:ascii="仿宋_GB2312" w:hAnsi="仿宋_GB2312" w:eastAsia="仿宋_GB2312" w:cs="仿宋_GB2312"/>
          <w:color w:val="auto"/>
          <w:spacing w:val="6"/>
          <w:kern w:val="30"/>
          <w:sz w:val="30"/>
          <w:szCs w:val="30"/>
          <w:highlight w:val="none"/>
          <w:lang w:eastAsia="zh-Hans" w:bidi="ar"/>
        </w:rPr>
        <w:t>2026年5月16日至2026年5月19日。评估组将根据调研情况，研究编制自治区民办养老服务机构资助办法政策评估实施方案，设计评估指标。在编制实施方案时详细梳理预算批复、资金分配、资助办法内容、职责分工及审核流程等基础信息。</w:t>
      </w:r>
    </w:p>
    <w:p w14:paraId="45D3012F">
      <w:pPr>
        <w:numPr>
          <w:ilvl w:val="-1"/>
          <w:numId w:val="0"/>
        </w:numPr>
        <w:spacing w:line="590" w:lineRule="exact"/>
        <w:ind w:firstLine="654" w:firstLineChars="200"/>
        <w:rPr>
          <w:rFonts w:hint="eastAsia" w:ascii="仿宋_GB2312" w:hAnsi="仿宋_GB2312" w:eastAsia="仿宋_GB2312" w:cs="仿宋_GB2312"/>
          <w:color w:val="auto"/>
          <w:spacing w:val="6"/>
          <w:kern w:val="30"/>
          <w:sz w:val="30"/>
          <w:szCs w:val="30"/>
          <w:highlight w:val="none"/>
          <w:lang w:eastAsia="zh-CN" w:bidi="ar"/>
        </w:rPr>
      </w:pPr>
      <w:r>
        <w:rPr>
          <w:rFonts w:hint="eastAsia" w:ascii="仿宋_GB2312" w:hAnsi="仿宋_GB2312" w:eastAsia="仿宋_GB2312" w:cs="仿宋_GB2312"/>
          <w:color w:val="auto"/>
          <w:spacing w:val="6"/>
          <w:kern w:val="30"/>
          <w:sz w:val="30"/>
          <w:szCs w:val="30"/>
          <w:highlight w:val="none"/>
          <w:lang w:eastAsia="zh-Hans" w:bidi="ar"/>
        </w:rPr>
        <w:t>4.审核、修改实施方案并征求意见及开展试点评</w:t>
      </w:r>
      <w:r>
        <w:rPr>
          <w:rFonts w:hint="eastAsia" w:ascii="仿宋_GB2312" w:hAnsi="仿宋_GB2312" w:eastAsia="仿宋_GB2312" w:cs="仿宋_GB2312"/>
          <w:color w:val="auto"/>
          <w:spacing w:val="6"/>
          <w:kern w:val="30"/>
          <w:sz w:val="30"/>
          <w:szCs w:val="30"/>
          <w:highlight w:val="none"/>
          <w:lang w:val="en-US" w:eastAsia="zh-CN" w:bidi="ar"/>
        </w:rPr>
        <w:t>估</w:t>
      </w:r>
    </w:p>
    <w:p w14:paraId="7E80E031">
      <w:pPr>
        <w:numPr>
          <w:ilvl w:val="-1"/>
          <w:numId w:val="0"/>
        </w:numPr>
        <w:spacing w:line="590" w:lineRule="exact"/>
        <w:ind w:firstLine="654" w:firstLineChars="200"/>
        <w:rPr>
          <w:rFonts w:hint="eastAsia" w:ascii="仿宋_GB2312" w:hAnsi="仿宋_GB2312" w:eastAsia="仿宋_GB2312" w:cs="仿宋_GB2312"/>
          <w:color w:val="auto"/>
          <w:spacing w:val="6"/>
          <w:kern w:val="30"/>
          <w:sz w:val="30"/>
          <w:szCs w:val="30"/>
          <w:highlight w:val="none"/>
          <w:lang w:eastAsia="zh-Hans" w:bidi="ar"/>
        </w:rPr>
      </w:pPr>
      <w:r>
        <w:rPr>
          <w:rFonts w:hint="eastAsia" w:ascii="仿宋_GB2312" w:hAnsi="仿宋_GB2312" w:eastAsia="仿宋_GB2312" w:cs="仿宋_GB2312"/>
          <w:color w:val="auto"/>
          <w:spacing w:val="6"/>
          <w:kern w:val="30"/>
          <w:sz w:val="30"/>
          <w:szCs w:val="30"/>
          <w:highlight w:val="none"/>
          <w:lang w:eastAsia="zh-Hans" w:bidi="ar"/>
        </w:rPr>
        <w:t>2026年5月20日至2026年5月25日，根据自治区财政厅绩效评价中心及聘请的外部专家、资金处室、资金管理处室、绩效评价中心提出的意见合理采纳，修改完善政策评估方案。在确定政策评估实施方案后，开展试点评估工作。</w:t>
      </w:r>
    </w:p>
    <w:p w14:paraId="5239AC19">
      <w:pPr>
        <w:numPr>
          <w:ilvl w:val="-1"/>
          <w:numId w:val="0"/>
        </w:numPr>
        <w:spacing w:line="590" w:lineRule="exact"/>
        <w:ind w:firstLine="654" w:firstLineChars="200"/>
        <w:rPr>
          <w:rFonts w:hint="eastAsia" w:ascii="仿宋_GB2312" w:hAnsi="仿宋_GB2312" w:eastAsia="仿宋_GB2312" w:cs="仿宋_GB2312"/>
          <w:color w:val="auto"/>
          <w:spacing w:val="6"/>
          <w:kern w:val="30"/>
          <w:sz w:val="30"/>
          <w:szCs w:val="30"/>
          <w:highlight w:val="none"/>
          <w:lang w:eastAsia="zh-CN" w:bidi="ar"/>
        </w:rPr>
      </w:pPr>
      <w:r>
        <w:rPr>
          <w:rFonts w:hint="eastAsia" w:ascii="仿宋_GB2312" w:hAnsi="仿宋_GB2312" w:eastAsia="仿宋_GB2312" w:cs="仿宋_GB2312"/>
          <w:color w:val="auto"/>
          <w:spacing w:val="6"/>
          <w:kern w:val="30"/>
          <w:sz w:val="30"/>
          <w:szCs w:val="30"/>
          <w:highlight w:val="none"/>
          <w:lang w:eastAsia="zh-Hans" w:bidi="ar"/>
        </w:rPr>
        <w:t>5.实地评</w:t>
      </w:r>
      <w:r>
        <w:rPr>
          <w:rFonts w:hint="eastAsia" w:ascii="仿宋_GB2312" w:hAnsi="仿宋_GB2312" w:eastAsia="仿宋_GB2312" w:cs="仿宋_GB2312"/>
          <w:color w:val="auto"/>
          <w:spacing w:val="6"/>
          <w:kern w:val="30"/>
          <w:sz w:val="30"/>
          <w:szCs w:val="30"/>
          <w:highlight w:val="none"/>
          <w:lang w:val="en-US" w:eastAsia="zh-CN" w:bidi="ar"/>
        </w:rPr>
        <w:t>估</w:t>
      </w:r>
    </w:p>
    <w:p w14:paraId="2DA736E6">
      <w:pPr>
        <w:numPr>
          <w:ilvl w:val="-1"/>
          <w:numId w:val="0"/>
        </w:numPr>
        <w:spacing w:line="590" w:lineRule="exact"/>
        <w:ind w:firstLine="654" w:firstLineChars="200"/>
        <w:rPr>
          <w:rFonts w:hint="eastAsia" w:ascii="仿宋_GB2312" w:hAnsi="仿宋_GB2312" w:eastAsia="仿宋_GB2312" w:cs="仿宋_GB2312"/>
          <w:color w:val="auto"/>
          <w:spacing w:val="6"/>
          <w:kern w:val="30"/>
          <w:sz w:val="30"/>
          <w:szCs w:val="30"/>
          <w:highlight w:val="none"/>
          <w:lang w:eastAsia="zh-Hans" w:bidi="ar"/>
        </w:rPr>
      </w:pPr>
      <w:r>
        <w:rPr>
          <w:rFonts w:hint="eastAsia" w:ascii="仿宋_GB2312" w:hAnsi="仿宋_GB2312" w:eastAsia="仿宋_GB2312" w:cs="仿宋_GB2312"/>
          <w:color w:val="auto"/>
          <w:spacing w:val="6"/>
          <w:kern w:val="30"/>
          <w:sz w:val="30"/>
          <w:szCs w:val="30"/>
          <w:highlight w:val="none"/>
          <w:lang w:eastAsia="zh-Hans" w:bidi="ar"/>
        </w:rPr>
        <w:t>2026年5月26日至2026年6月</w:t>
      </w:r>
      <w:r>
        <w:rPr>
          <w:rFonts w:hint="eastAsia" w:ascii="仿宋_GB2312" w:hAnsi="仿宋_GB2312" w:eastAsia="仿宋_GB2312" w:cs="仿宋_GB2312"/>
          <w:color w:val="auto"/>
          <w:spacing w:val="6"/>
          <w:kern w:val="30"/>
          <w:sz w:val="30"/>
          <w:szCs w:val="30"/>
          <w:highlight w:val="none"/>
          <w:lang w:val="en-US" w:eastAsia="zh-CN" w:bidi="ar"/>
        </w:rPr>
        <w:t>25</w:t>
      </w:r>
      <w:r>
        <w:rPr>
          <w:rFonts w:hint="eastAsia" w:ascii="仿宋_GB2312" w:hAnsi="仿宋_GB2312" w:eastAsia="仿宋_GB2312" w:cs="仿宋_GB2312"/>
          <w:color w:val="auto"/>
          <w:spacing w:val="6"/>
          <w:kern w:val="30"/>
          <w:sz w:val="30"/>
          <w:szCs w:val="30"/>
          <w:highlight w:val="none"/>
          <w:lang w:eastAsia="zh-Hans" w:bidi="ar"/>
        </w:rPr>
        <w:t>日。根据分析项目前期调研和项目实施方案规划，事务所将安排16人形成评估工作组，完成该项目的实地评估。</w:t>
      </w:r>
    </w:p>
    <w:p w14:paraId="4F4B51F6">
      <w:pPr>
        <w:numPr>
          <w:ilvl w:val="-1"/>
          <w:numId w:val="0"/>
        </w:numPr>
        <w:spacing w:line="590" w:lineRule="exact"/>
        <w:ind w:firstLine="654" w:firstLineChars="200"/>
        <w:rPr>
          <w:rFonts w:hint="eastAsia" w:ascii="仿宋_GB2312" w:hAnsi="仿宋_GB2312" w:eastAsia="仿宋_GB2312" w:cs="仿宋_GB2312"/>
          <w:color w:val="auto"/>
          <w:spacing w:val="6"/>
          <w:kern w:val="30"/>
          <w:sz w:val="30"/>
          <w:szCs w:val="30"/>
          <w:highlight w:val="none"/>
          <w:lang w:eastAsia="zh-Hans" w:bidi="ar"/>
        </w:rPr>
      </w:pPr>
      <w:r>
        <w:rPr>
          <w:rFonts w:hint="eastAsia" w:ascii="仿宋_GB2312" w:hAnsi="仿宋_GB2312" w:eastAsia="仿宋_GB2312" w:cs="仿宋_GB2312"/>
          <w:color w:val="auto"/>
          <w:spacing w:val="6"/>
          <w:kern w:val="30"/>
          <w:sz w:val="30"/>
          <w:szCs w:val="30"/>
          <w:highlight w:val="none"/>
          <w:lang w:eastAsia="zh-Hans" w:bidi="ar"/>
        </w:rPr>
        <w:t>6.撰写报告</w:t>
      </w:r>
    </w:p>
    <w:p w14:paraId="1E28F56D">
      <w:pPr>
        <w:numPr>
          <w:ilvl w:val="-1"/>
          <w:numId w:val="0"/>
        </w:numPr>
        <w:spacing w:line="590" w:lineRule="exact"/>
        <w:ind w:firstLine="654" w:firstLineChars="200"/>
        <w:rPr>
          <w:rFonts w:hint="eastAsia" w:ascii="仿宋_GB2312" w:hAnsi="仿宋_GB2312" w:eastAsia="仿宋_GB2312" w:cs="仿宋_GB2312"/>
          <w:color w:val="auto"/>
          <w:spacing w:val="6"/>
          <w:kern w:val="30"/>
          <w:sz w:val="30"/>
          <w:szCs w:val="30"/>
          <w:highlight w:val="none"/>
          <w:lang w:eastAsia="zh-Hans" w:bidi="ar"/>
        </w:rPr>
      </w:pPr>
      <w:r>
        <w:rPr>
          <w:rFonts w:hint="eastAsia" w:ascii="仿宋_GB2312" w:hAnsi="仿宋_GB2312" w:eastAsia="仿宋_GB2312" w:cs="仿宋_GB2312"/>
          <w:color w:val="auto"/>
          <w:spacing w:val="6"/>
          <w:kern w:val="30"/>
          <w:sz w:val="30"/>
          <w:szCs w:val="30"/>
          <w:highlight w:val="none"/>
          <w:lang w:eastAsia="zh-Hans" w:bidi="ar"/>
        </w:rPr>
        <w:t>2026年</w:t>
      </w:r>
      <w:r>
        <w:rPr>
          <w:rFonts w:hint="eastAsia" w:ascii="仿宋_GB2312" w:hAnsi="仿宋_GB2312" w:eastAsia="仿宋_GB2312" w:cs="仿宋_GB2312"/>
          <w:color w:val="auto"/>
          <w:spacing w:val="6"/>
          <w:kern w:val="30"/>
          <w:sz w:val="30"/>
          <w:szCs w:val="30"/>
          <w:highlight w:val="none"/>
          <w:lang w:val="en-US" w:eastAsia="zh-CN" w:bidi="ar"/>
        </w:rPr>
        <w:t>6</w:t>
      </w:r>
      <w:r>
        <w:rPr>
          <w:rFonts w:hint="eastAsia" w:ascii="仿宋_GB2312" w:hAnsi="仿宋_GB2312" w:eastAsia="仿宋_GB2312" w:cs="仿宋_GB2312"/>
          <w:color w:val="auto"/>
          <w:spacing w:val="6"/>
          <w:kern w:val="30"/>
          <w:sz w:val="30"/>
          <w:szCs w:val="30"/>
          <w:highlight w:val="none"/>
          <w:lang w:eastAsia="zh-Hans" w:bidi="ar"/>
        </w:rPr>
        <w:t>月</w:t>
      </w:r>
      <w:r>
        <w:rPr>
          <w:rFonts w:hint="eastAsia" w:ascii="仿宋_GB2312" w:hAnsi="仿宋_GB2312" w:eastAsia="仿宋_GB2312" w:cs="仿宋_GB2312"/>
          <w:color w:val="auto"/>
          <w:spacing w:val="6"/>
          <w:kern w:val="30"/>
          <w:sz w:val="30"/>
          <w:szCs w:val="30"/>
          <w:highlight w:val="none"/>
          <w:lang w:val="en-US" w:eastAsia="zh-CN" w:bidi="ar"/>
        </w:rPr>
        <w:t>26</w:t>
      </w:r>
      <w:r>
        <w:rPr>
          <w:rFonts w:hint="eastAsia" w:ascii="仿宋_GB2312" w:hAnsi="仿宋_GB2312" w:eastAsia="仿宋_GB2312" w:cs="仿宋_GB2312"/>
          <w:color w:val="auto"/>
          <w:spacing w:val="6"/>
          <w:kern w:val="30"/>
          <w:sz w:val="30"/>
          <w:szCs w:val="30"/>
          <w:highlight w:val="none"/>
          <w:lang w:eastAsia="zh-Hans" w:bidi="ar"/>
        </w:rPr>
        <w:t>日至2026年7月</w:t>
      </w:r>
      <w:r>
        <w:rPr>
          <w:rFonts w:hint="eastAsia" w:ascii="仿宋_GB2312" w:hAnsi="仿宋_GB2312" w:eastAsia="仿宋_GB2312" w:cs="仿宋_GB2312"/>
          <w:color w:val="auto"/>
          <w:spacing w:val="6"/>
          <w:kern w:val="30"/>
          <w:sz w:val="30"/>
          <w:szCs w:val="30"/>
          <w:highlight w:val="none"/>
          <w:lang w:val="en-US" w:eastAsia="zh-CN" w:bidi="ar"/>
        </w:rPr>
        <w:t>10</w:t>
      </w:r>
      <w:r>
        <w:rPr>
          <w:rFonts w:hint="eastAsia" w:ascii="仿宋_GB2312" w:hAnsi="仿宋_GB2312" w:eastAsia="仿宋_GB2312" w:cs="仿宋_GB2312"/>
          <w:color w:val="auto"/>
          <w:spacing w:val="6"/>
          <w:kern w:val="30"/>
          <w:sz w:val="30"/>
          <w:szCs w:val="30"/>
          <w:highlight w:val="none"/>
          <w:lang w:eastAsia="zh-Hans" w:bidi="ar"/>
        </w:rPr>
        <w:t>日，实地评估结束后，项目评估组汇总各评估工作组评</w:t>
      </w:r>
      <w:r>
        <w:rPr>
          <w:rFonts w:hint="eastAsia" w:ascii="仿宋_GB2312" w:hAnsi="仿宋_GB2312" w:eastAsia="仿宋_GB2312" w:cs="仿宋_GB2312"/>
          <w:color w:val="auto"/>
          <w:spacing w:val="6"/>
          <w:kern w:val="30"/>
          <w:sz w:val="30"/>
          <w:szCs w:val="30"/>
          <w:highlight w:val="none"/>
          <w:lang w:val="en-US" w:eastAsia="zh-CN" w:bidi="ar"/>
        </w:rPr>
        <w:t>估</w:t>
      </w:r>
      <w:r>
        <w:rPr>
          <w:rFonts w:hint="eastAsia" w:ascii="仿宋_GB2312" w:hAnsi="仿宋_GB2312" w:eastAsia="仿宋_GB2312" w:cs="仿宋_GB2312"/>
          <w:color w:val="auto"/>
          <w:spacing w:val="6"/>
          <w:kern w:val="30"/>
          <w:sz w:val="30"/>
          <w:szCs w:val="30"/>
          <w:highlight w:val="none"/>
          <w:lang w:eastAsia="zh-Hans" w:bidi="ar"/>
        </w:rPr>
        <w:t>的情况，研究分析相关数据材料，撰写政策评估报告初稿。事务所组织外聘专家对自治区民办养老服务机构资助办法政策评估报告进行审核，依据自聘专家反馈意见修改评估报告，再通过事务所内部质量复核确定会审稿政策评估报告。</w:t>
      </w:r>
    </w:p>
    <w:p w14:paraId="7424403D">
      <w:pPr>
        <w:numPr>
          <w:ilvl w:val="-1"/>
          <w:numId w:val="0"/>
        </w:numPr>
        <w:spacing w:line="590" w:lineRule="exact"/>
        <w:ind w:firstLine="654" w:firstLineChars="200"/>
        <w:rPr>
          <w:rFonts w:hint="eastAsia" w:ascii="仿宋_GB2312" w:hAnsi="仿宋_GB2312" w:eastAsia="仿宋_GB2312" w:cs="仿宋_GB2312"/>
          <w:color w:val="auto"/>
          <w:spacing w:val="6"/>
          <w:kern w:val="30"/>
          <w:sz w:val="30"/>
          <w:szCs w:val="30"/>
          <w:highlight w:val="none"/>
          <w:lang w:eastAsia="zh-Hans" w:bidi="ar"/>
        </w:rPr>
      </w:pPr>
      <w:r>
        <w:rPr>
          <w:rFonts w:hint="eastAsia" w:ascii="仿宋_GB2312" w:hAnsi="仿宋_GB2312" w:eastAsia="仿宋_GB2312" w:cs="仿宋_GB2312"/>
          <w:color w:val="auto"/>
          <w:spacing w:val="6"/>
          <w:kern w:val="30"/>
          <w:sz w:val="30"/>
          <w:szCs w:val="30"/>
          <w:highlight w:val="none"/>
          <w:lang w:eastAsia="zh-Hans" w:bidi="ar"/>
        </w:rPr>
        <w:t>7.报告征求意见及修改完善</w:t>
      </w:r>
    </w:p>
    <w:p w14:paraId="5455ACBC">
      <w:pPr>
        <w:numPr>
          <w:ilvl w:val="-1"/>
          <w:numId w:val="0"/>
        </w:numPr>
        <w:spacing w:line="590" w:lineRule="exact"/>
        <w:ind w:firstLine="654" w:firstLineChars="200"/>
        <w:rPr>
          <w:rFonts w:hint="eastAsia" w:ascii="仿宋_GB2312" w:hAnsi="仿宋_GB2312" w:eastAsia="仿宋_GB2312" w:cs="仿宋_GB2312"/>
          <w:color w:val="auto"/>
          <w:spacing w:val="6"/>
          <w:kern w:val="30"/>
          <w:sz w:val="30"/>
          <w:szCs w:val="30"/>
          <w:highlight w:val="none"/>
          <w:lang w:eastAsia="zh-Hans" w:bidi="ar"/>
        </w:rPr>
      </w:pPr>
      <w:r>
        <w:rPr>
          <w:rFonts w:hint="eastAsia" w:ascii="仿宋_GB2312" w:hAnsi="仿宋_GB2312" w:eastAsia="仿宋_GB2312" w:cs="仿宋_GB2312"/>
          <w:color w:val="auto"/>
          <w:spacing w:val="6"/>
          <w:kern w:val="30"/>
          <w:sz w:val="30"/>
          <w:szCs w:val="30"/>
          <w:highlight w:val="none"/>
          <w:lang w:eastAsia="zh-Hans" w:bidi="ar"/>
        </w:rPr>
        <w:t>2026年7月1</w:t>
      </w:r>
      <w:r>
        <w:rPr>
          <w:rFonts w:hint="eastAsia" w:ascii="仿宋_GB2312" w:hAnsi="仿宋_GB2312" w:eastAsia="仿宋_GB2312" w:cs="仿宋_GB2312"/>
          <w:color w:val="auto"/>
          <w:spacing w:val="6"/>
          <w:kern w:val="30"/>
          <w:sz w:val="30"/>
          <w:szCs w:val="30"/>
          <w:highlight w:val="none"/>
          <w:lang w:val="en-US" w:eastAsia="zh-CN" w:bidi="ar"/>
        </w:rPr>
        <w:t>1</w:t>
      </w:r>
      <w:r>
        <w:rPr>
          <w:rFonts w:hint="eastAsia" w:ascii="仿宋_GB2312" w:hAnsi="仿宋_GB2312" w:eastAsia="仿宋_GB2312" w:cs="仿宋_GB2312"/>
          <w:color w:val="auto"/>
          <w:spacing w:val="6"/>
          <w:kern w:val="30"/>
          <w:sz w:val="30"/>
          <w:szCs w:val="30"/>
          <w:highlight w:val="none"/>
          <w:lang w:eastAsia="zh-Hans" w:bidi="ar"/>
        </w:rPr>
        <w:t>日至2026年7月1</w:t>
      </w:r>
      <w:r>
        <w:rPr>
          <w:rFonts w:hint="eastAsia" w:ascii="仿宋_GB2312" w:hAnsi="仿宋_GB2312" w:eastAsia="仿宋_GB2312" w:cs="仿宋_GB2312"/>
          <w:color w:val="auto"/>
          <w:spacing w:val="6"/>
          <w:kern w:val="30"/>
          <w:sz w:val="30"/>
          <w:szCs w:val="30"/>
          <w:highlight w:val="none"/>
          <w:lang w:val="en-US" w:eastAsia="zh-CN" w:bidi="ar"/>
        </w:rPr>
        <w:t>5</w:t>
      </w:r>
      <w:r>
        <w:rPr>
          <w:rFonts w:hint="eastAsia" w:ascii="仿宋_GB2312" w:hAnsi="仿宋_GB2312" w:eastAsia="仿宋_GB2312" w:cs="仿宋_GB2312"/>
          <w:color w:val="auto"/>
          <w:spacing w:val="6"/>
          <w:kern w:val="30"/>
          <w:sz w:val="30"/>
          <w:szCs w:val="30"/>
          <w:highlight w:val="none"/>
          <w:lang w:eastAsia="zh-Hans" w:bidi="ar"/>
        </w:rPr>
        <w:t>日。经事务所质量复核通过并向自治区民政厅进行征求意见后，评估组将充分考虑自治区民政厅对报告的反馈意见，分析修改完善政策评估报告。</w:t>
      </w:r>
    </w:p>
    <w:p w14:paraId="3713B0DD">
      <w:pPr>
        <w:spacing w:line="590" w:lineRule="exact"/>
        <w:ind w:firstLine="670" w:firstLineChars="200"/>
        <w:outlineLvl w:val="0"/>
        <w:rPr>
          <w:rFonts w:hint="eastAsia" w:ascii="黑体" w:hAnsi="黑体" w:eastAsia="黑体" w:cs="宋体"/>
          <w:color w:val="auto"/>
          <w:kern w:val="30"/>
          <w:sz w:val="32"/>
          <w:szCs w:val="32"/>
          <w:highlight w:val="none"/>
        </w:rPr>
      </w:pPr>
      <w:bookmarkStart w:id="181" w:name="_Toc22676"/>
      <w:bookmarkStart w:id="182" w:name="_Toc17212"/>
      <w:bookmarkStart w:id="183" w:name="_Toc19595"/>
      <w:bookmarkStart w:id="184" w:name="_Toc28629"/>
      <w:bookmarkStart w:id="185" w:name="_Toc26539"/>
      <w:bookmarkStart w:id="186" w:name="_Toc8755"/>
      <w:bookmarkStart w:id="187" w:name="_Toc31267"/>
      <w:bookmarkStart w:id="188" w:name="_Toc16465"/>
      <w:bookmarkStart w:id="189" w:name="_Toc217"/>
      <w:bookmarkStart w:id="190" w:name="_Toc24576"/>
      <w:bookmarkStart w:id="191" w:name="_Toc23253"/>
      <w:bookmarkStart w:id="192" w:name="_Toc9697"/>
      <w:bookmarkStart w:id="193" w:name="_Toc3482"/>
      <w:bookmarkStart w:id="194" w:name="_Toc12988"/>
      <w:bookmarkStart w:id="195" w:name="_Toc25426"/>
      <w:bookmarkStart w:id="196" w:name="_Toc25151"/>
      <w:bookmarkStart w:id="197" w:name="_Toc31908"/>
      <w:bookmarkStart w:id="198" w:name="_Toc19947"/>
      <w:bookmarkStart w:id="199" w:name="_Toc22691"/>
      <w:bookmarkStart w:id="200" w:name="_Toc18839"/>
      <w:bookmarkStart w:id="201" w:name="_Toc14368"/>
      <w:bookmarkStart w:id="202" w:name="_Toc23447"/>
      <w:r>
        <w:rPr>
          <w:rFonts w:hint="eastAsia" w:ascii="黑体" w:hAnsi="黑体" w:eastAsia="黑体" w:cs="宋体"/>
          <w:color w:val="auto"/>
          <w:kern w:val="30"/>
          <w:sz w:val="32"/>
          <w:szCs w:val="32"/>
          <w:highlight w:val="none"/>
        </w:rPr>
        <w:t>三、</w:t>
      </w:r>
      <w:r>
        <w:rPr>
          <w:rFonts w:hint="eastAsia" w:ascii="黑体" w:hAnsi="黑体" w:eastAsia="黑体" w:cs="宋体"/>
          <w:color w:val="auto"/>
          <w:kern w:val="30"/>
          <w:sz w:val="32"/>
          <w:szCs w:val="32"/>
          <w:highlight w:val="none"/>
          <w:lang w:val="en-US" w:eastAsia="zh-CN"/>
        </w:rPr>
        <w:t>政策评估</w:t>
      </w:r>
      <w:r>
        <w:rPr>
          <w:rFonts w:hint="eastAsia" w:ascii="黑体" w:hAnsi="黑体" w:eastAsia="黑体" w:cs="宋体"/>
          <w:color w:val="auto"/>
          <w:kern w:val="30"/>
          <w:sz w:val="32"/>
          <w:szCs w:val="32"/>
          <w:highlight w:val="none"/>
        </w:rPr>
        <w:t>结论</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14:paraId="564EBA6A">
      <w:pPr>
        <w:spacing w:line="590" w:lineRule="exact"/>
        <w:ind w:firstLine="630" w:firstLineChars="200"/>
        <w:outlineLvl w:val="1"/>
        <w:rPr>
          <w:rFonts w:hint="eastAsia" w:ascii="楷体_GB2312" w:hAnsi="楷体_GB2312" w:eastAsia="楷体_GB2312" w:cs="楷体_GB2312"/>
          <w:color w:val="auto"/>
          <w:kern w:val="30"/>
          <w:sz w:val="30"/>
          <w:szCs w:val="30"/>
          <w:highlight w:val="none"/>
        </w:rPr>
      </w:pPr>
      <w:bookmarkStart w:id="203" w:name="_Toc18277"/>
      <w:bookmarkStart w:id="204" w:name="_Toc7655"/>
      <w:bookmarkStart w:id="205" w:name="_Toc9501"/>
      <w:bookmarkStart w:id="206" w:name="_Toc10167"/>
      <w:bookmarkStart w:id="207" w:name="_Toc7514"/>
      <w:bookmarkStart w:id="208" w:name="_Toc32694"/>
      <w:bookmarkStart w:id="209" w:name="_Toc29688"/>
      <w:bookmarkStart w:id="210" w:name="_Toc1512"/>
      <w:bookmarkStart w:id="211" w:name="_Toc8973"/>
      <w:bookmarkStart w:id="212" w:name="_Toc25027"/>
      <w:bookmarkStart w:id="213" w:name="_Toc28725"/>
      <w:bookmarkStart w:id="214" w:name="_Toc11069"/>
      <w:bookmarkStart w:id="215" w:name="_Toc8522"/>
      <w:bookmarkStart w:id="216" w:name="_Toc25464"/>
      <w:bookmarkStart w:id="217" w:name="_Toc7991"/>
      <w:bookmarkStart w:id="218" w:name="_Toc15511"/>
      <w:bookmarkStart w:id="219" w:name="_Toc14010"/>
      <w:bookmarkStart w:id="220" w:name="_Toc10867"/>
      <w:bookmarkStart w:id="221" w:name="_Toc28475"/>
      <w:bookmarkStart w:id="222" w:name="_Toc22464"/>
      <w:bookmarkStart w:id="223" w:name="_Toc6065"/>
      <w:bookmarkStart w:id="224" w:name="_Toc30966"/>
      <w:r>
        <w:rPr>
          <w:rFonts w:hint="eastAsia" w:ascii="楷体_GB2312" w:hAnsi="楷体_GB2312" w:eastAsia="楷体_GB2312" w:cs="楷体_GB2312"/>
          <w:color w:val="auto"/>
          <w:kern w:val="30"/>
          <w:sz w:val="30"/>
          <w:szCs w:val="30"/>
          <w:highlight w:val="none"/>
        </w:rPr>
        <w:t>（一）</w:t>
      </w:r>
      <w:r>
        <w:rPr>
          <w:rFonts w:hint="eastAsia" w:ascii="楷体_GB2312" w:hAnsi="楷体_GB2312" w:eastAsia="楷体_GB2312" w:cs="楷体_GB2312"/>
          <w:color w:val="auto"/>
          <w:kern w:val="30"/>
          <w:sz w:val="30"/>
          <w:szCs w:val="30"/>
          <w:highlight w:val="none"/>
          <w:lang w:val="en-US" w:eastAsia="zh-CN"/>
        </w:rPr>
        <w:t>政策评估</w:t>
      </w:r>
      <w:r>
        <w:rPr>
          <w:rFonts w:hint="eastAsia" w:ascii="楷体_GB2312" w:hAnsi="楷体_GB2312" w:eastAsia="楷体_GB2312" w:cs="楷体_GB2312"/>
          <w:color w:val="auto"/>
          <w:kern w:val="30"/>
          <w:sz w:val="30"/>
          <w:szCs w:val="30"/>
          <w:highlight w:val="none"/>
        </w:rPr>
        <w:t>综合结论</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14:paraId="5BA07869">
      <w:pPr>
        <w:spacing w:line="590" w:lineRule="exact"/>
        <w:ind w:firstLine="654" w:firstLineChars="200"/>
        <w:rPr>
          <w:rFonts w:hint="eastAsia" w:ascii="仿宋" w:hAnsi="仿宋" w:eastAsia="仿宋_GB2312"/>
          <w:color w:val="auto"/>
          <w:kern w:val="30"/>
          <w:sz w:val="30"/>
          <w:szCs w:val="30"/>
          <w:highlight w:val="none"/>
          <w:lang w:val="en-US" w:eastAsia="zh-CN"/>
        </w:rPr>
      </w:pPr>
      <w:bookmarkStart w:id="225" w:name="_Hlk525314439"/>
      <w:r>
        <w:rPr>
          <w:rFonts w:hint="eastAsia" w:ascii="仿宋_GB2312" w:hAnsi="仿宋_GB2312" w:eastAsia="仿宋_GB2312" w:cs="仿宋_GB2312"/>
          <w:color w:val="auto"/>
          <w:spacing w:val="6"/>
          <w:kern w:val="30"/>
          <w:sz w:val="30"/>
          <w:szCs w:val="30"/>
          <w:highlight w:val="none"/>
          <w:lang w:val="en-US" w:eastAsia="zh-Hans" w:bidi="ar"/>
        </w:rPr>
        <w:t>新疆维吾尔自治区民政厅民办养老服务机构资助办法政策评估</w:t>
      </w:r>
      <w:r>
        <w:rPr>
          <w:rFonts w:hint="default" w:ascii="仿宋_GB2312" w:hAnsi="仿宋_GB2312" w:eastAsia="仿宋_GB2312" w:cs="仿宋_GB2312"/>
          <w:color w:val="auto"/>
          <w:spacing w:val="6"/>
          <w:kern w:val="30"/>
          <w:sz w:val="30"/>
          <w:szCs w:val="30"/>
          <w:highlight w:val="none"/>
          <w:lang w:eastAsia="zh-Hans" w:bidi="ar"/>
        </w:rPr>
        <w:t>得分</w:t>
      </w:r>
      <w:r>
        <w:rPr>
          <w:rFonts w:hint="eastAsia" w:ascii="仿宋_GB2312" w:hAnsi="仿宋_GB2312" w:eastAsia="仿宋_GB2312" w:cs="仿宋_GB2312"/>
          <w:color w:val="auto"/>
          <w:spacing w:val="6"/>
          <w:kern w:val="30"/>
          <w:sz w:val="30"/>
          <w:szCs w:val="30"/>
          <w:highlight w:val="none"/>
          <w:lang w:val="en-US" w:eastAsia="zh-CN" w:bidi="ar"/>
        </w:rPr>
        <w:t>67.75</w:t>
      </w:r>
      <w:r>
        <w:rPr>
          <w:rFonts w:hint="default" w:ascii="仿宋_GB2312" w:hAnsi="仿宋_GB2312" w:eastAsia="仿宋_GB2312" w:cs="仿宋_GB2312"/>
          <w:color w:val="auto"/>
          <w:spacing w:val="6"/>
          <w:kern w:val="30"/>
          <w:sz w:val="30"/>
          <w:szCs w:val="30"/>
          <w:highlight w:val="none"/>
          <w:lang w:eastAsia="zh-Hans" w:bidi="ar"/>
        </w:rPr>
        <w:t>分，评</w:t>
      </w:r>
      <w:r>
        <w:rPr>
          <w:rFonts w:hint="eastAsia" w:ascii="仿宋_GB2312" w:hAnsi="仿宋_GB2312" w:eastAsia="仿宋_GB2312" w:cs="仿宋_GB2312"/>
          <w:color w:val="auto"/>
          <w:spacing w:val="6"/>
          <w:kern w:val="30"/>
          <w:sz w:val="30"/>
          <w:szCs w:val="30"/>
          <w:highlight w:val="none"/>
          <w:lang w:val="en-US" w:eastAsia="zh-CN" w:bidi="ar"/>
        </w:rPr>
        <w:t>估</w:t>
      </w:r>
      <w:r>
        <w:rPr>
          <w:rFonts w:hint="default" w:ascii="仿宋_GB2312" w:hAnsi="仿宋_GB2312" w:eastAsia="仿宋_GB2312" w:cs="仿宋_GB2312"/>
          <w:color w:val="auto"/>
          <w:spacing w:val="6"/>
          <w:kern w:val="30"/>
          <w:sz w:val="30"/>
          <w:szCs w:val="30"/>
          <w:highlight w:val="none"/>
          <w:lang w:eastAsia="zh-Hans" w:bidi="ar"/>
        </w:rPr>
        <w:t>等级为“</w:t>
      </w:r>
      <w:r>
        <w:rPr>
          <w:rFonts w:hint="eastAsia" w:ascii="仿宋_GB2312" w:hAnsi="仿宋_GB2312" w:eastAsia="仿宋_GB2312" w:cs="仿宋_GB2312"/>
          <w:color w:val="auto"/>
          <w:spacing w:val="6"/>
          <w:kern w:val="30"/>
          <w:sz w:val="30"/>
          <w:szCs w:val="30"/>
          <w:highlight w:val="none"/>
          <w:lang w:val="en-US" w:eastAsia="zh-CN" w:bidi="ar"/>
        </w:rPr>
        <w:t>中</w:t>
      </w:r>
      <w:r>
        <w:rPr>
          <w:rFonts w:hint="default" w:ascii="仿宋_GB2312" w:hAnsi="仿宋_GB2312" w:eastAsia="仿宋_GB2312" w:cs="仿宋_GB2312"/>
          <w:color w:val="auto"/>
          <w:spacing w:val="6"/>
          <w:kern w:val="30"/>
          <w:sz w:val="30"/>
          <w:szCs w:val="30"/>
          <w:highlight w:val="none"/>
          <w:lang w:eastAsia="zh-Hans" w:bidi="ar"/>
        </w:rPr>
        <w:t>”。一级指标具体得分情况详见下表</w:t>
      </w:r>
      <w:r>
        <w:rPr>
          <w:rFonts w:hint="eastAsia" w:ascii="仿宋_GB2312" w:hAnsi="仿宋_GB2312" w:eastAsia="仿宋_GB2312" w:cs="仿宋_GB2312"/>
          <w:color w:val="auto"/>
          <w:spacing w:val="6"/>
          <w:kern w:val="30"/>
          <w:sz w:val="30"/>
          <w:szCs w:val="30"/>
          <w:highlight w:val="none"/>
          <w:lang w:eastAsia="zh-Hans" w:bidi="ar"/>
        </w:rPr>
        <w:t>。</w:t>
      </w:r>
    </w:p>
    <w:p w14:paraId="50381332">
      <w:pPr>
        <w:adjustRightInd w:val="0"/>
        <w:snapToGrid w:val="0"/>
        <w:spacing w:line="240" w:lineRule="auto"/>
        <w:ind w:firstLine="0" w:firstLineChars="0"/>
        <w:jc w:val="center"/>
        <w:rPr>
          <w:rFonts w:hint="eastAsia" w:ascii="黑体" w:hAnsi="黑体" w:eastAsia="黑体" w:cs="黑体"/>
          <w:bCs w:val="0"/>
          <w:color w:val="auto"/>
          <w:spacing w:val="6"/>
          <w:kern w:val="30"/>
          <w:sz w:val="24"/>
          <w:szCs w:val="21"/>
          <w:highlight w:val="none"/>
          <w:lang w:bidi="ar"/>
        </w:rPr>
      </w:pPr>
    </w:p>
    <w:p w14:paraId="00CEA2D4">
      <w:pPr>
        <w:adjustRightInd w:val="0"/>
        <w:snapToGrid w:val="0"/>
        <w:spacing w:line="240" w:lineRule="auto"/>
        <w:ind w:firstLine="0" w:firstLineChars="0"/>
        <w:jc w:val="center"/>
        <w:rPr>
          <w:rFonts w:hint="eastAsia" w:ascii="黑体" w:hAnsi="黑体" w:eastAsia="黑体" w:cs="黑体"/>
          <w:bCs w:val="0"/>
          <w:color w:val="auto"/>
          <w:spacing w:val="6"/>
          <w:kern w:val="30"/>
          <w:sz w:val="24"/>
          <w:szCs w:val="21"/>
          <w:highlight w:val="none"/>
          <w:lang w:bidi="ar"/>
        </w:rPr>
      </w:pPr>
      <w:r>
        <w:rPr>
          <w:rFonts w:hint="eastAsia" w:ascii="黑体" w:hAnsi="黑体" w:eastAsia="黑体" w:cs="黑体"/>
          <w:bCs w:val="0"/>
          <w:color w:val="auto"/>
          <w:spacing w:val="6"/>
          <w:kern w:val="30"/>
          <w:sz w:val="24"/>
          <w:szCs w:val="21"/>
          <w:highlight w:val="none"/>
          <w:lang w:val="en-US" w:eastAsia="zh-CN" w:bidi="ar"/>
        </w:rPr>
        <w:t>政策评估</w:t>
      </w:r>
      <w:r>
        <w:rPr>
          <w:rFonts w:hint="eastAsia" w:ascii="黑体" w:hAnsi="黑体" w:eastAsia="黑体" w:cs="黑体"/>
          <w:bCs w:val="0"/>
          <w:color w:val="auto"/>
          <w:spacing w:val="6"/>
          <w:kern w:val="30"/>
          <w:sz w:val="24"/>
          <w:szCs w:val="21"/>
          <w:highlight w:val="none"/>
          <w:lang w:bidi="ar"/>
        </w:rPr>
        <w:t>得分情况表</w:t>
      </w:r>
    </w:p>
    <w:tbl>
      <w:tblPr>
        <w:tblStyle w:val="18"/>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2212"/>
        <w:gridCol w:w="2211"/>
        <w:gridCol w:w="2211"/>
        <w:gridCol w:w="2211"/>
      </w:tblGrid>
      <w:tr w14:paraId="50E50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blHeader/>
          <w:jc w:val="center"/>
        </w:trPr>
        <w:tc>
          <w:tcPr>
            <w:tcW w:w="2212" w:type="dxa"/>
            <w:tcBorders>
              <w:top w:val="single" w:color="auto" w:sz="4" w:space="0"/>
            </w:tcBorders>
            <w:noWrap w:val="0"/>
            <w:vAlign w:val="center"/>
          </w:tcPr>
          <w:p w14:paraId="09A2D2B5">
            <w:pPr>
              <w:snapToGrid w:val="0"/>
              <w:jc w:val="center"/>
              <w:rPr>
                <w:rFonts w:ascii="仿宋" w:hAnsi="仿宋" w:eastAsia="仿宋" w:cs="宋体"/>
                <w:b/>
                <w:bCs/>
                <w:color w:val="auto"/>
                <w:spacing w:val="6"/>
                <w:kern w:val="30"/>
                <w:sz w:val="21"/>
                <w:szCs w:val="21"/>
                <w:highlight w:val="none"/>
              </w:rPr>
            </w:pPr>
            <w:r>
              <w:rPr>
                <w:rFonts w:hint="eastAsia" w:ascii="仿宋" w:hAnsi="仿宋" w:eastAsia="仿宋" w:cs="宋体"/>
                <w:b/>
                <w:bCs/>
                <w:color w:val="auto"/>
                <w:spacing w:val="6"/>
                <w:kern w:val="30"/>
                <w:sz w:val="21"/>
                <w:szCs w:val="21"/>
                <w:highlight w:val="none"/>
              </w:rPr>
              <w:t>一级指标</w:t>
            </w:r>
          </w:p>
        </w:tc>
        <w:tc>
          <w:tcPr>
            <w:tcW w:w="2211" w:type="dxa"/>
            <w:tcBorders>
              <w:top w:val="single" w:color="auto" w:sz="4" w:space="0"/>
            </w:tcBorders>
            <w:noWrap w:val="0"/>
            <w:vAlign w:val="center"/>
          </w:tcPr>
          <w:p w14:paraId="47C2957A">
            <w:pPr>
              <w:snapToGrid w:val="0"/>
              <w:jc w:val="center"/>
              <w:rPr>
                <w:rFonts w:ascii="仿宋" w:hAnsi="仿宋" w:eastAsia="仿宋" w:cs="宋体"/>
                <w:b/>
                <w:bCs/>
                <w:color w:val="auto"/>
                <w:spacing w:val="6"/>
                <w:kern w:val="30"/>
                <w:sz w:val="21"/>
                <w:szCs w:val="21"/>
                <w:highlight w:val="none"/>
              </w:rPr>
            </w:pPr>
            <w:r>
              <w:rPr>
                <w:rFonts w:hint="eastAsia" w:ascii="仿宋" w:hAnsi="仿宋" w:eastAsia="仿宋" w:cs="宋体"/>
                <w:b/>
                <w:bCs/>
                <w:color w:val="auto"/>
                <w:spacing w:val="6"/>
                <w:kern w:val="30"/>
                <w:sz w:val="21"/>
                <w:szCs w:val="21"/>
                <w:highlight w:val="none"/>
              </w:rPr>
              <w:t>指标分值</w:t>
            </w:r>
          </w:p>
        </w:tc>
        <w:tc>
          <w:tcPr>
            <w:tcW w:w="2211" w:type="dxa"/>
            <w:tcBorders>
              <w:top w:val="single" w:color="auto" w:sz="4" w:space="0"/>
            </w:tcBorders>
            <w:noWrap w:val="0"/>
            <w:vAlign w:val="center"/>
          </w:tcPr>
          <w:p w14:paraId="42456D89">
            <w:pPr>
              <w:snapToGrid w:val="0"/>
              <w:jc w:val="center"/>
              <w:rPr>
                <w:rFonts w:ascii="仿宋" w:hAnsi="仿宋" w:eastAsia="仿宋" w:cs="宋体"/>
                <w:b/>
                <w:bCs/>
                <w:color w:val="auto"/>
                <w:spacing w:val="6"/>
                <w:kern w:val="30"/>
                <w:sz w:val="21"/>
                <w:szCs w:val="21"/>
                <w:highlight w:val="none"/>
              </w:rPr>
            </w:pPr>
            <w:r>
              <w:rPr>
                <w:rFonts w:hint="eastAsia" w:ascii="仿宋" w:hAnsi="仿宋" w:eastAsia="仿宋" w:cs="宋体"/>
                <w:b/>
                <w:bCs/>
                <w:color w:val="auto"/>
                <w:spacing w:val="6"/>
                <w:kern w:val="30"/>
                <w:sz w:val="21"/>
                <w:szCs w:val="21"/>
                <w:highlight w:val="none"/>
              </w:rPr>
              <w:t>评</w:t>
            </w:r>
            <w:r>
              <w:rPr>
                <w:rFonts w:hint="eastAsia" w:hAnsi="仿宋" w:cs="宋体"/>
                <w:b/>
                <w:bCs/>
                <w:color w:val="auto"/>
                <w:spacing w:val="6"/>
                <w:kern w:val="30"/>
                <w:sz w:val="21"/>
                <w:szCs w:val="21"/>
                <w:highlight w:val="none"/>
                <w:lang w:val="en-US" w:eastAsia="zh-CN"/>
              </w:rPr>
              <w:t>估</w:t>
            </w:r>
            <w:r>
              <w:rPr>
                <w:rFonts w:hint="eastAsia" w:ascii="仿宋" w:hAnsi="仿宋" w:eastAsia="仿宋" w:cs="宋体"/>
                <w:b/>
                <w:bCs/>
                <w:color w:val="auto"/>
                <w:spacing w:val="6"/>
                <w:kern w:val="30"/>
                <w:sz w:val="21"/>
                <w:szCs w:val="21"/>
                <w:highlight w:val="none"/>
              </w:rPr>
              <w:t>得分</w:t>
            </w:r>
          </w:p>
        </w:tc>
        <w:tc>
          <w:tcPr>
            <w:tcW w:w="2211" w:type="dxa"/>
            <w:tcBorders>
              <w:top w:val="single" w:color="auto" w:sz="4" w:space="0"/>
            </w:tcBorders>
            <w:noWrap w:val="0"/>
            <w:vAlign w:val="center"/>
          </w:tcPr>
          <w:p w14:paraId="2CA36DC6">
            <w:pPr>
              <w:snapToGrid w:val="0"/>
              <w:jc w:val="center"/>
              <w:rPr>
                <w:rFonts w:ascii="仿宋" w:hAnsi="仿宋" w:eastAsia="仿宋" w:cs="宋体"/>
                <w:b/>
                <w:bCs/>
                <w:color w:val="auto"/>
                <w:spacing w:val="6"/>
                <w:kern w:val="30"/>
                <w:sz w:val="21"/>
                <w:szCs w:val="21"/>
                <w:highlight w:val="none"/>
              </w:rPr>
            </w:pPr>
            <w:r>
              <w:rPr>
                <w:rFonts w:hint="eastAsia" w:ascii="仿宋" w:hAnsi="仿宋" w:eastAsia="仿宋" w:cs="宋体"/>
                <w:b/>
                <w:bCs/>
                <w:color w:val="auto"/>
                <w:spacing w:val="6"/>
                <w:kern w:val="30"/>
                <w:sz w:val="21"/>
                <w:szCs w:val="21"/>
                <w:highlight w:val="none"/>
              </w:rPr>
              <w:t>得分率</w:t>
            </w:r>
          </w:p>
        </w:tc>
      </w:tr>
      <w:tr w14:paraId="09B80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2212" w:type="dxa"/>
            <w:noWrap w:val="0"/>
            <w:vAlign w:val="center"/>
          </w:tcPr>
          <w:p w14:paraId="50D6EE61">
            <w:pPr>
              <w:snapToGrid w:val="0"/>
              <w:jc w:val="left"/>
              <w:rPr>
                <w:rFonts w:hint="eastAsia" w:ascii="仿宋" w:hAnsi="仿宋" w:eastAsia="仿宋" w:cs="宋体"/>
                <w:bCs/>
                <w:color w:val="auto"/>
                <w:spacing w:val="6"/>
                <w:kern w:val="30"/>
                <w:sz w:val="21"/>
                <w:szCs w:val="21"/>
                <w:highlight w:val="none"/>
              </w:rPr>
            </w:pPr>
            <w:r>
              <w:rPr>
                <w:rFonts w:hint="eastAsia" w:ascii="仿宋" w:hAnsi="仿宋" w:eastAsia="仿宋" w:cs="宋体"/>
                <w:bCs/>
                <w:color w:val="auto"/>
                <w:spacing w:val="6"/>
                <w:kern w:val="30"/>
                <w:sz w:val="21"/>
                <w:szCs w:val="21"/>
                <w:highlight w:val="none"/>
              </w:rPr>
              <w:t>执行期目标实现与资金管理</w:t>
            </w:r>
          </w:p>
        </w:tc>
        <w:tc>
          <w:tcPr>
            <w:tcW w:w="2211" w:type="dxa"/>
            <w:noWrap w:val="0"/>
            <w:vAlign w:val="center"/>
          </w:tcPr>
          <w:p w14:paraId="31C01F72">
            <w:pPr>
              <w:snapToGrid w:val="0"/>
              <w:jc w:val="center"/>
              <w:rPr>
                <w:rFonts w:hint="default" w:ascii="仿宋" w:hAnsi="仿宋" w:eastAsia="仿宋" w:cs="宋体"/>
                <w:bCs/>
                <w:color w:val="auto"/>
                <w:spacing w:val="6"/>
                <w:kern w:val="30"/>
                <w:sz w:val="21"/>
                <w:szCs w:val="21"/>
                <w:highlight w:val="none"/>
                <w:lang w:val="en-US" w:eastAsia="zh-CN"/>
              </w:rPr>
            </w:pPr>
            <w:r>
              <w:rPr>
                <w:rFonts w:hint="eastAsia" w:hAnsi="仿宋" w:cs="宋体"/>
                <w:bCs/>
                <w:color w:val="auto"/>
                <w:spacing w:val="6"/>
                <w:kern w:val="30"/>
                <w:sz w:val="21"/>
                <w:szCs w:val="21"/>
                <w:highlight w:val="none"/>
                <w:lang w:val="en-US" w:eastAsia="zh-CN"/>
              </w:rPr>
              <w:t>70</w:t>
            </w:r>
          </w:p>
        </w:tc>
        <w:tc>
          <w:tcPr>
            <w:tcW w:w="2211" w:type="dxa"/>
            <w:noWrap w:val="0"/>
            <w:vAlign w:val="center"/>
          </w:tcPr>
          <w:p w14:paraId="5B64E410">
            <w:pPr>
              <w:snapToGrid w:val="0"/>
              <w:jc w:val="center"/>
              <w:rPr>
                <w:rFonts w:hint="default" w:ascii="仿宋" w:hAnsi="仿宋" w:eastAsia="仿宋" w:cs="宋体"/>
                <w:bCs/>
                <w:color w:val="auto"/>
                <w:spacing w:val="6"/>
                <w:kern w:val="30"/>
                <w:sz w:val="21"/>
                <w:szCs w:val="21"/>
                <w:highlight w:val="none"/>
                <w:lang w:val="en-US" w:eastAsia="zh-CN"/>
              </w:rPr>
            </w:pPr>
            <w:r>
              <w:rPr>
                <w:rFonts w:hint="eastAsia" w:hAnsi="仿宋" w:cs="宋体"/>
                <w:bCs/>
                <w:color w:val="auto"/>
                <w:spacing w:val="6"/>
                <w:kern w:val="30"/>
                <w:sz w:val="21"/>
                <w:szCs w:val="21"/>
                <w:highlight w:val="none"/>
                <w:lang w:val="en-US" w:eastAsia="zh-CN"/>
              </w:rPr>
              <w:t>53.29</w:t>
            </w:r>
          </w:p>
        </w:tc>
        <w:tc>
          <w:tcPr>
            <w:tcW w:w="2211" w:type="dxa"/>
            <w:noWrap w:val="0"/>
            <w:vAlign w:val="center"/>
          </w:tcPr>
          <w:p w14:paraId="201FA523">
            <w:pPr>
              <w:snapToGrid w:val="0"/>
              <w:jc w:val="center"/>
              <w:rPr>
                <w:rFonts w:ascii="仿宋" w:hAnsi="仿宋" w:eastAsia="仿宋" w:cs="宋体"/>
                <w:bCs/>
                <w:color w:val="auto"/>
                <w:spacing w:val="6"/>
                <w:kern w:val="30"/>
                <w:sz w:val="21"/>
                <w:szCs w:val="21"/>
                <w:highlight w:val="none"/>
              </w:rPr>
            </w:pPr>
            <w:r>
              <w:rPr>
                <w:rFonts w:hint="eastAsia" w:hAnsi="仿宋" w:cs="宋体"/>
                <w:bCs/>
                <w:color w:val="auto"/>
                <w:spacing w:val="6"/>
                <w:kern w:val="30"/>
                <w:sz w:val="21"/>
                <w:szCs w:val="21"/>
                <w:highlight w:val="none"/>
                <w:lang w:val="en-US" w:eastAsia="zh-CN"/>
              </w:rPr>
              <w:t>76.13</w:t>
            </w:r>
            <w:r>
              <w:rPr>
                <w:rFonts w:hint="eastAsia" w:hAnsi="仿宋" w:cs="宋体"/>
                <w:bCs/>
                <w:color w:val="auto"/>
                <w:spacing w:val="6"/>
                <w:kern w:val="30"/>
                <w:sz w:val="21"/>
                <w:szCs w:val="21"/>
                <w:highlight w:val="none"/>
              </w:rPr>
              <w:t>%</w:t>
            </w:r>
          </w:p>
        </w:tc>
      </w:tr>
      <w:tr w14:paraId="6CEA8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2212" w:type="dxa"/>
            <w:noWrap w:val="0"/>
            <w:vAlign w:val="center"/>
          </w:tcPr>
          <w:p w14:paraId="2E8D4D93">
            <w:pPr>
              <w:snapToGrid w:val="0"/>
              <w:jc w:val="left"/>
              <w:rPr>
                <w:rFonts w:ascii="仿宋" w:hAnsi="仿宋" w:eastAsia="仿宋" w:cs="宋体"/>
                <w:bCs/>
                <w:color w:val="auto"/>
                <w:spacing w:val="6"/>
                <w:kern w:val="30"/>
                <w:sz w:val="21"/>
                <w:szCs w:val="21"/>
                <w:highlight w:val="none"/>
              </w:rPr>
            </w:pPr>
            <w:r>
              <w:rPr>
                <w:rFonts w:hint="eastAsia" w:ascii="仿宋" w:hAnsi="仿宋" w:eastAsia="仿宋" w:cs="宋体"/>
                <w:bCs/>
                <w:color w:val="auto"/>
                <w:spacing w:val="6"/>
                <w:kern w:val="30"/>
                <w:sz w:val="21"/>
                <w:szCs w:val="21"/>
                <w:highlight w:val="none"/>
              </w:rPr>
              <w:t>政策调整方向与存续价值</w:t>
            </w:r>
          </w:p>
        </w:tc>
        <w:tc>
          <w:tcPr>
            <w:tcW w:w="2211" w:type="dxa"/>
            <w:noWrap w:val="0"/>
            <w:vAlign w:val="center"/>
          </w:tcPr>
          <w:p w14:paraId="77C3F7DD">
            <w:pPr>
              <w:snapToGrid w:val="0"/>
              <w:jc w:val="center"/>
              <w:rPr>
                <w:rFonts w:hint="default" w:ascii="仿宋" w:hAnsi="仿宋" w:eastAsia="仿宋" w:cs="宋体"/>
                <w:bCs/>
                <w:color w:val="auto"/>
                <w:spacing w:val="6"/>
                <w:kern w:val="30"/>
                <w:sz w:val="21"/>
                <w:szCs w:val="21"/>
                <w:highlight w:val="none"/>
                <w:lang w:val="en-US" w:eastAsia="zh-CN"/>
              </w:rPr>
            </w:pPr>
            <w:r>
              <w:rPr>
                <w:rFonts w:hint="eastAsia" w:hAnsi="仿宋" w:cs="宋体"/>
                <w:bCs/>
                <w:color w:val="auto"/>
                <w:spacing w:val="6"/>
                <w:kern w:val="30"/>
                <w:sz w:val="21"/>
                <w:szCs w:val="21"/>
                <w:highlight w:val="none"/>
                <w:lang w:val="en-US" w:eastAsia="zh-CN"/>
              </w:rPr>
              <w:t>30</w:t>
            </w:r>
          </w:p>
        </w:tc>
        <w:tc>
          <w:tcPr>
            <w:tcW w:w="2211" w:type="dxa"/>
            <w:noWrap w:val="0"/>
            <w:vAlign w:val="center"/>
          </w:tcPr>
          <w:p w14:paraId="0D048A14">
            <w:pPr>
              <w:snapToGrid w:val="0"/>
              <w:jc w:val="center"/>
              <w:rPr>
                <w:rFonts w:hint="default" w:ascii="仿宋" w:hAnsi="仿宋" w:eastAsia="仿宋" w:cs="宋体"/>
                <w:bCs/>
                <w:color w:val="auto"/>
                <w:spacing w:val="6"/>
                <w:kern w:val="30"/>
                <w:sz w:val="21"/>
                <w:szCs w:val="21"/>
                <w:highlight w:val="none"/>
                <w:lang w:val="en-US" w:eastAsia="zh-CN"/>
              </w:rPr>
            </w:pPr>
            <w:r>
              <w:rPr>
                <w:rFonts w:hint="eastAsia" w:hAnsi="仿宋" w:cs="宋体"/>
                <w:bCs/>
                <w:color w:val="auto"/>
                <w:spacing w:val="6"/>
                <w:kern w:val="30"/>
                <w:sz w:val="21"/>
                <w:szCs w:val="21"/>
                <w:highlight w:val="none"/>
                <w:lang w:val="en-US" w:eastAsia="zh-CN"/>
              </w:rPr>
              <w:t>14.46</w:t>
            </w:r>
          </w:p>
        </w:tc>
        <w:tc>
          <w:tcPr>
            <w:tcW w:w="2211" w:type="dxa"/>
            <w:noWrap w:val="0"/>
            <w:vAlign w:val="center"/>
          </w:tcPr>
          <w:p w14:paraId="320921E1">
            <w:pPr>
              <w:snapToGrid w:val="0"/>
              <w:jc w:val="center"/>
              <w:rPr>
                <w:rFonts w:ascii="仿宋" w:hAnsi="仿宋" w:eastAsia="仿宋" w:cs="宋体"/>
                <w:bCs/>
                <w:color w:val="auto"/>
                <w:spacing w:val="6"/>
                <w:kern w:val="30"/>
                <w:sz w:val="21"/>
                <w:szCs w:val="21"/>
                <w:highlight w:val="none"/>
              </w:rPr>
            </w:pPr>
            <w:r>
              <w:rPr>
                <w:rFonts w:hint="eastAsia" w:hAnsi="仿宋" w:cs="宋体"/>
                <w:bCs/>
                <w:color w:val="auto"/>
                <w:spacing w:val="6"/>
                <w:sz w:val="21"/>
                <w:szCs w:val="21"/>
                <w:highlight w:val="none"/>
                <w:lang w:val="en-US" w:eastAsia="zh-CN"/>
              </w:rPr>
              <w:t>48.20</w:t>
            </w:r>
            <w:r>
              <w:rPr>
                <w:rFonts w:hint="eastAsia" w:ascii="仿宋" w:hAnsi="仿宋" w:eastAsia="仿宋" w:cs="宋体"/>
                <w:bCs/>
                <w:color w:val="auto"/>
                <w:spacing w:val="6"/>
                <w:sz w:val="21"/>
                <w:szCs w:val="21"/>
                <w:highlight w:val="none"/>
              </w:rPr>
              <w:t>%</w:t>
            </w:r>
          </w:p>
        </w:tc>
      </w:tr>
      <w:tr w14:paraId="2ABAC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2212" w:type="dxa"/>
            <w:noWrap w:val="0"/>
            <w:vAlign w:val="center"/>
          </w:tcPr>
          <w:p w14:paraId="5FAADB9A">
            <w:pPr>
              <w:snapToGrid w:val="0"/>
              <w:jc w:val="center"/>
              <w:rPr>
                <w:rFonts w:ascii="仿宋" w:hAnsi="仿宋" w:eastAsia="仿宋" w:cs="宋体"/>
                <w:b/>
                <w:bCs/>
                <w:color w:val="auto"/>
                <w:spacing w:val="6"/>
                <w:kern w:val="30"/>
                <w:sz w:val="21"/>
                <w:szCs w:val="21"/>
                <w:highlight w:val="none"/>
              </w:rPr>
            </w:pPr>
            <w:r>
              <w:rPr>
                <w:rFonts w:ascii="仿宋" w:hAnsi="仿宋" w:eastAsia="仿宋" w:cs="宋体"/>
                <w:b/>
                <w:bCs/>
                <w:color w:val="auto"/>
                <w:spacing w:val="6"/>
                <w:kern w:val="30"/>
                <w:sz w:val="21"/>
                <w:szCs w:val="21"/>
                <w:highlight w:val="none"/>
              </w:rPr>
              <w:t>合</w:t>
            </w:r>
            <w:r>
              <w:rPr>
                <w:rFonts w:hint="eastAsia" w:ascii="仿宋" w:hAnsi="仿宋" w:eastAsia="仿宋" w:cs="宋体"/>
                <w:b/>
                <w:bCs/>
                <w:color w:val="auto"/>
                <w:spacing w:val="6"/>
                <w:kern w:val="30"/>
                <w:sz w:val="21"/>
                <w:szCs w:val="21"/>
                <w:highlight w:val="none"/>
              </w:rPr>
              <w:t xml:space="preserve"> </w:t>
            </w:r>
            <w:r>
              <w:rPr>
                <w:rFonts w:ascii="仿宋" w:hAnsi="仿宋" w:eastAsia="仿宋" w:cs="宋体"/>
                <w:b/>
                <w:bCs/>
                <w:color w:val="auto"/>
                <w:spacing w:val="6"/>
                <w:kern w:val="30"/>
                <w:sz w:val="21"/>
                <w:szCs w:val="21"/>
                <w:highlight w:val="none"/>
              </w:rPr>
              <w:t>计</w:t>
            </w:r>
          </w:p>
        </w:tc>
        <w:tc>
          <w:tcPr>
            <w:tcW w:w="2211" w:type="dxa"/>
            <w:noWrap w:val="0"/>
            <w:vAlign w:val="center"/>
          </w:tcPr>
          <w:p w14:paraId="197F62A9">
            <w:pPr>
              <w:snapToGrid w:val="0"/>
              <w:jc w:val="center"/>
              <w:rPr>
                <w:rFonts w:ascii="仿宋" w:hAnsi="仿宋" w:eastAsia="仿宋" w:cs="宋体"/>
                <w:b/>
                <w:bCs/>
                <w:color w:val="auto"/>
                <w:spacing w:val="6"/>
                <w:kern w:val="30"/>
                <w:sz w:val="21"/>
                <w:szCs w:val="21"/>
                <w:highlight w:val="none"/>
              </w:rPr>
            </w:pPr>
            <w:r>
              <w:rPr>
                <w:rFonts w:hint="eastAsia" w:ascii="仿宋" w:hAnsi="仿宋" w:eastAsia="仿宋" w:cs="宋体"/>
                <w:b/>
                <w:bCs/>
                <w:color w:val="auto"/>
                <w:spacing w:val="6"/>
                <w:kern w:val="30"/>
                <w:sz w:val="21"/>
                <w:szCs w:val="21"/>
                <w:highlight w:val="none"/>
              </w:rPr>
              <w:t>1</w:t>
            </w:r>
            <w:r>
              <w:rPr>
                <w:rFonts w:ascii="仿宋" w:hAnsi="仿宋" w:eastAsia="仿宋" w:cs="宋体"/>
                <w:b/>
                <w:bCs/>
                <w:color w:val="auto"/>
                <w:spacing w:val="6"/>
                <w:kern w:val="30"/>
                <w:sz w:val="21"/>
                <w:szCs w:val="21"/>
                <w:highlight w:val="none"/>
              </w:rPr>
              <w:t>00</w:t>
            </w:r>
          </w:p>
        </w:tc>
        <w:tc>
          <w:tcPr>
            <w:tcW w:w="2211" w:type="dxa"/>
            <w:noWrap w:val="0"/>
            <w:vAlign w:val="center"/>
          </w:tcPr>
          <w:p w14:paraId="41641D12">
            <w:pPr>
              <w:snapToGrid w:val="0"/>
              <w:jc w:val="center"/>
              <w:rPr>
                <w:rFonts w:hint="default" w:ascii="仿宋" w:hAnsi="仿宋" w:eastAsia="仿宋" w:cs="宋体"/>
                <w:b/>
                <w:bCs/>
                <w:color w:val="auto"/>
                <w:spacing w:val="6"/>
                <w:kern w:val="30"/>
                <w:sz w:val="21"/>
                <w:szCs w:val="21"/>
                <w:highlight w:val="none"/>
                <w:lang w:val="en-US" w:eastAsia="zh-CN"/>
              </w:rPr>
            </w:pPr>
            <w:r>
              <w:rPr>
                <w:rFonts w:hint="eastAsia" w:hAnsi="仿宋" w:cs="宋体"/>
                <w:b/>
                <w:bCs/>
                <w:color w:val="auto"/>
                <w:spacing w:val="6"/>
                <w:kern w:val="30"/>
                <w:sz w:val="21"/>
                <w:szCs w:val="21"/>
                <w:highlight w:val="none"/>
                <w:lang w:val="en-US" w:eastAsia="zh-CN"/>
              </w:rPr>
              <w:t>67.75</w:t>
            </w:r>
          </w:p>
        </w:tc>
        <w:tc>
          <w:tcPr>
            <w:tcW w:w="2211" w:type="dxa"/>
            <w:noWrap w:val="0"/>
            <w:vAlign w:val="center"/>
          </w:tcPr>
          <w:p w14:paraId="1307AFE5">
            <w:pPr>
              <w:snapToGrid w:val="0"/>
              <w:jc w:val="center"/>
              <w:rPr>
                <w:rFonts w:hint="default" w:ascii="仿宋" w:hAnsi="仿宋" w:eastAsia="仿宋" w:cs="宋体"/>
                <w:b/>
                <w:bCs/>
                <w:color w:val="auto"/>
                <w:spacing w:val="6"/>
                <w:kern w:val="30"/>
                <w:sz w:val="21"/>
                <w:szCs w:val="21"/>
                <w:highlight w:val="none"/>
                <w:lang w:val="en-US" w:eastAsia="zh-CN"/>
              </w:rPr>
            </w:pPr>
            <w:r>
              <w:rPr>
                <w:rFonts w:hint="eastAsia" w:hAnsi="仿宋" w:cs="宋体"/>
                <w:b/>
                <w:bCs/>
                <w:color w:val="auto"/>
                <w:spacing w:val="6"/>
                <w:kern w:val="30"/>
                <w:sz w:val="21"/>
                <w:szCs w:val="21"/>
                <w:highlight w:val="none"/>
                <w:lang w:val="en-US" w:eastAsia="zh-CN"/>
              </w:rPr>
              <w:t>67.75%</w:t>
            </w:r>
          </w:p>
        </w:tc>
      </w:tr>
    </w:tbl>
    <w:p w14:paraId="2790785C">
      <w:pPr>
        <w:numPr>
          <w:ilvl w:val="-1"/>
          <w:numId w:val="0"/>
        </w:numPr>
        <w:overflowPunct/>
        <w:adjustRightInd/>
        <w:snapToGrid/>
        <w:spacing w:line="590" w:lineRule="exact"/>
        <w:ind w:firstLine="654" w:firstLineChars="200"/>
        <w:rPr>
          <w:rFonts w:hint="eastAsia" w:ascii="仿宋_GB2312" w:hAnsi="仿宋_GB2312" w:eastAsia="仿宋_GB2312" w:cs="仿宋_GB2312"/>
          <w:color w:val="auto"/>
          <w:spacing w:val="6"/>
          <w:kern w:val="30"/>
          <w:sz w:val="30"/>
          <w:szCs w:val="30"/>
          <w:highlight w:val="none"/>
          <w:lang w:eastAsia="zh-Hans" w:bidi="ar"/>
        </w:rPr>
      </w:pPr>
      <w:r>
        <w:rPr>
          <w:rFonts w:hint="eastAsia" w:ascii="仿宋_GB2312" w:hAnsi="仿宋_GB2312" w:eastAsia="仿宋_GB2312" w:cs="仿宋_GB2312"/>
          <w:color w:val="auto"/>
          <w:spacing w:val="6"/>
          <w:kern w:val="30"/>
          <w:sz w:val="30"/>
          <w:szCs w:val="30"/>
          <w:highlight w:val="none"/>
          <w:lang w:val="en-US" w:eastAsia="zh-Hans" w:bidi="ar"/>
        </w:rPr>
        <w:t>评</w:t>
      </w:r>
      <w:r>
        <w:rPr>
          <w:rFonts w:hint="eastAsia" w:ascii="仿宋_GB2312" w:hAnsi="仿宋_GB2312" w:eastAsia="仿宋_GB2312" w:cs="仿宋_GB2312"/>
          <w:color w:val="auto"/>
          <w:spacing w:val="6"/>
          <w:kern w:val="30"/>
          <w:sz w:val="30"/>
          <w:szCs w:val="30"/>
          <w:highlight w:val="none"/>
          <w:lang w:val="en-US" w:eastAsia="zh-CN" w:bidi="ar"/>
        </w:rPr>
        <w:t>估</w:t>
      </w:r>
      <w:r>
        <w:rPr>
          <w:rFonts w:hint="eastAsia" w:ascii="仿宋_GB2312" w:hAnsi="仿宋_GB2312" w:eastAsia="仿宋_GB2312" w:cs="仿宋_GB2312"/>
          <w:color w:val="auto"/>
          <w:spacing w:val="6"/>
          <w:kern w:val="30"/>
          <w:sz w:val="30"/>
          <w:szCs w:val="30"/>
          <w:highlight w:val="none"/>
          <w:lang w:val="en-US" w:eastAsia="zh-Hans" w:bidi="ar"/>
        </w:rPr>
        <w:t>认为，《自治区民办养老服务机构资助办法》（新民发〔2013〕83号）在实施期间对促进自治区民办养老服务机构发展起到了积极作用，政策核心目标得到一定程度的实现</w:t>
      </w:r>
      <w:r>
        <w:rPr>
          <w:rFonts w:hint="eastAsia" w:ascii="仿宋_GB2312" w:hAnsi="仿宋_GB2312" w:eastAsia="仿宋_GB2312" w:cs="仿宋_GB2312"/>
          <w:color w:val="auto"/>
          <w:spacing w:val="6"/>
          <w:kern w:val="30"/>
          <w:sz w:val="30"/>
          <w:szCs w:val="30"/>
          <w:highlight w:val="none"/>
          <w:lang w:val="en-US" w:eastAsia="zh-CN" w:bidi="ar"/>
        </w:rPr>
        <w:t>，</w:t>
      </w:r>
      <w:r>
        <w:rPr>
          <w:rFonts w:hint="eastAsia" w:ascii="仿宋_GB2312" w:hAnsi="仿宋_GB2312" w:eastAsia="仿宋_GB2312" w:cs="仿宋_GB2312"/>
          <w:color w:val="auto"/>
          <w:spacing w:val="6"/>
          <w:kern w:val="30"/>
          <w:szCs w:val="30"/>
          <w:highlight w:val="none"/>
          <w:lang w:val="en-US" w:eastAsia="zh-Hans" w:bidi="ar"/>
        </w:rPr>
        <w:t>全区民办</w:t>
      </w:r>
      <w:r>
        <w:rPr>
          <w:rFonts w:hint="eastAsia" w:ascii="仿宋_GB2312" w:hAnsi="仿宋_GB2312" w:eastAsia="仿宋_GB2312" w:cs="仿宋_GB2312"/>
          <w:color w:val="auto"/>
          <w:spacing w:val="6"/>
          <w:kern w:val="30"/>
          <w:szCs w:val="30"/>
          <w:highlight w:val="none"/>
          <w:lang w:val="en-US" w:eastAsia="zh-CN" w:bidi="ar"/>
        </w:rPr>
        <w:t>非营利</w:t>
      </w:r>
      <w:r>
        <w:rPr>
          <w:rFonts w:hint="eastAsia" w:ascii="仿宋_GB2312" w:hAnsi="仿宋_GB2312" w:eastAsia="仿宋_GB2312" w:cs="仿宋_GB2312"/>
          <w:color w:val="auto"/>
          <w:spacing w:val="6"/>
          <w:kern w:val="30"/>
          <w:szCs w:val="30"/>
          <w:highlight w:val="none"/>
          <w:lang w:val="en-US" w:eastAsia="zh-Hans" w:bidi="ar"/>
        </w:rPr>
        <w:t>养老机构</w:t>
      </w:r>
      <w:r>
        <w:rPr>
          <w:rFonts w:hint="eastAsia" w:ascii="仿宋_GB2312" w:hAnsi="仿宋_GB2312" w:eastAsia="仿宋_GB2312" w:cs="仿宋_GB2312"/>
          <w:color w:val="auto"/>
          <w:spacing w:val="6"/>
          <w:kern w:val="30"/>
          <w:szCs w:val="30"/>
          <w:highlight w:val="none"/>
          <w:lang w:val="en-US" w:eastAsia="zh-CN" w:bidi="ar"/>
        </w:rPr>
        <w:t>（含“公建民营”）机构数量从2021年的102家增长至2025年的115家，增长率12.75%。床位数从2021年的16,906张增长至2025年的17,189张，增长率1.67%，期间</w:t>
      </w:r>
      <w:r>
        <w:rPr>
          <w:rFonts w:hint="eastAsia" w:ascii="仿宋_GB2312" w:hAnsi="仿宋_GB2312" w:eastAsia="仿宋_GB2312" w:cs="仿宋_GB2312"/>
          <w:color w:val="auto"/>
          <w:spacing w:val="6"/>
          <w:kern w:val="30"/>
          <w:szCs w:val="30"/>
          <w:highlight w:val="none"/>
          <w:lang w:val="en-US" w:eastAsia="zh-Hans" w:bidi="ar"/>
        </w:rPr>
        <w:t>护理型床位占比已超过70%，从</w:t>
      </w:r>
      <w:r>
        <w:rPr>
          <w:rFonts w:hint="eastAsia" w:ascii="仿宋_GB2312" w:hAnsi="仿宋_GB2312" w:eastAsia="仿宋_GB2312" w:cs="仿宋_GB2312"/>
          <w:color w:val="auto"/>
          <w:spacing w:val="6"/>
          <w:kern w:val="30"/>
          <w:szCs w:val="30"/>
          <w:highlight w:val="none"/>
          <w:lang w:val="en-US" w:eastAsia="zh-CN" w:bidi="ar"/>
        </w:rPr>
        <w:t>2021年</w:t>
      </w:r>
      <w:r>
        <w:rPr>
          <w:rFonts w:hint="eastAsia" w:ascii="仿宋_GB2312" w:hAnsi="仿宋_GB2312" w:eastAsia="仿宋_GB2312" w:cs="仿宋_GB2312"/>
          <w:color w:val="auto"/>
          <w:spacing w:val="6"/>
          <w:kern w:val="30"/>
          <w:szCs w:val="30"/>
          <w:highlight w:val="none"/>
          <w:lang w:val="en-US" w:eastAsia="zh-Hans" w:bidi="ar"/>
        </w:rPr>
        <w:t>的</w:t>
      </w:r>
      <w:r>
        <w:rPr>
          <w:rFonts w:hint="eastAsia" w:ascii="仿宋_GB2312" w:hAnsi="仿宋_GB2312" w:eastAsia="仿宋_GB2312" w:cs="仿宋_GB2312"/>
          <w:color w:val="auto"/>
          <w:spacing w:val="6"/>
          <w:kern w:val="30"/>
          <w:szCs w:val="30"/>
          <w:highlight w:val="none"/>
          <w:lang w:val="en-US" w:eastAsia="zh-CN" w:bidi="ar"/>
        </w:rPr>
        <w:t>70.97</w:t>
      </w:r>
      <w:r>
        <w:rPr>
          <w:rFonts w:hint="eastAsia" w:ascii="仿宋_GB2312" w:hAnsi="仿宋_GB2312" w:eastAsia="仿宋_GB2312" w:cs="仿宋_GB2312"/>
          <w:color w:val="auto"/>
          <w:spacing w:val="6"/>
          <w:kern w:val="30"/>
          <w:szCs w:val="30"/>
          <w:highlight w:val="none"/>
          <w:lang w:val="en-US" w:eastAsia="zh-Hans" w:bidi="ar"/>
        </w:rPr>
        <w:t>%提升至</w:t>
      </w:r>
      <w:r>
        <w:rPr>
          <w:rFonts w:hint="eastAsia" w:ascii="仿宋_GB2312" w:hAnsi="仿宋_GB2312" w:eastAsia="仿宋_GB2312" w:cs="仿宋_GB2312"/>
          <w:color w:val="auto"/>
          <w:spacing w:val="6"/>
          <w:kern w:val="30"/>
          <w:szCs w:val="30"/>
          <w:highlight w:val="none"/>
          <w:lang w:val="en-US" w:eastAsia="zh-CN" w:bidi="ar"/>
        </w:rPr>
        <w:t>2025年的76.10</w:t>
      </w:r>
      <w:r>
        <w:rPr>
          <w:rFonts w:hint="eastAsia" w:ascii="仿宋_GB2312" w:hAnsi="仿宋_GB2312" w:eastAsia="仿宋_GB2312" w:cs="仿宋_GB2312"/>
          <w:color w:val="auto"/>
          <w:spacing w:val="6"/>
          <w:kern w:val="30"/>
          <w:szCs w:val="30"/>
          <w:highlight w:val="none"/>
          <w:lang w:val="en-US" w:eastAsia="zh-Hans" w:bidi="ar"/>
        </w:rPr>
        <w:t>%</w:t>
      </w:r>
      <w:r>
        <w:rPr>
          <w:rFonts w:hint="eastAsia" w:ascii="仿宋_GB2312" w:hAnsi="仿宋_GB2312" w:eastAsia="仿宋_GB2312" w:cs="仿宋_GB2312"/>
          <w:color w:val="auto"/>
          <w:spacing w:val="6"/>
          <w:kern w:val="30"/>
          <w:sz w:val="30"/>
          <w:szCs w:val="30"/>
          <w:highlight w:val="none"/>
          <w:lang w:val="en-US" w:eastAsia="zh-Hans" w:bidi="ar"/>
        </w:rPr>
        <w:t>。但由于政策出台时间较早，部分条款已无法适应现阶段养老服务行业的发展需求，执行层面也存在一些突出问题亟待解决</w:t>
      </w:r>
      <w:r>
        <w:rPr>
          <w:rFonts w:hint="eastAsia" w:ascii="仿宋_GB2312" w:hAnsi="仿宋_GB2312" w:eastAsia="仿宋_GB2312" w:cs="仿宋_GB2312"/>
          <w:color w:val="auto"/>
          <w:spacing w:val="6"/>
          <w:kern w:val="30"/>
          <w:sz w:val="30"/>
          <w:szCs w:val="30"/>
          <w:highlight w:val="none"/>
          <w:lang w:val="en-US" w:eastAsia="zh-CN" w:bidi="ar"/>
        </w:rPr>
        <w:t>，如自治区预拨资金未据实清算，资金使用管理存在漏洞，配套资金落实不到位，地方支出责任缺位，审核职责边界模糊，各级责任虚化，实地核查缺乏操作规范，核查工作流于形式，政策核心概念定义缺失，执行口径各行其是，运营补贴标准偏低，与失能等级脱钩，入住率门槛偏高，加剧低入住率机构经营困境等问题</w:t>
      </w:r>
      <w:r>
        <w:rPr>
          <w:rFonts w:hint="eastAsia" w:ascii="仿宋_GB2312" w:hAnsi="仿宋_GB2312" w:eastAsia="仿宋_GB2312" w:cs="仿宋_GB2312"/>
          <w:color w:val="auto"/>
          <w:spacing w:val="6"/>
          <w:kern w:val="30"/>
          <w:sz w:val="30"/>
          <w:szCs w:val="30"/>
          <w:highlight w:val="none"/>
          <w:lang w:val="en-US" w:eastAsia="zh-Hans" w:bidi="ar"/>
        </w:rPr>
        <w:t>。建议在总结评估经验的基础上，结合当前行业发展实际，对政策进行全面修订完善，使资助政策更好地发挥引导和激励作用，促进自治区养老服务事业健康可持续发展。</w:t>
      </w:r>
    </w:p>
    <w:bookmarkEnd w:id="225"/>
    <w:p w14:paraId="5C8314FA">
      <w:pPr>
        <w:spacing w:line="590" w:lineRule="exact"/>
        <w:ind w:firstLine="630" w:firstLineChars="200"/>
        <w:outlineLvl w:val="1"/>
        <w:rPr>
          <w:rFonts w:hint="eastAsia" w:ascii="楷体_GB2312" w:hAnsi="楷体_GB2312" w:eastAsia="楷体_GB2312" w:cs="楷体_GB2312"/>
          <w:color w:val="auto"/>
          <w:kern w:val="30"/>
          <w:sz w:val="30"/>
          <w:szCs w:val="30"/>
          <w:highlight w:val="none"/>
        </w:rPr>
      </w:pPr>
      <w:bookmarkStart w:id="226" w:name="_Toc26070"/>
      <w:bookmarkStart w:id="227" w:name="_Toc7508"/>
      <w:bookmarkStart w:id="228" w:name="_Toc9176"/>
      <w:bookmarkStart w:id="229" w:name="_Toc24290"/>
      <w:bookmarkStart w:id="230" w:name="_Toc13846"/>
      <w:bookmarkStart w:id="231" w:name="_Toc10767"/>
      <w:bookmarkStart w:id="232" w:name="_Toc5504"/>
      <w:bookmarkStart w:id="233" w:name="_Toc6962"/>
      <w:bookmarkStart w:id="234" w:name="_Toc9927"/>
      <w:bookmarkStart w:id="235" w:name="_Toc5676"/>
      <w:bookmarkStart w:id="236" w:name="_Toc15804"/>
      <w:bookmarkStart w:id="237" w:name="_Toc15137"/>
      <w:bookmarkStart w:id="238" w:name="_Toc19421"/>
      <w:bookmarkStart w:id="239" w:name="_Toc20091"/>
      <w:bookmarkStart w:id="240" w:name="_Toc29619"/>
      <w:bookmarkStart w:id="241" w:name="_Toc19298"/>
      <w:bookmarkStart w:id="242" w:name="_Toc27524"/>
      <w:bookmarkStart w:id="243" w:name="_Toc31194"/>
      <w:bookmarkStart w:id="244" w:name="_Toc30729"/>
      <w:bookmarkStart w:id="245" w:name="_Toc7522"/>
      <w:bookmarkStart w:id="246" w:name="_Toc16700"/>
      <w:bookmarkStart w:id="247" w:name="_Toc32605"/>
      <w:r>
        <w:rPr>
          <w:rFonts w:hint="eastAsia" w:ascii="楷体_GB2312" w:hAnsi="楷体_GB2312" w:eastAsia="楷体_GB2312" w:cs="楷体_GB2312"/>
          <w:color w:val="auto"/>
          <w:kern w:val="30"/>
          <w:sz w:val="30"/>
          <w:szCs w:val="30"/>
          <w:highlight w:val="none"/>
        </w:rPr>
        <w:t>（二）</w:t>
      </w:r>
      <w:r>
        <w:rPr>
          <w:rFonts w:hint="eastAsia" w:ascii="楷体_GB2312" w:hAnsi="楷体_GB2312" w:eastAsia="楷体_GB2312" w:cs="楷体_GB2312"/>
          <w:color w:val="auto"/>
          <w:kern w:val="30"/>
          <w:sz w:val="30"/>
          <w:szCs w:val="30"/>
          <w:highlight w:val="none"/>
          <w:lang w:val="en-US" w:eastAsia="zh-CN"/>
        </w:rPr>
        <w:t>政策评估指标</w:t>
      </w:r>
      <w:r>
        <w:rPr>
          <w:rFonts w:hint="eastAsia" w:ascii="楷体_GB2312" w:hAnsi="楷体_GB2312" w:eastAsia="楷体_GB2312" w:cs="楷体_GB2312"/>
          <w:color w:val="auto"/>
          <w:kern w:val="30"/>
          <w:sz w:val="30"/>
          <w:szCs w:val="30"/>
          <w:highlight w:val="none"/>
        </w:rPr>
        <w:t>实现情况</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14:paraId="3C7D9699">
      <w:pPr>
        <w:widowControl w:val="0"/>
        <w:numPr>
          <w:ilvl w:val="0"/>
          <w:numId w:val="0"/>
        </w:numPr>
        <w:adjustRightInd w:val="0"/>
        <w:snapToGrid w:val="0"/>
        <w:spacing w:line="590" w:lineRule="exact"/>
        <w:ind w:firstLine="654" w:firstLineChars="200"/>
        <w:jc w:val="both"/>
        <w:rPr>
          <w:rFonts w:hint="eastAsia" w:ascii="仿宋_GB2312" w:hAnsi="仿宋_GB2312" w:eastAsia="仿宋_GB2312" w:cs="仿宋_GB2312"/>
          <w:color w:val="auto"/>
          <w:spacing w:val="6"/>
          <w:kern w:val="30"/>
          <w:sz w:val="30"/>
          <w:szCs w:val="30"/>
          <w:highlight w:val="none"/>
          <w:lang w:eastAsia="zh-CN" w:bidi="ar"/>
        </w:rPr>
      </w:pPr>
      <w:bookmarkStart w:id="248" w:name="_Hlk525314457"/>
      <w:r>
        <w:rPr>
          <w:rFonts w:hint="eastAsia" w:ascii="仿宋_GB2312" w:hAnsi="仿宋_GB2312" w:eastAsia="仿宋_GB2312" w:cs="仿宋_GB2312"/>
          <w:color w:val="auto"/>
          <w:spacing w:val="6"/>
          <w:kern w:val="30"/>
          <w:sz w:val="30"/>
          <w:szCs w:val="30"/>
          <w:highlight w:val="none"/>
          <w:lang w:bidi="ar"/>
        </w:rPr>
        <w:t>根据实地</w:t>
      </w:r>
      <w:r>
        <w:rPr>
          <w:rFonts w:hint="eastAsia" w:ascii="仿宋_GB2312" w:hAnsi="仿宋_GB2312" w:eastAsia="仿宋_GB2312" w:cs="仿宋_GB2312"/>
          <w:color w:val="auto"/>
          <w:spacing w:val="6"/>
          <w:kern w:val="30"/>
          <w:sz w:val="30"/>
          <w:szCs w:val="30"/>
          <w:highlight w:val="none"/>
          <w:lang w:val="en-US" w:eastAsia="zh-CN" w:bidi="ar"/>
        </w:rPr>
        <w:t>评估</w:t>
      </w:r>
      <w:r>
        <w:rPr>
          <w:rFonts w:hint="eastAsia" w:ascii="仿宋_GB2312" w:hAnsi="仿宋_GB2312" w:eastAsia="仿宋_GB2312" w:cs="仿宋_GB2312"/>
          <w:color w:val="auto"/>
          <w:spacing w:val="6"/>
          <w:kern w:val="30"/>
          <w:sz w:val="30"/>
          <w:szCs w:val="30"/>
          <w:highlight w:val="none"/>
          <w:lang w:bidi="ar"/>
        </w:rPr>
        <w:t>情况，本次</w:t>
      </w:r>
      <w:r>
        <w:rPr>
          <w:rFonts w:hint="eastAsia" w:ascii="仿宋_GB2312" w:hAnsi="仿宋_GB2312" w:eastAsia="仿宋_GB2312" w:cs="仿宋_GB2312"/>
          <w:color w:val="auto"/>
          <w:spacing w:val="6"/>
          <w:kern w:val="30"/>
          <w:sz w:val="30"/>
          <w:szCs w:val="30"/>
          <w:highlight w:val="none"/>
          <w:lang w:val="en-US" w:eastAsia="zh-CN" w:bidi="ar"/>
        </w:rPr>
        <w:t>政策评估</w:t>
      </w:r>
      <w:r>
        <w:rPr>
          <w:rFonts w:hint="eastAsia" w:ascii="仿宋_GB2312" w:hAnsi="仿宋_GB2312" w:eastAsia="仿宋_GB2312" w:cs="仿宋_GB2312"/>
          <w:color w:val="auto"/>
          <w:spacing w:val="6"/>
          <w:kern w:val="30"/>
          <w:sz w:val="30"/>
          <w:szCs w:val="30"/>
          <w:highlight w:val="none"/>
          <w:lang w:bidi="ar"/>
        </w:rPr>
        <w:t>指标共设置</w:t>
      </w:r>
      <w:r>
        <w:rPr>
          <w:rFonts w:hint="eastAsia" w:ascii="仿宋_GB2312" w:hAnsi="仿宋_GB2312" w:eastAsia="仿宋_GB2312" w:cs="仿宋_GB2312"/>
          <w:color w:val="auto"/>
          <w:spacing w:val="6"/>
          <w:kern w:val="30"/>
          <w:sz w:val="30"/>
          <w:szCs w:val="30"/>
          <w:highlight w:val="none"/>
          <w:lang w:val="en-US" w:eastAsia="zh-CN" w:bidi="ar"/>
        </w:rPr>
        <w:t>20</w:t>
      </w:r>
      <w:r>
        <w:rPr>
          <w:rFonts w:hint="eastAsia" w:ascii="仿宋_GB2312" w:hAnsi="仿宋_GB2312" w:eastAsia="仿宋_GB2312" w:cs="仿宋_GB2312"/>
          <w:color w:val="auto"/>
          <w:spacing w:val="6"/>
          <w:kern w:val="30"/>
          <w:sz w:val="30"/>
          <w:szCs w:val="30"/>
          <w:highlight w:val="none"/>
          <w:lang w:bidi="ar"/>
        </w:rPr>
        <w:t>个，其中床位与机构增长等</w:t>
      </w:r>
      <w:r>
        <w:rPr>
          <w:rFonts w:hint="eastAsia" w:ascii="仿宋_GB2312" w:hAnsi="仿宋_GB2312" w:eastAsia="仿宋_GB2312" w:cs="仿宋_GB2312"/>
          <w:color w:val="auto"/>
          <w:spacing w:val="6"/>
          <w:kern w:val="30"/>
          <w:sz w:val="30"/>
          <w:szCs w:val="30"/>
          <w:highlight w:val="none"/>
          <w:lang w:val="en-US" w:eastAsia="zh-CN" w:bidi="ar"/>
        </w:rPr>
        <w:t>5</w:t>
      </w:r>
      <w:r>
        <w:rPr>
          <w:rFonts w:hint="eastAsia" w:ascii="仿宋_GB2312" w:hAnsi="仿宋_GB2312" w:eastAsia="仿宋_GB2312" w:cs="仿宋_GB2312"/>
          <w:color w:val="auto"/>
          <w:spacing w:val="6"/>
          <w:kern w:val="30"/>
          <w:sz w:val="30"/>
          <w:szCs w:val="30"/>
          <w:highlight w:val="none"/>
          <w:lang w:bidi="ar"/>
        </w:rPr>
        <w:t>个指标已完成，政策目标与规划衔接度等</w:t>
      </w:r>
      <w:r>
        <w:rPr>
          <w:rFonts w:hint="eastAsia" w:ascii="仿宋_GB2312" w:hAnsi="仿宋_GB2312" w:eastAsia="仿宋_GB2312" w:cs="仿宋_GB2312"/>
          <w:color w:val="auto"/>
          <w:spacing w:val="6"/>
          <w:kern w:val="30"/>
          <w:sz w:val="30"/>
          <w:szCs w:val="30"/>
          <w:highlight w:val="none"/>
          <w:lang w:val="en-US" w:eastAsia="zh-CN" w:bidi="ar"/>
        </w:rPr>
        <w:t>14</w:t>
      </w:r>
      <w:r>
        <w:rPr>
          <w:rFonts w:hint="eastAsia" w:ascii="仿宋_GB2312" w:hAnsi="仿宋_GB2312" w:eastAsia="仿宋_GB2312" w:cs="仿宋_GB2312"/>
          <w:color w:val="auto"/>
          <w:spacing w:val="6"/>
          <w:kern w:val="30"/>
          <w:sz w:val="30"/>
          <w:szCs w:val="30"/>
          <w:highlight w:val="none"/>
          <w:lang w:bidi="ar"/>
        </w:rPr>
        <w:t>个指标部分完成</w:t>
      </w:r>
      <w:r>
        <w:rPr>
          <w:rFonts w:hint="eastAsia" w:ascii="仿宋_GB2312" w:hAnsi="仿宋_GB2312" w:eastAsia="仿宋_GB2312" w:cs="仿宋_GB2312"/>
          <w:color w:val="auto"/>
          <w:spacing w:val="6"/>
          <w:kern w:val="30"/>
          <w:sz w:val="30"/>
          <w:szCs w:val="30"/>
          <w:highlight w:val="none"/>
          <w:lang w:eastAsia="zh-CN" w:bidi="ar"/>
        </w:rPr>
        <w:t>，审核程序合理性</w:t>
      </w:r>
      <w:r>
        <w:rPr>
          <w:rFonts w:hint="eastAsia" w:ascii="仿宋_GB2312" w:hAnsi="仿宋_GB2312" w:eastAsia="仿宋_GB2312" w:cs="仿宋_GB2312"/>
          <w:color w:val="auto"/>
          <w:spacing w:val="6"/>
          <w:kern w:val="30"/>
          <w:sz w:val="30"/>
          <w:szCs w:val="30"/>
          <w:highlight w:val="none"/>
          <w:lang w:val="en-US" w:eastAsia="zh-CN" w:bidi="ar"/>
        </w:rPr>
        <w:t>指标未完成</w:t>
      </w:r>
      <w:r>
        <w:rPr>
          <w:rFonts w:hint="eastAsia" w:ascii="仿宋_GB2312" w:hAnsi="仿宋_GB2312" w:eastAsia="仿宋_GB2312" w:cs="仿宋_GB2312"/>
          <w:color w:val="auto"/>
          <w:spacing w:val="6"/>
          <w:kern w:val="30"/>
          <w:sz w:val="30"/>
          <w:szCs w:val="30"/>
          <w:highlight w:val="none"/>
          <w:lang w:bidi="ar"/>
        </w:rPr>
        <w:t>。</w:t>
      </w:r>
    </w:p>
    <w:bookmarkEnd w:id="248"/>
    <w:p w14:paraId="1B9D6517">
      <w:pPr>
        <w:numPr>
          <w:ilvl w:val="-1"/>
          <w:numId w:val="0"/>
        </w:numPr>
        <w:adjustRightInd/>
        <w:snapToGrid/>
        <w:spacing w:line="590" w:lineRule="exact"/>
        <w:ind w:firstLine="670" w:firstLineChars="200"/>
        <w:outlineLvl w:val="0"/>
        <w:rPr>
          <w:rFonts w:hint="eastAsia" w:ascii="黑体" w:hAnsi="黑体" w:eastAsia="黑体" w:cs="宋体"/>
          <w:color w:val="auto"/>
          <w:kern w:val="30"/>
          <w:sz w:val="32"/>
          <w:szCs w:val="32"/>
          <w:highlight w:val="none"/>
          <w:lang w:eastAsia="zh-Hans" w:bidi="ar"/>
        </w:rPr>
      </w:pPr>
      <w:bookmarkStart w:id="249" w:name="_Toc16935"/>
      <w:bookmarkStart w:id="250" w:name="_Toc10887"/>
      <w:bookmarkStart w:id="251" w:name="_Toc10515"/>
      <w:bookmarkStart w:id="252" w:name="_Toc2777"/>
      <w:bookmarkStart w:id="253" w:name="_Toc13010"/>
      <w:bookmarkStart w:id="254" w:name="_Toc6429"/>
      <w:bookmarkStart w:id="255" w:name="_Toc31373"/>
      <w:bookmarkStart w:id="256" w:name="_Toc21479"/>
      <w:bookmarkStart w:id="257" w:name="_Toc18525"/>
      <w:bookmarkStart w:id="258" w:name="_Toc21321"/>
      <w:bookmarkStart w:id="259" w:name="_Toc24089"/>
      <w:bookmarkStart w:id="260" w:name="_Toc28942"/>
      <w:bookmarkStart w:id="261" w:name="_Toc26756"/>
      <w:bookmarkStart w:id="262" w:name="_Toc30386"/>
      <w:bookmarkStart w:id="263" w:name="_Toc21240"/>
      <w:bookmarkStart w:id="264" w:name="_Toc23095"/>
      <w:bookmarkStart w:id="265" w:name="_Toc5715"/>
      <w:bookmarkStart w:id="266" w:name="_Toc19981"/>
      <w:bookmarkStart w:id="267" w:name="_Toc349"/>
      <w:bookmarkStart w:id="268" w:name="_Toc7462"/>
      <w:bookmarkStart w:id="269" w:name="_Toc9788"/>
      <w:bookmarkStart w:id="270" w:name="_Toc495"/>
      <w:bookmarkStart w:id="271" w:name="OLE_LINK5"/>
      <w:r>
        <w:rPr>
          <w:rFonts w:hint="eastAsia" w:ascii="黑体" w:hAnsi="黑体" w:eastAsia="黑体" w:cs="宋体"/>
          <w:color w:val="auto"/>
          <w:kern w:val="30"/>
          <w:sz w:val="32"/>
          <w:szCs w:val="32"/>
          <w:highlight w:val="none"/>
          <w:lang w:eastAsia="zh-Hans" w:bidi="ar"/>
        </w:rPr>
        <w:t>四、</w:t>
      </w:r>
      <w:r>
        <w:rPr>
          <w:rFonts w:hint="eastAsia" w:ascii="黑体" w:hAnsi="黑体" w:eastAsia="黑体" w:cs="宋体"/>
          <w:color w:val="auto"/>
          <w:kern w:val="30"/>
          <w:sz w:val="32"/>
          <w:szCs w:val="32"/>
          <w:highlight w:val="none"/>
          <w:lang w:val="en-US" w:eastAsia="zh-CN" w:bidi="ar"/>
        </w:rPr>
        <w:t>政策评估</w:t>
      </w:r>
      <w:r>
        <w:rPr>
          <w:rFonts w:hint="eastAsia" w:ascii="黑体" w:hAnsi="黑体" w:eastAsia="黑体" w:cs="宋体"/>
          <w:color w:val="auto"/>
          <w:kern w:val="30"/>
          <w:sz w:val="32"/>
          <w:szCs w:val="32"/>
          <w:highlight w:val="none"/>
          <w:lang w:eastAsia="zh-Hans" w:bidi="ar"/>
        </w:rPr>
        <w:t>情况分析</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14:paraId="26592712">
      <w:pPr>
        <w:keepNext w:val="0"/>
        <w:keepLines w:val="0"/>
        <w:pageBreakBefore w:val="0"/>
        <w:widowControl w:val="0"/>
        <w:kinsoku/>
        <w:wordWrap/>
        <w:overflowPunct/>
        <w:topLinePunct w:val="0"/>
        <w:autoSpaceDE/>
        <w:autoSpaceDN/>
        <w:bidi w:val="0"/>
        <w:adjustRightInd/>
        <w:snapToGrid/>
        <w:spacing w:line="590" w:lineRule="exact"/>
        <w:ind w:firstLine="630" w:firstLineChars="200"/>
        <w:textAlignment w:val="auto"/>
        <w:outlineLvl w:val="1"/>
        <w:rPr>
          <w:rFonts w:hint="eastAsia" w:ascii="楷体_GB2312" w:hAnsi="楷体_GB2312" w:eastAsia="楷体_GB2312" w:cs="楷体_GB2312"/>
          <w:color w:val="auto"/>
          <w:spacing w:val="0"/>
          <w:kern w:val="30"/>
          <w:sz w:val="30"/>
          <w:szCs w:val="30"/>
          <w:highlight w:val="none"/>
          <w:lang w:eastAsia="zh-CN"/>
        </w:rPr>
      </w:pPr>
      <w:bookmarkStart w:id="272" w:name="_Toc1391023242"/>
      <w:bookmarkStart w:id="273" w:name="_Toc20609"/>
      <w:bookmarkStart w:id="274" w:name="_Toc14137"/>
      <w:bookmarkStart w:id="275" w:name="_Toc1722983371"/>
      <w:bookmarkStart w:id="276" w:name="_Toc11968"/>
      <w:bookmarkStart w:id="277" w:name="_Toc23052"/>
      <w:bookmarkStart w:id="278" w:name="_Toc1265906090"/>
      <w:bookmarkStart w:id="279" w:name="_Toc22719"/>
      <w:bookmarkStart w:id="280" w:name="_Toc1750650809"/>
      <w:bookmarkStart w:id="281" w:name="_Toc10865"/>
      <w:bookmarkStart w:id="282" w:name="_Toc793"/>
      <w:bookmarkStart w:id="283" w:name="_Toc25837"/>
      <w:bookmarkStart w:id="284" w:name="_Toc15800"/>
      <w:bookmarkStart w:id="285" w:name="_Toc17985"/>
      <w:bookmarkStart w:id="286" w:name="_Toc4882"/>
      <w:bookmarkStart w:id="287" w:name="_Toc10555"/>
      <w:bookmarkStart w:id="288" w:name="_Toc1943147856"/>
      <w:bookmarkStart w:id="289" w:name="_Toc20022"/>
      <w:bookmarkStart w:id="290" w:name="_Toc11570"/>
      <w:bookmarkStart w:id="291" w:name="_Toc3151"/>
      <w:bookmarkStart w:id="292" w:name="_Toc978813796"/>
      <w:bookmarkStart w:id="293" w:name="_Toc13298"/>
      <w:bookmarkStart w:id="294" w:name="_Toc31318"/>
      <w:bookmarkStart w:id="295" w:name="_Toc9938"/>
      <w:bookmarkStart w:id="296" w:name="_Toc8663"/>
      <w:bookmarkStart w:id="297" w:name="_Toc31395"/>
      <w:bookmarkStart w:id="298" w:name="_Toc1955483260"/>
      <w:bookmarkStart w:id="299" w:name="_Toc17397"/>
      <w:bookmarkStart w:id="300" w:name="_Toc15650"/>
      <w:r>
        <w:rPr>
          <w:rFonts w:hint="eastAsia" w:ascii="楷体_GB2312" w:hAnsi="楷体_GB2312" w:eastAsia="楷体_GB2312" w:cs="楷体_GB2312"/>
          <w:color w:val="auto"/>
          <w:spacing w:val="0"/>
          <w:kern w:val="30"/>
          <w:sz w:val="30"/>
          <w:szCs w:val="30"/>
          <w:highlight w:val="none"/>
        </w:rPr>
        <w:t>（一）执行期目标实现与资金管理情况分析</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14:paraId="01E9201A">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54" w:firstLineChars="200"/>
        <w:jc w:val="both"/>
        <w:textAlignment w:val="auto"/>
        <w:rPr>
          <w:rFonts w:hint="eastAsia" w:ascii="仿宋_GB2312" w:hAnsi="仿宋_GB2312" w:eastAsia="仿宋_GB2312" w:cs="仿宋_GB2312"/>
          <w:color w:val="auto"/>
          <w:spacing w:val="6"/>
          <w:kern w:val="30"/>
          <w:sz w:val="30"/>
          <w:szCs w:val="30"/>
          <w:highlight w:val="none"/>
          <w:lang w:bidi="ar"/>
        </w:rPr>
      </w:pPr>
      <w:r>
        <w:rPr>
          <w:rFonts w:hint="eastAsia" w:ascii="仿宋_GB2312" w:hAnsi="仿宋_GB2312" w:eastAsia="仿宋_GB2312" w:cs="仿宋_GB2312"/>
          <w:color w:val="auto"/>
          <w:spacing w:val="6"/>
          <w:kern w:val="30"/>
          <w:sz w:val="30"/>
          <w:szCs w:val="30"/>
          <w:highlight w:val="none"/>
          <w:lang w:bidi="ar"/>
        </w:rPr>
        <w:t>此项评</w:t>
      </w:r>
      <w:r>
        <w:rPr>
          <w:rFonts w:hint="eastAsia" w:ascii="仿宋_GB2312" w:hAnsi="仿宋_GB2312" w:eastAsia="仿宋_GB2312" w:cs="仿宋_GB2312"/>
          <w:color w:val="auto"/>
          <w:spacing w:val="6"/>
          <w:kern w:val="30"/>
          <w:sz w:val="30"/>
          <w:szCs w:val="30"/>
          <w:highlight w:val="none"/>
          <w:lang w:val="en-US" w:eastAsia="zh-CN" w:bidi="ar"/>
        </w:rPr>
        <w:t>估</w:t>
      </w:r>
      <w:r>
        <w:rPr>
          <w:rFonts w:hint="eastAsia" w:ascii="仿宋_GB2312" w:hAnsi="仿宋_GB2312" w:eastAsia="仿宋_GB2312" w:cs="仿宋_GB2312"/>
          <w:color w:val="auto"/>
          <w:spacing w:val="6"/>
          <w:kern w:val="30"/>
          <w:sz w:val="30"/>
          <w:szCs w:val="30"/>
          <w:highlight w:val="none"/>
          <w:lang w:bidi="ar"/>
        </w:rPr>
        <w:t>满分为</w:t>
      </w:r>
      <w:r>
        <w:rPr>
          <w:rFonts w:hint="eastAsia" w:ascii="仿宋_GB2312" w:hAnsi="仿宋_GB2312" w:eastAsia="仿宋_GB2312" w:cs="仿宋_GB2312"/>
          <w:color w:val="auto"/>
          <w:spacing w:val="6"/>
          <w:kern w:val="30"/>
          <w:sz w:val="30"/>
          <w:szCs w:val="30"/>
          <w:highlight w:val="none"/>
          <w:lang w:val="en-US" w:eastAsia="zh-CN" w:bidi="ar"/>
        </w:rPr>
        <w:t>70</w:t>
      </w:r>
      <w:r>
        <w:rPr>
          <w:rFonts w:hint="eastAsia" w:ascii="仿宋_GB2312" w:hAnsi="仿宋_GB2312" w:eastAsia="仿宋_GB2312" w:cs="仿宋_GB2312"/>
          <w:color w:val="auto"/>
          <w:spacing w:val="6"/>
          <w:kern w:val="30"/>
          <w:sz w:val="30"/>
          <w:szCs w:val="30"/>
          <w:highlight w:val="none"/>
          <w:lang w:bidi="ar"/>
        </w:rPr>
        <w:t>分，</w:t>
      </w:r>
      <w:r>
        <w:rPr>
          <w:rFonts w:hint="eastAsia" w:ascii="仿宋_GB2312" w:hAnsi="仿宋_GB2312" w:eastAsia="仿宋_GB2312" w:cs="仿宋_GB2312"/>
          <w:color w:val="auto"/>
          <w:spacing w:val="6"/>
          <w:kern w:val="30"/>
          <w:sz w:val="30"/>
          <w:szCs w:val="30"/>
          <w:highlight w:val="none"/>
          <w:lang w:val="en-US" w:eastAsia="zh-CN" w:bidi="ar"/>
        </w:rPr>
        <w:t>政策评估</w:t>
      </w:r>
      <w:r>
        <w:rPr>
          <w:rFonts w:hint="eastAsia" w:ascii="仿宋_GB2312" w:hAnsi="仿宋_GB2312" w:eastAsia="仿宋_GB2312" w:cs="仿宋_GB2312"/>
          <w:color w:val="auto"/>
          <w:spacing w:val="6"/>
          <w:kern w:val="30"/>
          <w:sz w:val="30"/>
          <w:szCs w:val="30"/>
          <w:highlight w:val="none"/>
          <w:lang w:bidi="ar"/>
        </w:rPr>
        <w:t>得分</w:t>
      </w:r>
      <w:r>
        <w:rPr>
          <w:rFonts w:hint="eastAsia" w:ascii="仿宋_GB2312" w:hAnsi="仿宋_GB2312" w:eastAsia="仿宋_GB2312" w:cs="仿宋_GB2312"/>
          <w:color w:val="auto"/>
          <w:spacing w:val="6"/>
          <w:kern w:val="30"/>
          <w:sz w:val="30"/>
          <w:szCs w:val="30"/>
          <w:highlight w:val="none"/>
          <w:lang w:val="en-US" w:eastAsia="zh-CN" w:bidi="ar"/>
        </w:rPr>
        <w:t>53.29</w:t>
      </w:r>
      <w:r>
        <w:rPr>
          <w:rFonts w:hint="eastAsia" w:ascii="仿宋_GB2312" w:hAnsi="仿宋_GB2312" w:eastAsia="仿宋_GB2312" w:cs="仿宋_GB2312"/>
          <w:color w:val="auto"/>
          <w:spacing w:val="6"/>
          <w:kern w:val="30"/>
          <w:sz w:val="30"/>
          <w:szCs w:val="30"/>
          <w:highlight w:val="none"/>
          <w:lang w:bidi="ar"/>
        </w:rPr>
        <w:t>分，得分率</w:t>
      </w:r>
      <w:r>
        <w:rPr>
          <w:rFonts w:hint="eastAsia" w:ascii="仿宋_GB2312" w:hAnsi="仿宋_GB2312" w:eastAsia="仿宋_GB2312" w:cs="仿宋_GB2312"/>
          <w:color w:val="auto"/>
          <w:spacing w:val="6"/>
          <w:kern w:val="30"/>
          <w:sz w:val="30"/>
          <w:szCs w:val="30"/>
          <w:highlight w:val="none"/>
          <w:lang w:val="en-US" w:eastAsia="zh-CN" w:bidi="ar"/>
        </w:rPr>
        <w:t>76.13</w:t>
      </w:r>
      <w:r>
        <w:rPr>
          <w:rFonts w:hint="eastAsia" w:ascii="仿宋_GB2312" w:hAnsi="仿宋_GB2312" w:eastAsia="仿宋_GB2312" w:cs="仿宋_GB2312"/>
          <w:color w:val="auto"/>
          <w:spacing w:val="6"/>
          <w:kern w:val="30"/>
          <w:sz w:val="30"/>
          <w:szCs w:val="30"/>
          <w:highlight w:val="none"/>
          <w:lang w:bidi="ar"/>
        </w:rPr>
        <w:t>%，具体分析如下：</w:t>
      </w:r>
    </w:p>
    <w:p w14:paraId="60077C99">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bidi="ar"/>
        </w:rPr>
      </w:pPr>
      <w:r>
        <w:rPr>
          <w:rFonts w:hint="eastAsia" w:ascii="仿宋_GB2312" w:hAnsi="仿宋_GB2312" w:eastAsia="仿宋_GB2312" w:cs="仿宋_GB2312"/>
          <w:color w:val="auto"/>
          <w:spacing w:val="6"/>
          <w:kern w:val="30"/>
          <w:sz w:val="30"/>
          <w:szCs w:val="30"/>
          <w:highlight w:val="none"/>
          <w:lang w:val="en-US" w:eastAsia="zh-CN" w:bidi="ar"/>
        </w:rPr>
        <w:t>1.</w:t>
      </w:r>
      <w:r>
        <w:rPr>
          <w:rFonts w:hint="eastAsia" w:ascii="仿宋_GB2312" w:hAnsi="仿宋_GB2312" w:eastAsia="仿宋_GB2312" w:cs="仿宋_GB2312"/>
          <w:color w:val="auto"/>
          <w:spacing w:val="6"/>
          <w:sz w:val="30"/>
          <w:szCs w:val="30"/>
          <w:highlight w:val="none"/>
          <w:lang w:bidi="ar"/>
        </w:rPr>
        <w:t>政策科学合理性</w:t>
      </w:r>
    </w:p>
    <w:p w14:paraId="4CD329AF">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bidi="ar"/>
        </w:rPr>
      </w:pPr>
      <w:r>
        <w:rPr>
          <w:rFonts w:hint="eastAsia" w:ascii="仿宋_GB2312" w:hAnsi="仿宋_GB2312" w:eastAsia="仿宋_GB2312" w:cs="仿宋_GB2312"/>
          <w:color w:val="auto"/>
          <w:spacing w:val="6"/>
          <w:sz w:val="30"/>
          <w:szCs w:val="30"/>
          <w:highlight w:val="none"/>
          <w:lang w:bidi="ar"/>
        </w:rPr>
        <w:t>政策科学合理性下设</w:t>
      </w:r>
      <w:r>
        <w:rPr>
          <w:rFonts w:hint="eastAsia" w:ascii="仿宋_GB2312" w:hAnsi="仿宋_GB2312" w:eastAsia="仿宋_GB2312" w:cs="仿宋_GB2312"/>
          <w:color w:val="auto"/>
          <w:spacing w:val="6"/>
          <w:sz w:val="30"/>
          <w:szCs w:val="30"/>
          <w:highlight w:val="none"/>
          <w:lang w:eastAsia="zh-CN" w:bidi="ar"/>
        </w:rPr>
        <w:t>政策目标与规划衔接度</w:t>
      </w:r>
      <w:r>
        <w:rPr>
          <w:rFonts w:hint="eastAsia" w:ascii="仿宋_GB2312" w:hAnsi="仿宋_GB2312" w:eastAsia="仿宋_GB2312" w:cs="仿宋_GB2312"/>
          <w:color w:val="auto"/>
          <w:spacing w:val="6"/>
          <w:sz w:val="30"/>
          <w:szCs w:val="30"/>
          <w:highlight w:val="none"/>
          <w:lang w:bidi="ar"/>
        </w:rPr>
        <w:t>、</w:t>
      </w:r>
      <w:r>
        <w:rPr>
          <w:rFonts w:hint="eastAsia" w:ascii="仿宋_GB2312" w:hAnsi="仿宋_GB2312" w:eastAsia="仿宋_GB2312" w:cs="仿宋_GB2312"/>
          <w:color w:val="auto"/>
          <w:spacing w:val="6"/>
          <w:sz w:val="30"/>
          <w:szCs w:val="30"/>
          <w:highlight w:val="none"/>
          <w:lang w:eastAsia="zh-CN" w:bidi="ar"/>
        </w:rPr>
        <w:t>政策条件引导有效性</w:t>
      </w:r>
      <w:r>
        <w:rPr>
          <w:rFonts w:hint="eastAsia" w:ascii="仿宋_GB2312" w:hAnsi="仿宋_GB2312" w:eastAsia="仿宋_GB2312" w:cs="仿宋_GB2312"/>
          <w:color w:val="auto"/>
          <w:spacing w:val="6"/>
          <w:sz w:val="30"/>
          <w:szCs w:val="30"/>
          <w:highlight w:val="none"/>
          <w:lang w:val="en-US" w:eastAsia="zh-CN" w:bidi="ar"/>
        </w:rPr>
        <w:t>2</w:t>
      </w:r>
      <w:r>
        <w:rPr>
          <w:rFonts w:hint="eastAsia" w:ascii="仿宋_GB2312" w:hAnsi="仿宋_GB2312" w:eastAsia="仿宋_GB2312" w:cs="仿宋_GB2312"/>
          <w:color w:val="auto"/>
          <w:spacing w:val="6"/>
          <w:sz w:val="30"/>
          <w:szCs w:val="30"/>
          <w:highlight w:val="none"/>
          <w:lang w:bidi="ar"/>
        </w:rPr>
        <w:t>个三级指标，指标权重</w:t>
      </w:r>
      <w:r>
        <w:rPr>
          <w:rFonts w:hint="eastAsia" w:ascii="仿宋_GB2312" w:hAnsi="仿宋_GB2312" w:eastAsia="仿宋_GB2312" w:cs="仿宋_GB2312"/>
          <w:color w:val="auto"/>
          <w:spacing w:val="6"/>
          <w:sz w:val="30"/>
          <w:szCs w:val="30"/>
          <w:highlight w:val="none"/>
          <w:lang w:val="en-US" w:eastAsia="zh-CN" w:bidi="ar"/>
        </w:rPr>
        <w:t>13</w:t>
      </w:r>
      <w:r>
        <w:rPr>
          <w:rFonts w:hint="eastAsia" w:ascii="仿宋_GB2312" w:hAnsi="仿宋_GB2312" w:eastAsia="仿宋_GB2312" w:cs="仿宋_GB2312"/>
          <w:color w:val="auto"/>
          <w:spacing w:val="6"/>
          <w:sz w:val="30"/>
          <w:szCs w:val="30"/>
          <w:highlight w:val="none"/>
          <w:lang w:bidi="ar"/>
        </w:rPr>
        <w:t>分，实际得分</w:t>
      </w:r>
      <w:r>
        <w:rPr>
          <w:rFonts w:hint="eastAsia" w:ascii="仿宋_GB2312" w:hAnsi="仿宋_GB2312" w:eastAsia="仿宋_GB2312" w:cs="仿宋_GB2312"/>
          <w:color w:val="auto"/>
          <w:spacing w:val="6"/>
          <w:sz w:val="30"/>
          <w:szCs w:val="30"/>
          <w:highlight w:val="none"/>
          <w:lang w:val="en-US" w:eastAsia="zh-CN" w:bidi="ar"/>
        </w:rPr>
        <w:t>4.20</w:t>
      </w:r>
      <w:r>
        <w:rPr>
          <w:rFonts w:hint="eastAsia" w:ascii="仿宋_GB2312" w:hAnsi="仿宋_GB2312" w:eastAsia="仿宋_GB2312" w:cs="仿宋_GB2312"/>
          <w:color w:val="auto"/>
          <w:spacing w:val="6"/>
          <w:sz w:val="30"/>
          <w:szCs w:val="30"/>
          <w:highlight w:val="none"/>
          <w:lang w:bidi="ar"/>
        </w:rPr>
        <w:t>分，得分率</w:t>
      </w:r>
      <w:r>
        <w:rPr>
          <w:rFonts w:hint="eastAsia" w:ascii="仿宋_GB2312" w:hAnsi="仿宋_GB2312" w:eastAsia="仿宋_GB2312" w:cs="仿宋_GB2312"/>
          <w:color w:val="auto"/>
          <w:spacing w:val="6"/>
          <w:sz w:val="30"/>
          <w:szCs w:val="30"/>
          <w:highlight w:val="none"/>
          <w:lang w:val="en-US" w:eastAsia="zh-CN" w:bidi="ar"/>
        </w:rPr>
        <w:t>32.31</w:t>
      </w:r>
      <w:r>
        <w:rPr>
          <w:rFonts w:hint="eastAsia" w:ascii="仿宋_GB2312" w:hAnsi="仿宋_GB2312" w:eastAsia="仿宋_GB2312" w:cs="仿宋_GB2312"/>
          <w:color w:val="auto"/>
          <w:spacing w:val="6"/>
          <w:sz w:val="30"/>
          <w:szCs w:val="30"/>
          <w:highlight w:val="none"/>
          <w:lang w:bidi="ar"/>
        </w:rPr>
        <w:t>%。</w:t>
      </w:r>
    </w:p>
    <w:p w14:paraId="3687EB9C">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kern w:val="30"/>
          <w:sz w:val="30"/>
          <w:szCs w:val="30"/>
          <w:highlight w:val="none"/>
          <w:lang w:val="en-US" w:eastAsia="zh-CN" w:bidi="ar"/>
        </w:rPr>
        <w:t>（1）</w:t>
      </w:r>
      <w:r>
        <w:rPr>
          <w:rFonts w:hint="eastAsia" w:ascii="仿宋_GB2312" w:hAnsi="仿宋_GB2312" w:eastAsia="仿宋_GB2312" w:cs="仿宋_GB2312"/>
          <w:color w:val="auto"/>
          <w:spacing w:val="6"/>
          <w:sz w:val="30"/>
          <w:szCs w:val="30"/>
          <w:highlight w:val="none"/>
          <w:lang w:eastAsia="zh-CN" w:bidi="ar"/>
        </w:rPr>
        <w:t>政策目标与规划衔接度</w:t>
      </w:r>
      <w:r>
        <w:rPr>
          <w:rFonts w:hint="eastAsia" w:ascii="仿宋_GB2312" w:hAnsi="仿宋_GB2312" w:eastAsia="仿宋_GB2312" w:cs="仿宋_GB2312"/>
          <w:color w:val="auto"/>
          <w:spacing w:val="6"/>
          <w:sz w:val="30"/>
          <w:szCs w:val="30"/>
          <w:highlight w:val="none"/>
          <w:lang w:bidi="ar"/>
        </w:rPr>
        <w:t>指标分值</w:t>
      </w:r>
      <w:r>
        <w:rPr>
          <w:rFonts w:hint="eastAsia" w:ascii="仿宋_GB2312" w:hAnsi="仿宋_GB2312" w:eastAsia="仿宋_GB2312" w:cs="仿宋_GB2312"/>
          <w:color w:val="auto"/>
          <w:spacing w:val="6"/>
          <w:sz w:val="30"/>
          <w:szCs w:val="30"/>
          <w:highlight w:val="none"/>
          <w:lang w:val="en-US" w:eastAsia="zh-CN" w:bidi="ar"/>
        </w:rPr>
        <w:t>6</w:t>
      </w:r>
      <w:r>
        <w:rPr>
          <w:rFonts w:hint="eastAsia" w:ascii="仿宋_GB2312" w:hAnsi="仿宋_GB2312" w:eastAsia="仿宋_GB2312" w:cs="仿宋_GB2312"/>
          <w:color w:val="auto"/>
          <w:spacing w:val="6"/>
          <w:sz w:val="30"/>
          <w:szCs w:val="30"/>
          <w:highlight w:val="none"/>
          <w:lang w:bidi="ar"/>
        </w:rPr>
        <w:t>分，实际得分</w:t>
      </w:r>
      <w:r>
        <w:rPr>
          <w:rFonts w:hint="eastAsia" w:ascii="仿宋_GB2312" w:hAnsi="仿宋_GB2312" w:eastAsia="仿宋_GB2312" w:cs="仿宋_GB2312"/>
          <w:color w:val="auto"/>
          <w:spacing w:val="6"/>
          <w:sz w:val="30"/>
          <w:szCs w:val="30"/>
          <w:highlight w:val="none"/>
          <w:lang w:val="en-US" w:eastAsia="zh-CN" w:bidi="ar"/>
        </w:rPr>
        <w:t>3.20</w:t>
      </w:r>
      <w:r>
        <w:rPr>
          <w:rFonts w:hint="eastAsia" w:ascii="仿宋_GB2312" w:hAnsi="仿宋_GB2312" w:eastAsia="仿宋_GB2312" w:cs="仿宋_GB2312"/>
          <w:color w:val="auto"/>
          <w:spacing w:val="6"/>
          <w:sz w:val="30"/>
          <w:szCs w:val="30"/>
          <w:highlight w:val="none"/>
          <w:lang w:bidi="ar"/>
        </w:rPr>
        <w:t>分，得分率</w:t>
      </w:r>
      <w:r>
        <w:rPr>
          <w:rFonts w:hint="eastAsia" w:ascii="仿宋_GB2312" w:hAnsi="仿宋_GB2312" w:eastAsia="仿宋_GB2312" w:cs="仿宋_GB2312"/>
          <w:color w:val="auto"/>
          <w:spacing w:val="6"/>
          <w:sz w:val="30"/>
          <w:szCs w:val="30"/>
          <w:highlight w:val="none"/>
          <w:lang w:val="en-US" w:eastAsia="zh-CN" w:bidi="ar"/>
        </w:rPr>
        <w:t>53.33</w:t>
      </w:r>
      <w:r>
        <w:rPr>
          <w:rFonts w:hint="eastAsia" w:ascii="仿宋_GB2312" w:hAnsi="仿宋_GB2312" w:eastAsia="仿宋_GB2312" w:cs="仿宋_GB2312"/>
          <w:color w:val="auto"/>
          <w:spacing w:val="6"/>
          <w:sz w:val="30"/>
          <w:szCs w:val="30"/>
          <w:highlight w:val="none"/>
          <w:lang w:bidi="ar"/>
        </w:rPr>
        <w:t>%。</w:t>
      </w:r>
      <w:r>
        <w:rPr>
          <w:rFonts w:hint="eastAsia" w:ascii="仿宋_GB2312" w:hAnsi="仿宋_GB2312" w:eastAsia="仿宋_GB2312" w:cs="仿宋_GB2312"/>
          <w:color w:val="auto"/>
          <w:spacing w:val="6"/>
          <w:sz w:val="30"/>
          <w:szCs w:val="30"/>
          <w:highlight w:val="none"/>
          <w:lang w:eastAsia="zh-CN" w:bidi="ar"/>
        </w:rPr>
        <w:t>扣分原因及相关说明：</w:t>
      </w:r>
      <w:r>
        <w:rPr>
          <w:rFonts w:hint="eastAsia" w:ascii="仿宋_GB2312" w:hAnsi="仿宋_GB2312" w:eastAsia="仿宋_GB2312" w:cs="仿宋_GB2312"/>
          <w:color w:val="auto"/>
          <w:spacing w:val="6"/>
          <w:sz w:val="30"/>
          <w:szCs w:val="30"/>
          <w:highlight w:val="none"/>
          <w:lang w:val="en-US" w:eastAsia="zh-CN" w:bidi="ar"/>
        </w:rPr>
        <w:t>2021-2025年度绩效目标符合专项的政策目标、用途、使用范围和预算支出内容。但存在以下几个问题：</w:t>
      </w:r>
    </w:p>
    <w:p w14:paraId="74BBDA49">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sz w:val="30"/>
          <w:szCs w:val="30"/>
          <w:highlight w:val="none"/>
          <w:lang w:val="en-US" w:eastAsia="zh-CN" w:bidi="ar"/>
        </w:rPr>
        <w:t>一是护理型床位指标缺失。2013版政策仅以床位总数（30张以上）作为资助门槛，未涉及护理型床位占比要求，而“十四五”国家及自治区规划均要求养老机构护理型床位占比不低于55%；服务质量管理机制未与等级评定制度衔接。</w:t>
      </w:r>
    </w:p>
    <w:p w14:paraId="0DA38A3F">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sz w:val="30"/>
          <w:szCs w:val="30"/>
          <w:highlight w:val="none"/>
          <w:lang w:val="en-US" w:eastAsia="zh-CN" w:bidi="ar"/>
        </w:rPr>
        <w:t>二是等级评定结果与政策未挂钩。《新疆维吾尔自治区养老机构等级评定管理办法（试行）》（新民发规〔2020〕1号）建立了服务质量分级认证体系，但2013版政策仅通过年度考核和年检进行监管，未将等级评定结果与资助资格或补贴标准挂钩。</w:t>
      </w:r>
    </w:p>
    <w:p w14:paraId="49A18874">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sz w:val="30"/>
          <w:szCs w:val="30"/>
          <w:highlight w:val="none"/>
          <w:lang w:val="en-US" w:eastAsia="zh-CN" w:bidi="ar"/>
        </w:rPr>
        <w:t>三是基本养老服务清单衔接缺失。《关于加快推进基本养老服务体系建设的实施方案》（新政办发〔2023〕45号）建立了《自治区基本养老服务清单》，但2013版政策作为针对民办养老机构的专项资助办法，并未与该清单形成对应关系。</w:t>
      </w:r>
    </w:p>
    <w:p w14:paraId="16507CF1">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sz w:val="30"/>
          <w:szCs w:val="30"/>
          <w:highlight w:val="none"/>
          <w:lang w:val="en-US" w:eastAsia="zh-CN" w:bidi="ar"/>
        </w:rPr>
        <w:t>四是指标不可衡量：2021—2025年绩效目标表中指标“社会力量参与养老服务的积极性”设定为“不断提高”，无明确衡量标准；“养老服务质量”设定为“逐步提升”，无明确衡量标准；资金发放及时率无明确计算标准。</w:t>
      </w:r>
    </w:p>
    <w:p w14:paraId="7E455FB0">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sz w:val="30"/>
          <w:szCs w:val="30"/>
          <w:highlight w:val="none"/>
          <w:lang w:val="en-US" w:eastAsia="zh-CN" w:bidi="ar"/>
        </w:rPr>
        <w:t>五是指标值设置不正确：2025年绩效目标为“通过对61个民办养老机构进行资助，能有效调动社会力量参与养老服务业积极性，增加多元化养老服务供给。”经核实所有地区加总起来为62家民办养老机构。</w:t>
      </w:r>
    </w:p>
    <w:p w14:paraId="32639003">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54" w:firstLineChars="200"/>
        <w:jc w:val="both"/>
        <w:textAlignment w:val="auto"/>
        <w:rPr>
          <w:rFonts w:hint="eastAsia" w:ascii="仿宋_GB2312" w:hAnsi="仿宋_GB2312" w:eastAsia="仿宋_GB2312" w:cs="仿宋_GB2312"/>
          <w:color w:val="auto"/>
          <w:spacing w:val="6"/>
          <w:sz w:val="30"/>
          <w:szCs w:val="30"/>
          <w:highlight w:val="none"/>
          <w:lang w:eastAsia="zh-CN" w:bidi="ar"/>
        </w:rPr>
      </w:pPr>
      <w:r>
        <w:rPr>
          <w:rFonts w:hint="eastAsia" w:ascii="仿宋_GB2312" w:hAnsi="仿宋_GB2312" w:eastAsia="仿宋_GB2312" w:cs="仿宋_GB2312"/>
          <w:color w:val="auto"/>
          <w:spacing w:val="6"/>
          <w:sz w:val="30"/>
          <w:szCs w:val="30"/>
          <w:highlight w:val="none"/>
          <w:lang w:eastAsia="zh-CN" w:bidi="ar"/>
        </w:rPr>
        <w:t>（2）</w:t>
      </w:r>
      <w:bookmarkStart w:id="301" w:name="_Hlk120999246"/>
      <w:r>
        <w:rPr>
          <w:rFonts w:hint="eastAsia" w:ascii="仿宋_GB2312" w:hAnsi="仿宋_GB2312" w:eastAsia="仿宋_GB2312" w:cs="仿宋_GB2312"/>
          <w:color w:val="auto"/>
          <w:spacing w:val="6"/>
          <w:sz w:val="30"/>
          <w:szCs w:val="30"/>
          <w:highlight w:val="none"/>
          <w:lang w:eastAsia="zh-CN" w:bidi="ar"/>
        </w:rPr>
        <w:t>政策条件引导有效性指标分值</w:t>
      </w:r>
      <w:r>
        <w:rPr>
          <w:rFonts w:hint="eastAsia" w:ascii="仿宋_GB2312" w:hAnsi="仿宋_GB2312" w:eastAsia="仿宋_GB2312" w:cs="仿宋_GB2312"/>
          <w:color w:val="auto"/>
          <w:spacing w:val="6"/>
          <w:sz w:val="30"/>
          <w:szCs w:val="30"/>
          <w:highlight w:val="none"/>
          <w:lang w:val="en-US" w:eastAsia="zh-CN" w:bidi="ar"/>
        </w:rPr>
        <w:t>7</w:t>
      </w:r>
      <w:r>
        <w:rPr>
          <w:rFonts w:hint="eastAsia" w:ascii="仿宋_GB2312" w:hAnsi="仿宋_GB2312" w:eastAsia="仿宋_GB2312" w:cs="仿宋_GB2312"/>
          <w:color w:val="auto"/>
          <w:spacing w:val="6"/>
          <w:sz w:val="30"/>
          <w:szCs w:val="30"/>
          <w:highlight w:val="none"/>
          <w:lang w:eastAsia="zh-CN" w:bidi="ar"/>
        </w:rPr>
        <w:t>分，实际得分</w:t>
      </w:r>
      <w:r>
        <w:rPr>
          <w:rFonts w:hint="eastAsia" w:ascii="仿宋_GB2312" w:hAnsi="仿宋_GB2312" w:eastAsia="仿宋_GB2312" w:cs="仿宋_GB2312"/>
          <w:color w:val="auto"/>
          <w:spacing w:val="6"/>
          <w:sz w:val="30"/>
          <w:szCs w:val="30"/>
          <w:highlight w:val="none"/>
          <w:lang w:val="en-US" w:eastAsia="zh-CN" w:bidi="ar"/>
        </w:rPr>
        <w:t>1</w:t>
      </w:r>
      <w:r>
        <w:rPr>
          <w:rFonts w:hint="eastAsia" w:ascii="仿宋_GB2312" w:hAnsi="仿宋_GB2312" w:eastAsia="仿宋_GB2312" w:cs="仿宋_GB2312"/>
          <w:color w:val="auto"/>
          <w:spacing w:val="6"/>
          <w:sz w:val="30"/>
          <w:szCs w:val="30"/>
          <w:highlight w:val="none"/>
          <w:lang w:eastAsia="zh-CN" w:bidi="ar"/>
        </w:rPr>
        <w:t>分，得分率</w:t>
      </w:r>
      <w:r>
        <w:rPr>
          <w:rFonts w:hint="eastAsia" w:ascii="仿宋_GB2312" w:hAnsi="仿宋_GB2312" w:eastAsia="仿宋_GB2312" w:cs="仿宋_GB2312"/>
          <w:color w:val="auto"/>
          <w:spacing w:val="6"/>
          <w:sz w:val="30"/>
          <w:szCs w:val="30"/>
          <w:highlight w:val="none"/>
          <w:lang w:val="en-US" w:eastAsia="zh-CN" w:bidi="ar"/>
        </w:rPr>
        <w:t>14.29%。</w:t>
      </w:r>
      <w:bookmarkEnd w:id="301"/>
      <w:r>
        <w:rPr>
          <w:rFonts w:hint="eastAsia" w:ascii="仿宋_GB2312" w:hAnsi="仿宋_GB2312" w:eastAsia="仿宋_GB2312" w:cs="仿宋_GB2312"/>
          <w:color w:val="auto"/>
          <w:spacing w:val="6"/>
          <w:sz w:val="30"/>
          <w:szCs w:val="30"/>
          <w:highlight w:val="none"/>
          <w:lang w:eastAsia="zh-CN" w:bidi="ar"/>
        </w:rPr>
        <w:t>扣分原因及相关说明：2013版《资助办法》在床位规模要求（引导规模化）、入住率要求（引导运营效率）、服务质量与管理制度要求（引导规范化）三项上均有明确规定，</w:t>
      </w:r>
      <w:r>
        <w:rPr>
          <w:rFonts w:hint="eastAsia" w:ascii="仿宋_GB2312" w:hAnsi="仿宋_GB2312" w:eastAsia="仿宋_GB2312" w:cs="仿宋_GB2312"/>
          <w:color w:val="auto"/>
          <w:spacing w:val="6"/>
          <w:sz w:val="30"/>
          <w:szCs w:val="30"/>
          <w:highlight w:val="none"/>
          <w:lang w:val="en-US" w:eastAsia="zh-CN" w:bidi="ar"/>
        </w:rPr>
        <w:t>但</w:t>
      </w:r>
      <w:r>
        <w:rPr>
          <w:rFonts w:hint="eastAsia" w:ascii="仿宋_GB2312" w:hAnsi="仿宋_GB2312" w:eastAsia="仿宋_GB2312" w:cs="仿宋_GB2312"/>
          <w:color w:val="auto"/>
          <w:spacing w:val="6"/>
          <w:sz w:val="30"/>
          <w:szCs w:val="30"/>
          <w:highlight w:val="none"/>
          <w:lang w:eastAsia="zh-CN" w:bidi="ar"/>
        </w:rPr>
        <w:t>在护理型床位要求（引导专业化）上存在缺失。</w:t>
      </w:r>
    </w:p>
    <w:p w14:paraId="7793125B">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54" w:firstLineChars="200"/>
        <w:jc w:val="both"/>
        <w:textAlignment w:val="auto"/>
        <w:rPr>
          <w:rFonts w:hint="eastAsia" w:ascii="仿宋_GB2312" w:hAnsi="仿宋_GB2312" w:eastAsia="仿宋_GB2312" w:cs="仿宋_GB2312"/>
          <w:color w:val="auto"/>
          <w:spacing w:val="6"/>
          <w:sz w:val="30"/>
          <w:szCs w:val="30"/>
          <w:highlight w:val="none"/>
          <w:lang w:eastAsia="zh-CN" w:bidi="ar"/>
        </w:rPr>
      </w:pPr>
      <w:r>
        <w:rPr>
          <w:rFonts w:hint="eastAsia" w:ascii="仿宋_GB2312" w:hAnsi="仿宋_GB2312" w:eastAsia="仿宋_GB2312" w:cs="仿宋_GB2312"/>
          <w:color w:val="auto"/>
          <w:spacing w:val="6"/>
          <w:sz w:val="30"/>
          <w:szCs w:val="30"/>
          <w:highlight w:val="none"/>
          <w:lang w:val="en-US" w:eastAsia="zh-CN" w:bidi="ar"/>
        </w:rPr>
        <w:t>二是</w:t>
      </w:r>
      <w:r>
        <w:rPr>
          <w:rFonts w:hint="eastAsia" w:ascii="仿宋_GB2312" w:hAnsi="仿宋_GB2312" w:eastAsia="仿宋_GB2312" w:cs="仿宋_GB2312"/>
          <w:color w:val="auto"/>
          <w:spacing w:val="6"/>
          <w:sz w:val="30"/>
          <w:szCs w:val="30"/>
          <w:highlight w:val="none"/>
          <w:lang w:eastAsia="zh-CN" w:bidi="ar"/>
        </w:rPr>
        <w:t>2013版《资助办法》第三条明确将“入住老人及亲属满意率达80%以上”列为资助的前置条件，但补贴申报材料清单中未要求提交任何能够佐证满意率达标的材料（如满意度调查问卷、调查记录、汇总表等原始资料）。2020—2024年各年度申报通知同样未将满意度调查资料列入申报材料要求。由于申报材料清单中无对应佐证要求，该条件在实际审核中无法有效核验，属于“有要求、无材料”的制度性缺口，与“资助条件与申报材料一致”的评分要求不符，导致地区提交满意度调查资料，如哈密市本级、哈密市伊州区等，部分地区未提交满意度调查资料，如喀什市疏勒县、乌鲁木齐市（水磨沟区、沙依巴克区）。</w:t>
      </w:r>
    </w:p>
    <w:p w14:paraId="6FDDB8E2">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54" w:firstLineChars="200"/>
        <w:jc w:val="both"/>
        <w:textAlignment w:val="auto"/>
        <w:rPr>
          <w:rFonts w:hint="eastAsia" w:ascii="仿宋_GB2312" w:hAnsi="仿宋_GB2312" w:eastAsia="仿宋_GB2312" w:cs="仿宋_GB2312"/>
          <w:color w:val="auto"/>
          <w:spacing w:val="6"/>
          <w:sz w:val="30"/>
          <w:szCs w:val="30"/>
          <w:highlight w:val="none"/>
          <w:lang w:eastAsia="zh-CN" w:bidi="ar"/>
        </w:rPr>
      </w:pPr>
      <w:r>
        <w:rPr>
          <w:rFonts w:hint="eastAsia" w:ascii="仿宋_GB2312" w:hAnsi="仿宋_GB2312" w:eastAsia="仿宋_GB2312" w:cs="仿宋_GB2312"/>
          <w:color w:val="auto"/>
          <w:spacing w:val="6"/>
          <w:sz w:val="30"/>
          <w:szCs w:val="30"/>
          <w:highlight w:val="none"/>
          <w:lang w:val="en-US" w:eastAsia="zh-CN" w:bidi="ar"/>
        </w:rPr>
        <w:t>三是</w:t>
      </w:r>
      <w:r>
        <w:rPr>
          <w:rFonts w:hint="eastAsia" w:ascii="仿宋_GB2312" w:hAnsi="仿宋_GB2312" w:eastAsia="仿宋_GB2312" w:cs="仿宋_GB2312"/>
          <w:color w:val="auto"/>
          <w:spacing w:val="6"/>
          <w:sz w:val="30"/>
          <w:szCs w:val="30"/>
          <w:highlight w:val="none"/>
          <w:lang w:eastAsia="zh-CN" w:bidi="ar"/>
        </w:rPr>
        <w:t>部分地区未按要求提供申报材料，如喀什地区（喀什市）仅提交入住名册，未提交月统计表，关键资料如养老机构重大风险隐患检查28项指标检查情况在要求提交的年度均未提交。乌鲁木齐市（水磨沟区、沙依巴克区）2020年度-2023年度未按月提交月统计表，部分养老机构申报材料仅有1-2个月的统计表。哈密市（本级和伊州区）未提交养老机构重大风险隐患检查28项指标检查情况等材料，仅有盖章情况说明。</w:t>
      </w:r>
    </w:p>
    <w:p w14:paraId="1EB1344E">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54" w:firstLineChars="200"/>
        <w:jc w:val="both"/>
        <w:textAlignment w:val="auto"/>
        <w:rPr>
          <w:rFonts w:hint="eastAsia" w:ascii="仿宋_GB2312" w:hAnsi="仿宋_GB2312" w:eastAsia="仿宋_GB2312" w:cs="仿宋_GB2312"/>
          <w:color w:val="auto"/>
          <w:spacing w:val="6"/>
          <w:sz w:val="30"/>
          <w:szCs w:val="30"/>
          <w:highlight w:val="none"/>
          <w:lang w:eastAsia="zh-CN" w:bidi="ar"/>
        </w:rPr>
      </w:pPr>
      <w:r>
        <w:rPr>
          <w:rFonts w:hint="eastAsia" w:ascii="仿宋_GB2312" w:hAnsi="仿宋_GB2312" w:eastAsia="仿宋_GB2312" w:cs="仿宋_GB2312"/>
          <w:color w:val="auto"/>
          <w:spacing w:val="6"/>
          <w:sz w:val="30"/>
          <w:szCs w:val="30"/>
          <w:highlight w:val="none"/>
          <w:lang w:val="en-US" w:eastAsia="zh-CN" w:bidi="ar"/>
        </w:rPr>
        <w:t>四是</w:t>
      </w:r>
      <w:r>
        <w:rPr>
          <w:rFonts w:hint="eastAsia" w:ascii="仿宋_GB2312" w:hAnsi="仿宋_GB2312" w:eastAsia="仿宋_GB2312" w:cs="仿宋_GB2312"/>
          <w:color w:val="auto"/>
          <w:spacing w:val="6"/>
          <w:sz w:val="30"/>
          <w:szCs w:val="30"/>
          <w:highlight w:val="none"/>
          <w:lang w:eastAsia="zh-CN" w:bidi="ar"/>
        </w:rPr>
        <w:t>部分地区档案资料归档不全，喀什地区疏勒县部分年度申报资料现场未找到，不符合资助办法中“各级民政部门对补助资金申请材料及时归档备查”的要求。</w:t>
      </w:r>
    </w:p>
    <w:p w14:paraId="719037B1">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54" w:firstLineChars="200"/>
        <w:jc w:val="both"/>
        <w:textAlignment w:val="auto"/>
        <w:rPr>
          <w:rFonts w:hint="eastAsia" w:ascii="仿宋_GB2312" w:hAnsi="仿宋_GB2312" w:eastAsia="仿宋_GB2312" w:cs="仿宋_GB2312"/>
          <w:color w:val="auto"/>
          <w:spacing w:val="6"/>
          <w:sz w:val="30"/>
          <w:szCs w:val="30"/>
          <w:highlight w:val="none"/>
          <w:lang w:eastAsia="zh-CN" w:bidi="ar"/>
        </w:rPr>
      </w:pPr>
      <w:r>
        <w:rPr>
          <w:rFonts w:hint="eastAsia" w:ascii="仿宋_GB2312" w:hAnsi="仿宋_GB2312" w:eastAsia="仿宋_GB2312" w:cs="仿宋_GB2312"/>
          <w:color w:val="auto"/>
          <w:spacing w:val="6"/>
          <w:sz w:val="30"/>
          <w:szCs w:val="30"/>
          <w:highlight w:val="none"/>
          <w:lang w:val="en-US" w:eastAsia="zh-CN" w:bidi="ar"/>
        </w:rPr>
        <w:t>五是</w:t>
      </w:r>
      <w:r>
        <w:rPr>
          <w:rFonts w:hint="eastAsia" w:ascii="仿宋_GB2312" w:hAnsi="仿宋_GB2312" w:eastAsia="仿宋_GB2312" w:cs="仿宋_GB2312"/>
          <w:color w:val="auto"/>
          <w:spacing w:val="6"/>
          <w:sz w:val="30"/>
          <w:szCs w:val="30"/>
          <w:highlight w:val="none"/>
          <w:lang w:eastAsia="zh-CN" w:bidi="ar"/>
        </w:rPr>
        <w:t>经逐项检查，《资助办法》2013版及配套文件在资助条件、审核流程、资金管理、承诺制等核心条款中存在至少</w:t>
      </w:r>
      <w:r>
        <w:rPr>
          <w:rFonts w:hint="eastAsia" w:ascii="仿宋_GB2312" w:hAnsi="仿宋_GB2312" w:eastAsia="仿宋_GB2312" w:cs="仿宋_GB2312"/>
          <w:color w:val="auto"/>
          <w:spacing w:val="6"/>
          <w:sz w:val="30"/>
          <w:szCs w:val="30"/>
          <w:highlight w:val="none"/>
          <w:lang w:val="en-US" w:eastAsia="zh-CN" w:bidi="ar"/>
        </w:rPr>
        <w:t>8</w:t>
      </w:r>
      <w:r>
        <w:rPr>
          <w:rFonts w:hint="eastAsia" w:ascii="仿宋_GB2312" w:hAnsi="仿宋_GB2312" w:eastAsia="仿宋_GB2312" w:cs="仿宋_GB2312"/>
          <w:color w:val="auto"/>
          <w:spacing w:val="6"/>
          <w:sz w:val="30"/>
          <w:szCs w:val="30"/>
          <w:highlight w:val="none"/>
          <w:lang w:eastAsia="zh-CN" w:bidi="ar"/>
        </w:rPr>
        <w:t>处规定模糊或易产生争议的条款。</w:t>
      </w:r>
    </w:p>
    <w:p w14:paraId="6A6A57E3">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54" w:firstLineChars="200"/>
        <w:jc w:val="both"/>
        <w:textAlignment w:val="auto"/>
        <w:rPr>
          <w:rFonts w:hint="default"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sz w:val="30"/>
          <w:szCs w:val="30"/>
          <w:highlight w:val="none"/>
          <w:lang w:eastAsia="zh-CN" w:bidi="ar"/>
        </w:rPr>
        <w:t>争议1：入住率计算口径和取数方式不明确。第三条第（四）款“入住率达到50%以上”，政策仅提出50%的入住率门槛，但未明确计算周期（出现年度平均入住率、月入住率、申报当月入住率计算口径）和入住率分子“入住人数”取数方式（出现当月实际在院人数、当月住满一个月的人数、跨月拼凑折算满月人数等方式）。</w:t>
      </w:r>
    </w:p>
    <w:p w14:paraId="0CFD5173">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54" w:firstLineChars="200"/>
        <w:jc w:val="both"/>
        <w:textAlignment w:val="auto"/>
        <w:rPr>
          <w:rFonts w:hint="eastAsia" w:ascii="仿宋_GB2312" w:hAnsi="仿宋_GB2312" w:eastAsia="仿宋_GB2312" w:cs="仿宋_GB2312"/>
          <w:color w:val="auto"/>
          <w:spacing w:val="6"/>
          <w:sz w:val="30"/>
          <w:szCs w:val="30"/>
          <w:highlight w:val="none"/>
          <w:lang w:eastAsia="zh-CN" w:bidi="ar"/>
        </w:rPr>
      </w:pPr>
      <w:r>
        <w:rPr>
          <w:rFonts w:hint="eastAsia" w:ascii="仿宋_GB2312" w:hAnsi="仿宋_GB2312" w:eastAsia="仿宋_GB2312" w:cs="仿宋_GB2312"/>
          <w:color w:val="auto"/>
          <w:spacing w:val="6"/>
          <w:sz w:val="30"/>
          <w:szCs w:val="30"/>
          <w:highlight w:val="none"/>
          <w:lang w:eastAsia="zh-CN" w:bidi="ar"/>
        </w:rPr>
        <w:t>争议2：补贴周期不明确。政策未明确补贴周期是按自然年度（1月1日至12月31日）计算，还是允许按机构实际运营年度计算。实践中出现疏勒县康乐园老年护养院按“2023年7月至2024年7月”申报的情况，与普遍执行的自然年度口径存在差异。</w:t>
      </w:r>
    </w:p>
    <w:p w14:paraId="3A5E7068">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54" w:firstLineChars="200"/>
        <w:jc w:val="both"/>
        <w:textAlignment w:val="auto"/>
        <w:rPr>
          <w:rFonts w:hint="eastAsia" w:ascii="仿宋_GB2312" w:hAnsi="仿宋_GB2312" w:eastAsia="仿宋_GB2312" w:cs="仿宋_GB2312"/>
          <w:color w:val="auto"/>
          <w:spacing w:val="6"/>
          <w:sz w:val="30"/>
          <w:szCs w:val="30"/>
          <w:highlight w:val="none"/>
          <w:lang w:eastAsia="zh-CN" w:bidi="ar"/>
        </w:rPr>
      </w:pPr>
      <w:r>
        <w:rPr>
          <w:rFonts w:hint="eastAsia" w:ascii="仿宋_GB2312" w:hAnsi="仿宋_GB2312" w:eastAsia="仿宋_GB2312" w:cs="仿宋_GB2312"/>
          <w:color w:val="auto"/>
          <w:spacing w:val="6"/>
          <w:sz w:val="30"/>
          <w:szCs w:val="30"/>
          <w:highlight w:val="none"/>
          <w:lang w:eastAsia="zh-CN" w:bidi="ar"/>
        </w:rPr>
        <w:t>争议3：运营补贴基数“住满一个月（含）以上的老年人实际占用床位数”的取数方式不明确。政策执行中以“月”为统计单位，但“住满一个月”本身是一个跨日期的概念。比如老人1月入住20天、2月入住20天，单月均未满月，按月剔除后两个月都无法获得补贴，但全年累计已入住40天，实际已满足“住满一个月以上”的条件。政策未明确应按自然月计算还是按累计天数折算，导致执行中存在两种截然不同的处理方式。</w:t>
      </w:r>
    </w:p>
    <w:p w14:paraId="259233C0">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54" w:firstLineChars="200"/>
        <w:jc w:val="both"/>
        <w:textAlignment w:val="auto"/>
        <w:rPr>
          <w:rFonts w:hint="eastAsia" w:ascii="仿宋_GB2312" w:hAnsi="仿宋_GB2312" w:eastAsia="仿宋_GB2312" w:cs="仿宋_GB2312"/>
          <w:color w:val="auto"/>
          <w:spacing w:val="6"/>
          <w:sz w:val="30"/>
          <w:szCs w:val="30"/>
          <w:highlight w:val="none"/>
          <w:lang w:eastAsia="zh-CN" w:bidi="ar"/>
        </w:rPr>
      </w:pPr>
      <w:r>
        <w:rPr>
          <w:rFonts w:hint="eastAsia" w:ascii="仿宋_GB2312" w:hAnsi="仿宋_GB2312" w:eastAsia="仿宋_GB2312" w:cs="仿宋_GB2312"/>
          <w:color w:val="auto"/>
          <w:spacing w:val="6"/>
          <w:sz w:val="30"/>
          <w:szCs w:val="30"/>
          <w:highlight w:val="none"/>
          <w:lang w:eastAsia="zh-CN" w:bidi="ar"/>
        </w:rPr>
        <w:t>争议4：运营补贴的补贴对象存在歧义。第四条“根据养老机构在院住满一个月（含）以上的老年人实际占用床位数，按照每人每月100元的标准给予运营补贴”，前半句将补贴对象指向“实际占用床位数”（按床位），后半句以“每人每月”为计算单位（按人次）。实践中，一名老人入住双人间并缴纳两张床位费，实际占用两张床，按床位算应补贴200元，按人头算仅补贴100元，政策未明确适用哪种计算方式，存在根本性歧义。</w:t>
      </w:r>
    </w:p>
    <w:p w14:paraId="670C1DC8">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54" w:firstLineChars="200"/>
        <w:jc w:val="both"/>
        <w:textAlignment w:val="auto"/>
        <w:rPr>
          <w:rFonts w:hint="eastAsia" w:ascii="仿宋_GB2312" w:hAnsi="仿宋_GB2312" w:eastAsia="仿宋_GB2312" w:cs="仿宋_GB2312"/>
          <w:color w:val="auto"/>
          <w:spacing w:val="6"/>
          <w:sz w:val="30"/>
          <w:szCs w:val="30"/>
          <w:highlight w:val="none"/>
          <w:lang w:eastAsia="zh-CN" w:bidi="ar"/>
        </w:rPr>
      </w:pPr>
      <w:r>
        <w:rPr>
          <w:rFonts w:hint="eastAsia" w:ascii="仿宋_GB2312" w:hAnsi="仿宋_GB2312" w:eastAsia="仿宋_GB2312" w:cs="仿宋_GB2312"/>
          <w:color w:val="auto"/>
          <w:spacing w:val="6"/>
          <w:sz w:val="30"/>
          <w:szCs w:val="30"/>
          <w:highlight w:val="none"/>
          <w:lang w:eastAsia="zh-CN" w:bidi="ar"/>
        </w:rPr>
        <w:t>争议5：“公建民营”养老机构是否可享受一次性建设补贴不明确。关于“公建民营”养老机构能否享受一次性建设补贴，政策文本未作明确界定，导致各地执行标准不一，乌鲁木齐市认定不可享受，昌吉州认定可以享受。实践中还发现一例特殊情形：昌吉州呼图壁县仁和老年公寓为“公建民营”养老机构，其运营协议明确约定运营方须于2015年在园区投资不少于200万元，运营方实际承担了建设投入责任。在此情形下，一刀切认定“公建民营”养老机构不可享受一次性建设补贴，未能体现运营方实际投资的事实。</w:t>
      </w:r>
    </w:p>
    <w:p w14:paraId="716D5C78">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54" w:firstLineChars="200"/>
        <w:jc w:val="both"/>
        <w:textAlignment w:val="auto"/>
        <w:rPr>
          <w:rFonts w:hint="default"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sz w:val="30"/>
          <w:szCs w:val="30"/>
          <w:highlight w:val="none"/>
          <w:lang w:eastAsia="zh-CN" w:bidi="ar"/>
        </w:rPr>
        <w:t>争议6：“老年人”年龄界定不明确。</w:t>
      </w:r>
      <w:r>
        <w:rPr>
          <w:rFonts w:hint="eastAsia" w:ascii="仿宋_GB2312" w:hAnsi="仿宋_GB2312" w:eastAsia="仿宋_GB2312" w:cs="仿宋_GB2312"/>
          <w:color w:val="auto"/>
          <w:spacing w:val="6"/>
          <w:sz w:val="30"/>
          <w:szCs w:val="30"/>
          <w:highlight w:val="none"/>
          <w:lang w:val="en-US" w:eastAsia="zh-CN" w:bidi="ar"/>
        </w:rPr>
        <w:t>实地评估发现，部分地区出现未满60岁入住人群纳入运营补贴范围的情况（如孤儿、残障人士等年龄远远低于60岁但入住养老机构的人群），如喀什地区、乌鲁木齐市。</w:t>
      </w:r>
    </w:p>
    <w:p w14:paraId="60CA2880">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54" w:firstLineChars="200"/>
        <w:jc w:val="both"/>
        <w:textAlignment w:val="auto"/>
        <w:rPr>
          <w:rFonts w:hint="eastAsia" w:ascii="仿宋_GB2312" w:hAnsi="仿宋_GB2312" w:eastAsia="仿宋_GB2312" w:cs="仿宋_GB2312"/>
          <w:color w:val="auto"/>
          <w:spacing w:val="6"/>
          <w:sz w:val="30"/>
          <w:szCs w:val="30"/>
          <w:highlight w:val="none"/>
          <w:lang w:eastAsia="zh-CN" w:bidi="ar"/>
        </w:rPr>
      </w:pPr>
      <w:r>
        <w:rPr>
          <w:rFonts w:hint="eastAsia" w:ascii="仿宋_GB2312" w:hAnsi="仿宋_GB2312" w:eastAsia="仿宋_GB2312" w:cs="仿宋_GB2312"/>
          <w:color w:val="auto"/>
          <w:spacing w:val="6"/>
          <w:sz w:val="30"/>
          <w:szCs w:val="30"/>
          <w:highlight w:val="none"/>
          <w:lang w:eastAsia="zh-CN" w:bidi="ar"/>
        </w:rPr>
        <w:t>争议7：承诺制中“社会福利性质”界定不明确。政策要求机构承诺“不得擅自改变社会福利性质”，但未明确定义“社会福利性质”的具体内涵和判断标准。</w:t>
      </w:r>
    </w:p>
    <w:p w14:paraId="1FD2C2BB">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54" w:firstLineChars="200"/>
        <w:jc w:val="both"/>
        <w:textAlignment w:val="auto"/>
        <w:rPr>
          <w:rFonts w:hint="eastAsia"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sz w:val="30"/>
          <w:szCs w:val="30"/>
          <w:highlight w:val="none"/>
          <w:lang w:eastAsia="zh-CN" w:bidi="ar"/>
        </w:rPr>
        <w:t>争议8：根据自治区民政厅发布的各年度补贴申报工作通知，申报工作中涉及需预估的部分有明确规定。以2020年度为例，《民办养老机构工作报告书（2020年度）》模板中指定10—12月为可预估运营补贴人数的月份。但各地实际于8—9月启动申报工作，申报通知要求的报送截止时间亦在9月，10—12月的预估规定与实际申报工作的时间节点存在偏差，导致该规定在实际执行中难以适用。此后年度已结合申报工作实际调整为8—12月均可预估；二是模板中明确以确定入住月份入住人数的平均值来测算预估入住人数，但是预估的形式在各地执行的并未如此统一，出现了平均数以外的其他预估方式，部分预估方式明显高于平均数，且不符合入住人数变化趋势。</w:t>
      </w:r>
    </w:p>
    <w:p w14:paraId="7345FEB0">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sz w:val="30"/>
          <w:szCs w:val="30"/>
          <w:highlight w:val="none"/>
          <w:lang w:eastAsia="zh-CN" w:bidi="ar"/>
        </w:rPr>
        <w:t>2.</w:t>
      </w:r>
      <w:r>
        <w:rPr>
          <w:rFonts w:hint="eastAsia" w:ascii="仿宋_GB2312" w:hAnsi="仿宋_GB2312" w:eastAsia="仿宋_GB2312" w:cs="仿宋_GB2312"/>
          <w:color w:val="auto"/>
          <w:spacing w:val="6"/>
          <w:sz w:val="30"/>
          <w:szCs w:val="30"/>
          <w:highlight w:val="none"/>
          <w:lang w:val="en-US" w:eastAsia="zh-CN" w:bidi="ar"/>
        </w:rPr>
        <w:t>资金管理</w:t>
      </w:r>
    </w:p>
    <w:p w14:paraId="40424093">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eastAsia="zh-CN" w:bidi="ar"/>
        </w:rPr>
      </w:pPr>
      <w:r>
        <w:rPr>
          <w:rFonts w:hint="eastAsia" w:ascii="仿宋_GB2312" w:hAnsi="仿宋_GB2312" w:eastAsia="仿宋_GB2312" w:cs="仿宋_GB2312"/>
          <w:color w:val="auto"/>
          <w:spacing w:val="6"/>
          <w:sz w:val="30"/>
          <w:szCs w:val="30"/>
          <w:highlight w:val="none"/>
          <w:lang w:val="en-US" w:eastAsia="zh-CN" w:bidi="ar"/>
        </w:rPr>
        <w:t>资金管理</w:t>
      </w:r>
      <w:r>
        <w:rPr>
          <w:rFonts w:hint="eastAsia" w:ascii="仿宋_GB2312" w:hAnsi="仿宋_GB2312" w:eastAsia="仿宋_GB2312" w:cs="仿宋_GB2312"/>
          <w:color w:val="auto"/>
          <w:spacing w:val="6"/>
          <w:sz w:val="30"/>
          <w:szCs w:val="30"/>
          <w:highlight w:val="none"/>
          <w:lang w:eastAsia="zh-CN" w:bidi="ar"/>
        </w:rPr>
        <w:t>下设资金执行情况、配套资金落实情况、资金使用有效性、补贴资金使用合规性、固定资产管理规范性</w:t>
      </w:r>
      <w:r>
        <w:rPr>
          <w:rFonts w:hint="eastAsia" w:ascii="仿宋_GB2312" w:hAnsi="仿宋_GB2312" w:eastAsia="仿宋_GB2312" w:cs="仿宋_GB2312"/>
          <w:color w:val="auto"/>
          <w:spacing w:val="6"/>
          <w:sz w:val="30"/>
          <w:szCs w:val="30"/>
          <w:highlight w:val="none"/>
          <w:lang w:val="en-US" w:eastAsia="zh-CN" w:bidi="ar"/>
        </w:rPr>
        <w:t>5</w:t>
      </w:r>
      <w:r>
        <w:rPr>
          <w:rFonts w:hint="eastAsia" w:ascii="仿宋_GB2312" w:hAnsi="仿宋_GB2312" w:eastAsia="仿宋_GB2312" w:cs="仿宋_GB2312"/>
          <w:color w:val="auto"/>
          <w:spacing w:val="6"/>
          <w:sz w:val="30"/>
          <w:szCs w:val="30"/>
          <w:highlight w:val="none"/>
          <w:lang w:eastAsia="zh-CN" w:bidi="ar"/>
        </w:rPr>
        <w:t>个三级指标，指标权重</w:t>
      </w:r>
      <w:r>
        <w:rPr>
          <w:rFonts w:hint="eastAsia" w:ascii="仿宋_GB2312" w:hAnsi="仿宋_GB2312" w:eastAsia="仿宋_GB2312" w:cs="仿宋_GB2312"/>
          <w:color w:val="auto"/>
          <w:spacing w:val="6"/>
          <w:sz w:val="30"/>
          <w:szCs w:val="30"/>
          <w:highlight w:val="none"/>
          <w:lang w:val="en-US" w:eastAsia="zh-CN" w:bidi="ar"/>
        </w:rPr>
        <w:t>23</w:t>
      </w:r>
      <w:r>
        <w:rPr>
          <w:rFonts w:hint="eastAsia" w:ascii="仿宋_GB2312" w:hAnsi="仿宋_GB2312" w:eastAsia="仿宋_GB2312" w:cs="仿宋_GB2312"/>
          <w:color w:val="auto"/>
          <w:spacing w:val="6"/>
          <w:sz w:val="30"/>
          <w:szCs w:val="30"/>
          <w:highlight w:val="none"/>
          <w:lang w:eastAsia="zh-CN" w:bidi="ar"/>
        </w:rPr>
        <w:t>分，实际得分</w:t>
      </w:r>
      <w:r>
        <w:rPr>
          <w:rFonts w:hint="eastAsia" w:ascii="仿宋_GB2312" w:hAnsi="仿宋_GB2312" w:eastAsia="仿宋_GB2312" w:cs="仿宋_GB2312"/>
          <w:color w:val="auto"/>
          <w:spacing w:val="6"/>
          <w:sz w:val="30"/>
          <w:szCs w:val="30"/>
          <w:highlight w:val="none"/>
          <w:lang w:val="en-US" w:eastAsia="zh-CN" w:bidi="ar"/>
        </w:rPr>
        <w:t>18.70</w:t>
      </w:r>
      <w:r>
        <w:rPr>
          <w:rFonts w:hint="eastAsia" w:ascii="仿宋_GB2312" w:hAnsi="仿宋_GB2312" w:eastAsia="仿宋_GB2312" w:cs="仿宋_GB2312"/>
          <w:color w:val="auto"/>
          <w:spacing w:val="6"/>
          <w:sz w:val="30"/>
          <w:szCs w:val="30"/>
          <w:highlight w:val="none"/>
          <w:lang w:eastAsia="zh-CN" w:bidi="ar"/>
        </w:rPr>
        <w:t>分，得分率</w:t>
      </w:r>
      <w:r>
        <w:rPr>
          <w:rFonts w:hint="eastAsia" w:ascii="仿宋_GB2312" w:hAnsi="仿宋_GB2312" w:eastAsia="仿宋_GB2312" w:cs="仿宋_GB2312"/>
          <w:color w:val="auto"/>
          <w:spacing w:val="6"/>
          <w:sz w:val="30"/>
          <w:szCs w:val="30"/>
          <w:highlight w:val="none"/>
          <w:lang w:val="en-US" w:eastAsia="zh-CN" w:bidi="ar"/>
        </w:rPr>
        <w:t>81.30</w:t>
      </w:r>
      <w:r>
        <w:rPr>
          <w:rFonts w:hint="eastAsia" w:ascii="仿宋_GB2312" w:hAnsi="仿宋_GB2312" w:eastAsia="仿宋_GB2312" w:cs="仿宋_GB2312"/>
          <w:color w:val="auto"/>
          <w:spacing w:val="6"/>
          <w:sz w:val="30"/>
          <w:szCs w:val="30"/>
          <w:highlight w:val="none"/>
          <w:lang w:eastAsia="zh-CN" w:bidi="ar"/>
        </w:rPr>
        <w:t>%。</w:t>
      </w:r>
    </w:p>
    <w:p w14:paraId="187345C3">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54" w:firstLineChars="200"/>
        <w:textAlignment w:val="auto"/>
        <w:outlineLvl w:val="9"/>
        <w:rPr>
          <w:rFonts w:hint="eastAsia" w:ascii="仿宋_GB2312" w:hAnsi="仿宋_GB2312" w:eastAsia="仿宋_GB2312" w:cs="仿宋_GB2312"/>
          <w:color w:val="auto"/>
          <w:spacing w:val="6"/>
          <w:sz w:val="30"/>
          <w:szCs w:val="30"/>
          <w:highlight w:val="none"/>
          <w:lang w:eastAsia="zh-CN" w:bidi="ar"/>
        </w:rPr>
      </w:pPr>
      <w:r>
        <w:rPr>
          <w:rFonts w:hint="eastAsia" w:ascii="仿宋_GB2312" w:hAnsi="仿宋_GB2312" w:eastAsia="仿宋_GB2312" w:cs="仿宋_GB2312"/>
          <w:color w:val="auto"/>
          <w:spacing w:val="6"/>
          <w:sz w:val="30"/>
          <w:szCs w:val="30"/>
          <w:highlight w:val="none"/>
          <w:lang w:eastAsia="zh-CN" w:bidi="ar"/>
        </w:rPr>
        <w:t>（1）资金执行情况指标分值</w:t>
      </w:r>
      <w:r>
        <w:rPr>
          <w:rFonts w:hint="eastAsia" w:ascii="仿宋_GB2312" w:hAnsi="仿宋_GB2312" w:eastAsia="仿宋_GB2312" w:cs="仿宋_GB2312"/>
          <w:color w:val="auto"/>
          <w:spacing w:val="6"/>
          <w:sz w:val="30"/>
          <w:szCs w:val="30"/>
          <w:highlight w:val="none"/>
          <w:lang w:val="en-US" w:eastAsia="zh-CN" w:bidi="ar"/>
        </w:rPr>
        <w:t>4</w:t>
      </w:r>
      <w:r>
        <w:rPr>
          <w:rFonts w:hint="eastAsia" w:ascii="仿宋_GB2312" w:hAnsi="仿宋_GB2312" w:eastAsia="仿宋_GB2312" w:cs="仿宋_GB2312"/>
          <w:color w:val="auto"/>
          <w:spacing w:val="6"/>
          <w:sz w:val="30"/>
          <w:szCs w:val="30"/>
          <w:highlight w:val="none"/>
          <w:lang w:eastAsia="zh-CN" w:bidi="ar"/>
        </w:rPr>
        <w:t>分，实际得分</w:t>
      </w:r>
      <w:r>
        <w:rPr>
          <w:rFonts w:hint="eastAsia" w:ascii="仿宋_GB2312" w:hAnsi="仿宋_GB2312" w:eastAsia="仿宋_GB2312" w:cs="仿宋_GB2312"/>
          <w:color w:val="auto"/>
          <w:spacing w:val="6"/>
          <w:sz w:val="30"/>
          <w:szCs w:val="30"/>
          <w:highlight w:val="none"/>
          <w:lang w:val="en-US" w:eastAsia="zh-CN" w:bidi="ar"/>
        </w:rPr>
        <w:t>3.70</w:t>
      </w:r>
      <w:r>
        <w:rPr>
          <w:rFonts w:hint="eastAsia" w:ascii="仿宋_GB2312" w:hAnsi="仿宋_GB2312" w:eastAsia="仿宋_GB2312" w:cs="仿宋_GB2312"/>
          <w:color w:val="auto"/>
          <w:spacing w:val="6"/>
          <w:sz w:val="30"/>
          <w:szCs w:val="30"/>
          <w:highlight w:val="none"/>
          <w:lang w:eastAsia="zh-CN" w:bidi="ar"/>
        </w:rPr>
        <w:t>分，得分率</w:t>
      </w:r>
      <w:r>
        <w:rPr>
          <w:rFonts w:hint="eastAsia" w:ascii="仿宋_GB2312" w:hAnsi="仿宋_GB2312" w:eastAsia="仿宋_GB2312" w:cs="仿宋_GB2312"/>
          <w:color w:val="auto"/>
          <w:spacing w:val="6"/>
          <w:sz w:val="30"/>
          <w:szCs w:val="30"/>
          <w:highlight w:val="none"/>
          <w:lang w:val="en-US" w:eastAsia="zh-CN" w:bidi="ar"/>
        </w:rPr>
        <w:t>92.50</w:t>
      </w:r>
      <w:r>
        <w:rPr>
          <w:rFonts w:hint="eastAsia" w:ascii="仿宋_GB2312" w:hAnsi="仿宋_GB2312" w:eastAsia="仿宋_GB2312" w:cs="仿宋_GB2312"/>
          <w:color w:val="auto"/>
          <w:spacing w:val="6"/>
          <w:sz w:val="30"/>
          <w:szCs w:val="30"/>
          <w:highlight w:val="none"/>
          <w:lang w:eastAsia="zh-CN" w:bidi="ar"/>
        </w:rPr>
        <w:t>%。扣分原因及相关说明：2021年自治区财政补助预算资金下达至各地州市的执行率为98.92%；2022年自治区财政补助预算资金下达至各地州市的执行率为93.06%；2023年自治区财政补助预算资金下达至各地州市的执行率为97.39%；2024年自治区财政补助预算资金下达至各地州市的执行率为94.69%；2025年自治区财政补助预算资金下达至各地州市的执行率为100%；2021—2025年各年度自治区财政补助预算资金拨付至各地州的比例平均为96.79%。</w:t>
      </w:r>
    </w:p>
    <w:p w14:paraId="54CAE34B">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54" w:firstLineChars="200"/>
        <w:textAlignment w:val="auto"/>
        <w:outlineLvl w:val="9"/>
        <w:rPr>
          <w:rFonts w:hint="eastAsia" w:ascii="仿宋_GB2312" w:hAnsi="仿宋_GB2312" w:eastAsia="仿宋_GB2312" w:cs="仿宋_GB2312"/>
          <w:color w:val="auto"/>
          <w:spacing w:val="6"/>
          <w:sz w:val="30"/>
          <w:szCs w:val="30"/>
          <w:highlight w:val="none"/>
          <w:lang w:eastAsia="zh-CN" w:bidi="ar"/>
        </w:rPr>
      </w:pPr>
      <w:r>
        <w:rPr>
          <w:rFonts w:hint="eastAsia" w:ascii="仿宋_GB2312" w:hAnsi="仿宋_GB2312" w:eastAsia="仿宋_GB2312" w:cs="仿宋_GB2312"/>
          <w:color w:val="auto"/>
          <w:spacing w:val="6"/>
          <w:sz w:val="30"/>
          <w:szCs w:val="30"/>
          <w:highlight w:val="none"/>
          <w:lang w:eastAsia="zh-CN" w:bidi="ar"/>
        </w:rPr>
        <w:t>2021年自治区财政补助预算资金</w:t>
      </w:r>
      <w:r>
        <w:rPr>
          <w:rFonts w:hint="eastAsia" w:ascii="仿宋_GB2312" w:hAnsi="仿宋_GB2312" w:eastAsia="仿宋_GB2312" w:cs="仿宋_GB2312"/>
          <w:color w:val="auto"/>
          <w:spacing w:val="6"/>
          <w:sz w:val="30"/>
          <w:szCs w:val="30"/>
          <w:highlight w:val="none"/>
          <w:lang w:val="en-US" w:eastAsia="zh-CN" w:bidi="ar"/>
        </w:rPr>
        <w:t>兑现</w:t>
      </w:r>
      <w:r>
        <w:rPr>
          <w:rFonts w:hint="eastAsia" w:ascii="仿宋_GB2312" w:hAnsi="仿宋_GB2312" w:eastAsia="仿宋_GB2312" w:cs="仿宋_GB2312"/>
          <w:color w:val="auto"/>
          <w:spacing w:val="6"/>
          <w:sz w:val="30"/>
          <w:szCs w:val="30"/>
          <w:highlight w:val="none"/>
          <w:lang w:eastAsia="zh-CN" w:bidi="ar"/>
        </w:rPr>
        <w:t>至各机构的比例为88.62%；2022年自治区财政补助预算资金</w:t>
      </w:r>
      <w:r>
        <w:rPr>
          <w:rFonts w:hint="eastAsia" w:ascii="仿宋_GB2312" w:hAnsi="仿宋_GB2312" w:eastAsia="仿宋_GB2312" w:cs="仿宋_GB2312"/>
          <w:color w:val="auto"/>
          <w:spacing w:val="6"/>
          <w:sz w:val="30"/>
          <w:szCs w:val="30"/>
          <w:highlight w:val="none"/>
          <w:lang w:val="en-US" w:eastAsia="zh-CN" w:bidi="ar"/>
        </w:rPr>
        <w:t>兑现</w:t>
      </w:r>
      <w:r>
        <w:rPr>
          <w:rFonts w:hint="eastAsia" w:ascii="仿宋_GB2312" w:hAnsi="仿宋_GB2312" w:eastAsia="仿宋_GB2312" w:cs="仿宋_GB2312"/>
          <w:color w:val="auto"/>
          <w:spacing w:val="6"/>
          <w:sz w:val="30"/>
          <w:szCs w:val="30"/>
          <w:highlight w:val="none"/>
          <w:lang w:eastAsia="zh-CN" w:bidi="ar"/>
        </w:rPr>
        <w:t>至各机构的比例为93.14%；2023年自治区财政补助预算资金</w:t>
      </w:r>
      <w:r>
        <w:rPr>
          <w:rFonts w:hint="eastAsia" w:ascii="仿宋_GB2312" w:hAnsi="仿宋_GB2312" w:eastAsia="仿宋_GB2312" w:cs="仿宋_GB2312"/>
          <w:color w:val="auto"/>
          <w:spacing w:val="6"/>
          <w:sz w:val="30"/>
          <w:szCs w:val="30"/>
          <w:highlight w:val="none"/>
          <w:lang w:val="en-US" w:eastAsia="zh-CN" w:bidi="ar"/>
        </w:rPr>
        <w:t>兑现</w:t>
      </w:r>
      <w:r>
        <w:rPr>
          <w:rFonts w:hint="eastAsia" w:ascii="仿宋_GB2312" w:hAnsi="仿宋_GB2312" w:eastAsia="仿宋_GB2312" w:cs="仿宋_GB2312"/>
          <w:color w:val="auto"/>
          <w:spacing w:val="6"/>
          <w:sz w:val="30"/>
          <w:szCs w:val="30"/>
          <w:highlight w:val="none"/>
          <w:lang w:eastAsia="zh-CN" w:bidi="ar"/>
        </w:rPr>
        <w:t>至各机构的比例为97.61%；2024年自治区财政补助预算资金</w:t>
      </w:r>
      <w:r>
        <w:rPr>
          <w:rFonts w:hint="eastAsia" w:ascii="仿宋_GB2312" w:hAnsi="仿宋_GB2312" w:eastAsia="仿宋_GB2312" w:cs="仿宋_GB2312"/>
          <w:color w:val="auto"/>
          <w:spacing w:val="6"/>
          <w:sz w:val="30"/>
          <w:szCs w:val="30"/>
          <w:highlight w:val="none"/>
          <w:lang w:val="en-US" w:eastAsia="zh-CN" w:bidi="ar"/>
        </w:rPr>
        <w:t>兑现</w:t>
      </w:r>
      <w:r>
        <w:rPr>
          <w:rFonts w:hint="eastAsia" w:ascii="仿宋_GB2312" w:hAnsi="仿宋_GB2312" w:eastAsia="仿宋_GB2312" w:cs="仿宋_GB2312"/>
          <w:color w:val="auto"/>
          <w:spacing w:val="6"/>
          <w:sz w:val="30"/>
          <w:szCs w:val="30"/>
          <w:highlight w:val="none"/>
          <w:lang w:eastAsia="zh-CN" w:bidi="ar"/>
        </w:rPr>
        <w:t>至各机构的比例为81.99%；2025年自治区财政补助预算资金</w:t>
      </w:r>
      <w:r>
        <w:rPr>
          <w:rFonts w:hint="eastAsia" w:ascii="仿宋_GB2312" w:hAnsi="仿宋_GB2312" w:eastAsia="仿宋_GB2312" w:cs="仿宋_GB2312"/>
          <w:color w:val="auto"/>
          <w:spacing w:val="6"/>
          <w:sz w:val="30"/>
          <w:szCs w:val="30"/>
          <w:highlight w:val="none"/>
          <w:lang w:val="en-US" w:eastAsia="zh-CN" w:bidi="ar"/>
        </w:rPr>
        <w:t>兑现</w:t>
      </w:r>
      <w:r>
        <w:rPr>
          <w:rFonts w:hint="eastAsia" w:ascii="仿宋_GB2312" w:hAnsi="仿宋_GB2312" w:eastAsia="仿宋_GB2312" w:cs="仿宋_GB2312"/>
          <w:color w:val="auto"/>
          <w:spacing w:val="6"/>
          <w:sz w:val="30"/>
          <w:szCs w:val="30"/>
          <w:highlight w:val="none"/>
          <w:lang w:eastAsia="zh-CN" w:bidi="ar"/>
        </w:rPr>
        <w:t>至各机构的比例为62.34%；2021—2025年各年度自治区财政补助预算资金</w:t>
      </w:r>
      <w:r>
        <w:rPr>
          <w:rFonts w:hint="eastAsia" w:ascii="仿宋_GB2312" w:hAnsi="仿宋_GB2312" w:eastAsia="仿宋_GB2312" w:cs="仿宋_GB2312"/>
          <w:color w:val="auto"/>
          <w:spacing w:val="6"/>
          <w:sz w:val="30"/>
          <w:szCs w:val="30"/>
          <w:highlight w:val="none"/>
          <w:lang w:val="en-US" w:eastAsia="zh-CN" w:bidi="ar"/>
        </w:rPr>
        <w:t>兑现</w:t>
      </w:r>
      <w:r>
        <w:rPr>
          <w:rFonts w:hint="eastAsia" w:ascii="仿宋_GB2312" w:hAnsi="仿宋_GB2312" w:eastAsia="仿宋_GB2312" w:cs="仿宋_GB2312"/>
          <w:color w:val="auto"/>
          <w:spacing w:val="6"/>
          <w:sz w:val="30"/>
          <w:szCs w:val="30"/>
          <w:highlight w:val="none"/>
          <w:lang w:eastAsia="zh-CN" w:bidi="ar"/>
        </w:rPr>
        <w:t>至各机构的比例平均为88.13%。</w:t>
      </w:r>
    </w:p>
    <w:p w14:paraId="70F9DB13">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54" w:firstLineChars="200"/>
        <w:textAlignment w:val="auto"/>
        <w:outlineLvl w:val="9"/>
        <w:rPr>
          <w:rFonts w:hint="eastAsia"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b w:val="0"/>
          <w:bCs w:val="0"/>
          <w:color w:val="auto"/>
          <w:spacing w:val="6"/>
          <w:sz w:val="30"/>
          <w:szCs w:val="30"/>
          <w:highlight w:val="none"/>
          <w:lang w:val="en-US" w:eastAsia="zh-CN" w:bidi="ar"/>
        </w:rPr>
        <w:t>注：异常情况为</w:t>
      </w:r>
      <w:r>
        <w:rPr>
          <w:rFonts w:hint="eastAsia" w:ascii="仿宋_GB2312" w:hAnsi="仿宋_GB2312" w:eastAsia="仿宋_GB2312" w:cs="仿宋_GB2312"/>
          <w:color w:val="auto"/>
          <w:spacing w:val="6"/>
          <w:sz w:val="30"/>
          <w:szCs w:val="30"/>
          <w:highlight w:val="none"/>
          <w:lang w:val="en-US" w:eastAsia="zh-CN" w:bidi="ar"/>
        </w:rPr>
        <w:t>统计出来的2022年自治区财政补助预算资金兑现至各养老机构的比例为93.14%，高于2022年自治区财政补助预算资金下达至各地州市的执行率为93.06%；2023年自治区财政补助预算资金兑现至各机构的比例为97.61%，高于2023年自治区财政补助预算资金</w:t>
      </w:r>
      <w:r>
        <w:rPr>
          <w:rFonts w:hint="eastAsia" w:ascii="仿宋_GB2312" w:hAnsi="仿宋_GB2312" w:eastAsia="仿宋_GB2312" w:cs="仿宋_GB2312"/>
          <w:color w:val="auto"/>
          <w:spacing w:val="6"/>
          <w:sz w:val="30"/>
          <w:szCs w:val="30"/>
          <w:highlight w:val="none"/>
          <w:lang w:eastAsia="zh-CN" w:bidi="ar"/>
        </w:rPr>
        <w:t>下达至各地州市的执行率</w:t>
      </w:r>
      <w:r>
        <w:rPr>
          <w:rFonts w:hint="eastAsia" w:ascii="仿宋_GB2312" w:hAnsi="仿宋_GB2312" w:eastAsia="仿宋_GB2312" w:cs="仿宋_GB2312"/>
          <w:color w:val="auto"/>
          <w:spacing w:val="6"/>
          <w:sz w:val="30"/>
          <w:szCs w:val="30"/>
          <w:highlight w:val="none"/>
          <w:lang w:val="en-US" w:eastAsia="zh-CN" w:bidi="ar"/>
        </w:rPr>
        <w:t>为97.39%，数据偏差系各地州在汇总统计拨付至各机构的补贴资金时，小数位数四舍五入所致。</w:t>
      </w:r>
    </w:p>
    <w:p w14:paraId="756C08C7">
      <w:pPr>
        <w:widowControl w:val="0"/>
        <w:numPr>
          <w:ilvl w:val="0"/>
          <w:numId w:val="0"/>
        </w:numPr>
        <w:adjustRightInd w:val="0"/>
        <w:snapToGrid w:val="0"/>
        <w:spacing w:line="590" w:lineRule="exact"/>
        <w:ind w:firstLine="654" w:firstLineChars="200"/>
        <w:rPr>
          <w:rFonts w:hint="eastAsia"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sz w:val="30"/>
          <w:szCs w:val="30"/>
          <w:highlight w:val="none"/>
          <w:lang w:eastAsia="zh-CN" w:bidi="ar"/>
        </w:rPr>
        <w:t>（2）</w:t>
      </w:r>
      <w:r>
        <w:rPr>
          <w:rFonts w:hint="eastAsia" w:ascii="仿宋_GB2312" w:hAnsi="仿宋_GB2312" w:eastAsia="仿宋_GB2312" w:cs="仿宋_GB2312"/>
          <w:color w:val="auto"/>
          <w:spacing w:val="6"/>
          <w:sz w:val="30"/>
          <w:szCs w:val="30"/>
          <w:highlight w:val="none"/>
          <w:lang w:val="en-US" w:eastAsia="zh-CN" w:bidi="ar"/>
        </w:rPr>
        <w:t>配套资金落实情况</w:t>
      </w:r>
      <w:r>
        <w:rPr>
          <w:rFonts w:hint="eastAsia" w:ascii="仿宋_GB2312" w:hAnsi="仿宋_GB2312" w:eastAsia="仿宋_GB2312" w:cs="仿宋_GB2312"/>
          <w:color w:val="auto"/>
          <w:spacing w:val="6"/>
          <w:sz w:val="30"/>
          <w:szCs w:val="30"/>
          <w:highlight w:val="none"/>
          <w:lang w:eastAsia="zh-CN" w:bidi="ar"/>
        </w:rPr>
        <w:t>指标分值</w:t>
      </w:r>
      <w:r>
        <w:rPr>
          <w:rFonts w:hint="eastAsia" w:ascii="仿宋_GB2312" w:hAnsi="仿宋_GB2312" w:eastAsia="仿宋_GB2312" w:cs="仿宋_GB2312"/>
          <w:color w:val="auto"/>
          <w:spacing w:val="6"/>
          <w:sz w:val="30"/>
          <w:szCs w:val="30"/>
          <w:highlight w:val="none"/>
          <w:lang w:val="en-US" w:eastAsia="zh-CN" w:bidi="ar"/>
        </w:rPr>
        <w:t>3</w:t>
      </w:r>
      <w:r>
        <w:rPr>
          <w:rFonts w:hint="eastAsia" w:ascii="仿宋_GB2312" w:hAnsi="仿宋_GB2312" w:eastAsia="仿宋_GB2312" w:cs="仿宋_GB2312"/>
          <w:color w:val="auto"/>
          <w:spacing w:val="6"/>
          <w:sz w:val="30"/>
          <w:szCs w:val="30"/>
          <w:highlight w:val="none"/>
          <w:lang w:eastAsia="zh-CN" w:bidi="ar"/>
        </w:rPr>
        <w:t>分，实际得分</w:t>
      </w:r>
      <w:r>
        <w:rPr>
          <w:rFonts w:hint="eastAsia" w:ascii="仿宋_GB2312" w:hAnsi="仿宋_GB2312" w:eastAsia="仿宋_GB2312" w:cs="仿宋_GB2312"/>
          <w:color w:val="auto"/>
          <w:spacing w:val="6"/>
          <w:sz w:val="30"/>
          <w:szCs w:val="30"/>
          <w:highlight w:val="none"/>
          <w:lang w:val="en-US" w:eastAsia="zh-CN" w:bidi="ar"/>
        </w:rPr>
        <w:t>1</w:t>
      </w:r>
      <w:r>
        <w:rPr>
          <w:rFonts w:hint="eastAsia" w:ascii="仿宋_GB2312" w:hAnsi="仿宋_GB2312" w:eastAsia="仿宋_GB2312" w:cs="仿宋_GB2312"/>
          <w:color w:val="auto"/>
          <w:spacing w:val="6"/>
          <w:sz w:val="30"/>
          <w:szCs w:val="30"/>
          <w:highlight w:val="none"/>
          <w:lang w:eastAsia="zh-CN" w:bidi="ar"/>
        </w:rPr>
        <w:t>分，得分率</w:t>
      </w:r>
      <w:r>
        <w:rPr>
          <w:rFonts w:hint="eastAsia" w:ascii="仿宋_GB2312" w:hAnsi="仿宋_GB2312" w:eastAsia="仿宋_GB2312" w:cs="仿宋_GB2312"/>
          <w:color w:val="auto"/>
          <w:spacing w:val="6"/>
          <w:sz w:val="30"/>
          <w:szCs w:val="30"/>
          <w:highlight w:val="none"/>
          <w:lang w:val="en-US" w:eastAsia="zh-CN" w:bidi="ar"/>
        </w:rPr>
        <w:t>33.33</w:t>
      </w:r>
      <w:r>
        <w:rPr>
          <w:rFonts w:hint="eastAsia" w:ascii="仿宋_GB2312" w:hAnsi="仿宋_GB2312" w:eastAsia="仿宋_GB2312" w:cs="仿宋_GB2312"/>
          <w:color w:val="auto"/>
          <w:spacing w:val="6"/>
          <w:sz w:val="30"/>
          <w:szCs w:val="30"/>
          <w:highlight w:val="none"/>
          <w:lang w:eastAsia="zh-CN" w:bidi="ar"/>
        </w:rPr>
        <w:t>%。扣分原因及相关说明：</w:t>
      </w:r>
      <w:r>
        <w:rPr>
          <w:rFonts w:hint="eastAsia" w:ascii="仿宋_GB2312" w:hAnsi="仿宋_GB2312" w:eastAsia="仿宋_GB2312" w:cs="仿宋_GB2312"/>
          <w:color w:val="auto"/>
          <w:spacing w:val="6"/>
          <w:sz w:val="30"/>
          <w:szCs w:val="30"/>
          <w:highlight w:val="none"/>
          <w:lang w:val="en-US" w:eastAsia="zh-CN" w:bidi="ar"/>
        </w:rPr>
        <w:t>截至评估时点，乌鲁木齐市：2023年（2022年度）涉及沙依巴克区12家机构区（县）配套资金未到位；2024年（2023年度）涉及沙依巴克区5家机构区（县）配套资金未到位；2025年（2024年度）涉及沙依巴克区8家机构、米东区2家机构市、区两级配套资金未到位。昌吉州：呼图壁县、奇台县、玛纳斯县评估周期内历年区（县）配套资金均未到位。哈密市：2021年（2020年度）涉及哈密市本级1家机构地方配套资金未到位。喀什地区：喀什市评估周期内历年地方配套资金均未到位；疏勒县2021—2023年区（县）配套资金未到位。</w:t>
      </w:r>
    </w:p>
    <w:p w14:paraId="2DDA4EF4">
      <w:pPr>
        <w:widowControl w:val="0"/>
        <w:numPr>
          <w:ilvl w:val="0"/>
          <w:numId w:val="0"/>
        </w:numPr>
        <w:adjustRightInd w:val="0"/>
        <w:snapToGrid w:val="0"/>
        <w:spacing w:line="590" w:lineRule="exact"/>
        <w:ind w:firstLine="654" w:firstLineChars="200"/>
        <w:rPr>
          <w:rFonts w:hint="eastAsia" w:ascii="仿宋_GB2312" w:hAnsi="仿宋_GB2312" w:eastAsia="仿宋_GB2312" w:cs="仿宋_GB2312"/>
          <w:color w:val="auto"/>
          <w:spacing w:val="6"/>
          <w:sz w:val="30"/>
          <w:szCs w:val="30"/>
          <w:highlight w:val="none"/>
          <w:lang w:eastAsia="zh-CN" w:bidi="ar"/>
        </w:rPr>
      </w:pPr>
      <w:r>
        <w:rPr>
          <w:rFonts w:hint="eastAsia" w:ascii="仿宋_GB2312" w:hAnsi="仿宋_GB2312" w:eastAsia="仿宋_GB2312" w:cs="仿宋_GB2312"/>
          <w:color w:val="auto"/>
          <w:spacing w:val="6"/>
          <w:kern w:val="30"/>
          <w:sz w:val="30"/>
          <w:szCs w:val="30"/>
          <w:highlight w:val="none"/>
          <w:lang w:val="en-US" w:eastAsia="zh-CN" w:bidi="ar"/>
        </w:rPr>
        <w:t>（3）</w:t>
      </w:r>
      <w:r>
        <w:rPr>
          <w:rFonts w:hint="eastAsia" w:ascii="仿宋_GB2312" w:hAnsi="仿宋_GB2312" w:eastAsia="仿宋_GB2312" w:cs="仿宋_GB2312"/>
          <w:color w:val="auto"/>
          <w:spacing w:val="6"/>
          <w:sz w:val="30"/>
          <w:szCs w:val="30"/>
          <w:highlight w:val="none"/>
          <w:lang w:val="en-US" w:eastAsia="zh-CN" w:bidi="ar"/>
        </w:rPr>
        <w:t>资金使用有效性</w:t>
      </w:r>
      <w:r>
        <w:rPr>
          <w:rFonts w:hint="eastAsia" w:ascii="仿宋_GB2312" w:hAnsi="仿宋_GB2312" w:eastAsia="仿宋_GB2312" w:cs="仿宋_GB2312"/>
          <w:color w:val="auto"/>
          <w:spacing w:val="6"/>
          <w:sz w:val="30"/>
          <w:szCs w:val="30"/>
          <w:highlight w:val="none"/>
          <w:lang w:eastAsia="zh-CN" w:bidi="ar"/>
        </w:rPr>
        <w:t>指标分值</w:t>
      </w:r>
      <w:r>
        <w:rPr>
          <w:rFonts w:hint="eastAsia" w:ascii="仿宋_GB2312" w:hAnsi="仿宋_GB2312" w:eastAsia="仿宋_GB2312" w:cs="仿宋_GB2312"/>
          <w:color w:val="auto"/>
          <w:spacing w:val="6"/>
          <w:sz w:val="30"/>
          <w:szCs w:val="30"/>
          <w:highlight w:val="none"/>
          <w:lang w:val="en-US" w:eastAsia="zh-CN" w:bidi="ar"/>
        </w:rPr>
        <w:t>6</w:t>
      </w:r>
      <w:r>
        <w:rPr>
          <w:rFonts w:hint="eastAsia" w:ascii="仿宋_GB2312" w:hAnsi="仿宋_GB2312" w:eastAsia="仿宋_GB2312" w:cs="仿宋_GB2312"/>
          <w:color w:val="auto"/>
          <w:spacing w:val="6"/>
          <w:sz w:val="30"/>
          <w:szCs w:val="30"/>
          <w:highlight w:val="none"/>
          <w:lang w:eastAsia="zh-CN" w:bidi="ar"/>
        </w:rPr>
        <w:t>分，实际得分</w:t>
      </w:r>
      <w:r>
        <w:rPr>
          <w:rFonts w:hint="eastAsia" w:ascii="仿宋_GB2312" w:hAnsi="仿宋_GB2312" w:eastAsia="仿宋_GB2312" w:cs="仿宋_GB2312"/>
          <w:color w:val="auto"/>
          <w:spacing w:val="6"/>
          <w:sz w:val="30"/>
          <w:szCs w:val="30"/>
          <w:highlight w:val="none"/>
          <w:lang w:val="en-US" w:eastAsia="zh-CN" w:bidi="ar"/>
        </w:rPr>
        <w:t>6</w:t>
      </w:r>
      <w:r>
        <w:rPr>
          <w:rFonts w:hint="eastAsia" w:ascii="仿宋_GB2312" w:hAnsi="仿宋_GB2312" w:eastAsia="仿宋_GB2312" w:cs="仿宋_GB2312"/>
          <w:color w:val="auto"/>
          <w:spacing w:val="6"/>
          <w:sz w:val="30"/>
          <w:szCs w:val="30"/>
          <w:highlight w:val="none"/>
          <w:lang w:eastAsia="zh-CN" w:bidi="ar"/>
        </w:rPr>
        <w:t>分，得分率</w:t>
      </w:r>
      <w:r>
        <w:rPr>
          <w:rFonts w:hint="eastAsia" w:ascii="仿宋_GB2312" w:hAnsi="仿宋_GB2312" w:eastAsia="仿宋_GB2312" w:cs="仿宋_GB2312"/>
          <w:color w:val="auto"/>
          <w:spacing w:val="6"/>
          <w:sz w:val="30"/>
          <w:szCs w:val="30"/>
          <w:highlight w:val="none"/>
          <w:lang w:val="en-US" w:eastAsia="zh-CN" w:bidi="ar"/>
        </w:rPr>
        <w:t>100</w:t>
      </w:r>
      <w:r>
        <w:rPr>
          <w:rFonts w:hint="eastAsia" w:ascii="仿宋_GB2312" w:hAnsi="仿宋_GB2312" w:eastAsia="仿宋_GB2312" w:cs="仿宋_GB2312"/>
          <w:color w:val="auto"/>
          <w:spacing w:val="6"/>
          <w:sz w:val="30"/>
          <w:szCs w:val="30"/>
          <w:highlight w:val="none"/>
          <w:lang w:eastAsia="zh-CN" w:bidi="ar"/>
        </w:rPr>
        <w:t>%。</w:t>
      </w:r>
      <w:r>
        <w:rPr>
          <w:rFonts w:hint="eastAsia" w:ascii="仿宋_GB2312" w:hAnsi="仿宋_GB2312" w:eastAsia="仿宋_GB2312" w:cs="仿宋_GB2312"/>
          <w:color w:val="auto"/>
          <w:spacing w:val="6"/>
          <w:sz w:val="30"/>
          <w:szCs w:val="30"/>
          <w:highlight w:val="none"/>
          <w:lang w:val="en-US" w:eastAsia="zh-CN" w:bidi="ar"/>
        </w:rPr>
        <w:t>根据</w:t>
      </w:r>
      <w:r>
        <w:rPr>
          <w:rFonts w:hint="eastAsia" w:ascii="仿宋_GB2312" w:hAnsi="仿宋_GB2312" w:eastAsia="仿宋_GB2312" w:cs="仿宋_GB2312"/>
          <w:color w:val="auto"/>
          <w:spacing w:val="6"/>
          <w:sz w:val="30"/>
          <w:szCs w:val="30"/>
          <w:highlight w:val="none"/>
          <w:lang w:eastAsia="zh-CN" w:bidi="ar"/>
        </w:rPr>
        <w:t>实地</w:t>
      </w:r>
      <w:r>
        <w:rPr>
          <w:rFonts w:hint="eastAsia" w:ascii="仿宋_GB2312" w:hAnsi="仿宋_GB2312" w:eastAsia="仿宋_GB2312" w:cs="仿宋_GB2312"/>
          <w:color w:val="auto"/>
          <w:spacing w:val="6"/>
          <w:sz w:val="30"/>
          <w:szCs w:val="30"/>
          <w:highlight w:val="none"/>
          <w:lang w:val="en-US" w:eastAsia="zh-CN" w:bidi="ar"/>
        </w:rPr>
        <w:t>评估情况</w:t>
      </w:r>
      <w:r>
        <w:rPr>
          <w:rFonts w:hint="eastAsia" w:ascii="仿宋_GB2312" w:hAnsi="仿宋_GB2312" w:eastAsia="仿宋_GB2312" w:cs="仿宋_GB2312"/>
          <w:color w:val="auto"/>
          <w:spacing w:val="6"/>
          <w:sz w:val="30"/>
          <w:szCs w:val="30"/>
          <w:highlight w:val="none"/>
          <w:lang w:eastAsia="zh-CN" w:bidi="ar"/>
        </w:rPr>
        <w:t>，</w:t>
      </w:r>
      <w:r>
        <w:rPr>
          <w:rFonts w:hint="eastAsia" w:ascii="仿宋_GB2312" w:hAnsi="仿宋_GB2312" w:eastAsia="仿宋_GB2312" w:cs="仿宋_GB2312"/>
          <w:color w:val="auto"/>
          <w:spacing w:val="6"/>
          <w:sz w:val="30"/>
          <w:szCs w:val="30"/>
          <w:highlight w:val="none"/>
          <w:lang w:val="en-US" w:eastAsia="zh-CN" w:bidi="ar"/>
        </w:rPr>
        <w:t>结合</w:t>
      </w:r>
      <w:r>
        <w:rPr>
          <w:rFonts w:hint="eastAsia" w:ascii="仿宋_GB2312" w:hAnsi="仿宋_GB2312" w:eastAsia="仿宋_GB2312" w:cs="仿宋_GB2312"/>
          <w:color w:val="auto"/>
          <w:spacing w:val="6"/>
          <w:sz w:val="30"/>
          <w:szCs w:val="30"/>
          <w:highlight w:val="none"/>
          <w:lang w:eastAsia="zh-CN" w:bidi="ar"/>
        </w:rPr>
        <w:t>电话访谈及数据收集，未发现资金到账后超过1年仍未使用的情形，不存在资金长期闲置问题。未发现资金用途超出规定范围的情形，做到了专款专用，未出现挪作他用的情形</w:t>
      </w:r>
      <w:r>
        <w:rPr>
          <w:rFonts w:hint="eastAsia" w:ascii="仿宋_GB2312" w:hAnsi="仿宋_GB2312" w:eastAsia="仿宋_GB2312" w:cs="仿宋_GB2312"/>
          <w:color w:val="auto"/>
          <w:spacing w:val="6"/>
          <w:sz w:val="30"/>
          <w:szCs w:val="30"/>
          <w:highlight w:val="none"/>
          <w:lang w:eastAsia="zh-CN" w:bidi="ar"/>
        </w:rPr>
        <w:fldChar w:fldCharType="begin"/>
      </w:r>
      <w:r>
        <w:rPr>
          <w:rFonts w:hint="eastAsia" w:ascii="仿宋_GB2312" w:hAnsi="仿宋_GB2312" w:eastAsia="仿宋_GB2312" w:cs="仿宋_GB2312"/>
          <w:color w:val="auto"/>
          <w:spacing w:val="6"/>
          <w:sz w:val="30"/>
          <w:szCs w:val="30"/>
          <w:highlight w:val="none"/>
          <w:lang w:eastAsia="zh-CN" w:bidi="ar"/>
        </w:rPr>
        <w:instrText xml:space="preserve"> HYPERLINK "https://www.xjyl.gov.cn/xjylz/c112512/202309/e003f42b4c2841718278b72f82441195.shtml" \t "https://chat.deepseek.com/a/chat/s/_blank" </w:instrText>
      </w:r>
      <w:r>
        <w:rPr>
          <w:rFonts w:hint="eastAsia" w:ascii="仿宋_GB2312" w:hAnsi="仿宋_GB2312" w:eastAsia="仿宋_GB2312" w:cs="仿宋_GB2312"/>
          <w:color w:val="auto"/>
          <w:spacing w:val="6"/>
          <w:sz w:val="30"/>
          <w:szCs w:val="30"/>
          <w:highlight w:val="none"/>
          <w:lang w:eastAsia="zh-CN" w:bidi="ar"/>
        </w:rPr>
        <w:fldChar w:fldCharType="separate"/>
      </w:r>
      <w:r>
        <w:rPr>
          <w:rFonts w:hint="eastAsia" w:ascii="仿宋_GB2312" w:hAnsi="仿宋_GB2312" w:eastAsia="仿宋_GB2312" w:cs="仿宋_GB2312"/>
          <w:color w:val="auto"/>
          <w:spacing w:val="6"/>
          <w:sz w:val="30"/>
          <w:szCs w:val="30"/>
          <w:highlight w:val="none"/>
          <w:lang w:eastAsia="zh-CN" w:bidi="ar"/>
        </w:rPr>
        <w:fldChar w:fldCharType="end"/>
      </w:r>
      <w:r>
        <w:rPr>
          <w:rFonts w:hint="eastAsia" w:ascii="仿宋_GB2312" w:hAnsi="仿宋_GB2312" w:eastAsia="仿宋_GB2312" w:cs="仿宋_GB2312"/>
          <w:color w:val="auto"/>
          <w:spacing w:val="6"/>
          <w:sz w:val="30"/>
          <w:szCs w:val="30"/>
          <w:highlight w:val="none"/>
          <w:lang w:eastAsia="zh-CN" w:bidi="ar"/>
        </w:rPr>
        <w:t>，资金使用方向与政策目标一致。</w:t>
      </w:r>
    </w:p>
    <w:p w14:paraId="04B924D0">
      <w:pPr>
        <w:widowControl w:val="0"/>
        <w:numPr>
          <w:ilvl w:val="0"/>
          <w:numId w:val="0"/>
        </w:numPr>
        <w:adjustRightInd w:val="0"/>
        <w:snapToGrid w:val="0"/>
        <w:spacing w:line="590" w:lineRule="exact"/>
        <w:ind w:firstLine="654" w:firstLineChars="200"/>
        <w:rPr>
          <w:rFonts w:hint="eastAsia"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kern w:val="30"/>
          <w:sz w:val="30"/>
          <w:szCs w:val="30"/>
          <w:highlight w:val="none"/>
          <w:lang w:val="en-US" w:eastAsia="zh-CN" w:bidi="ar"/>
        </w:rPr>
        <w:t>（4）</w:t>
      </w:r>
      <w:r>
        <w:rPr>
          <w:rFonts w:hint="eastAsia" w:ascii="仿宋_GB2312" w:hAnsi="仿宋_GB2312" w:eastAsia="仿宋_GB2312" w:cs="仿宋_GB2312"/>
          <w:color w:val="auto"/>
          <w:spacing w:val="6"/>
          <w:sz w:val="30"/>
          <w:szCs w:val="30"/>
          <w:highlight w:val="none"/>
          <w:lang w:val="en-US" w:eastAsia="zh-CN" w:bidi="ar"/>
        </w:rPr>
        <w:t>补贴资金使用合规性</w:t>
      </w:r>
      <w:r>
        <w:rPr>
          <w:rFonts w:hint="eastAsia" w:ascii="仿宋_GB2312" w:hAnsi="仿宋_GB2312" w:eastAsia="仿宋_GB2312" w:cs="仿宋_GB2312"/>
          <w:color w:val="auto"/>
          <w:spacing w:val="6"/>
          <w:sz w:val="30"/>
          <w:szCs w:val="30"/>
          <w:highlight w:val="none"/>
          <w:lang w:eastAsia="zh-CN" w:bidi="ar"/>
        </w:rPr>
        <w:t>指标分值</w:t>
      </w:r>
      <w:r>
        <w:rPr>
          <w:rFonts w:hint="eastAsia" w:ascii="仿宋_GB2312" w:hAnsi="仿宋_GB2312" w:eastAsia="仿宋_GB2312" w:cs="仿宋_GB2312"/>
          <w:color w:val="auto"/>
          <w:spacing w:val="6"/>
          <w:sz w:val="30"/>
          <w:szCs w:val="30"/>
          <w:highlight w:val="none"/>
          <w:lang w:val="en-US" w:eastAsia="zh-CN" w:bidi="ar"/>
        </w:rPr>
        <w:t>6</w:t>
      </w:r>
      <w:r>
        <w:rPr>
          <w:rFonts w:hint="eastAsia" w:ascii="仿宋_GB2312" w:hAnsi="仿宋_GB2312" w:eastAsia="仿宋_GB2312" w:cs="仿宋_GB2312"/>
          <w:color w:val="auto"/>
          <w:spacing w:val="6"/>
          <w:sz w:val="30"/>
          <w:szCs w:val="30"/>
          <w:highlight w:val="none"/>
          <w:lang w:eastAsia="zh-CN" w:bidi="ar"/>
        </w:rPr>
        <w:t>分，实际得分</w:t>
      </w:r>
      <w:r>
        <w:rPr>
          <w:rFonts w:hint="eastAsia" w:ascii="仿宋_GB2312" w:hAnsi="仿宋_GB2312" w:eastAsia="仿宋_GB2312" w:cs="仿宋_GB2312"/>
          <w:color w:val="auto"/>
          <w:spacing w:val="6"/>
          <w:sz w:val="30"/>
          <w:szCs w:val="30"/>
          <w:highlight w:val="none"/>
          <w:lang w:val="en-US" w:eastAsia="zh-CN" w:bidi="ar"/>
        </w:rPr>
        <w:t>4</w:t>
      </w:r>
      <w:r>
        <w:rPr>
          <w:rFonts w:hint="eastAsia" w:ascii="仿宋_GB2312" w:hAnsi="仿宋_GB2312" w:eastAsia="仿宋_GB2312" w:cs="仿宋_GB2312"/>
          <w:color w:val="auto"/>
          <w:spacing w:val="6"/>
          <w:sz w:val="30"/>
          <w:szCs w:val="30"/>
          <w:highlight w:val="none"/>
          <w:lang w:eastAsia="zh-CN" w:bidi="ar"/>
        </w:rPr>
        <w:t>分，得分率</w:t>
      </w:r>
      <w:r>
        <w:rPr>
          <w:rFonts w:hint="eastAsia" w:ascii="仿宋_GB2312" w:hAnsi="仿宋_GB2312" w:eastAsia="仿宋_GB2312" w:cs="仿宋_GB2312"/>
          <w:color w:val="auto"/>
          <w:spacing w:val="6"/>
          <w:sz w:val="30"/>
          <w:szCs w:val="30"/>
          <w:highlight w:val="none"/>
          <w:lang w:val="en-US" w:eastAsia="zh-CN" w:bidi="ar"/>
        </w:rPr>
        <w:t>66.67</w:t>
      </w:r>
      <w:r>
        <w:rPr>
          <w:rFonts w:hint="eastAsia" w:ascii="仿宋_GB2312" w:hAnsi="仿宋_GB2312" w:eastAsia="仿宋_GB2312" w:cs="仿宋_GB2312"/>
          <w:color w:val="auto"/>
          <w:spacing w:val="6"/>
          <w:sz w:val="30"/>
          <w:szCs w:val="30"/>
          <w:highlight w:val="none"/>
          <w:lang w:eastAsia="zh-CN" w:bidi="ar"/>
        </w:rPr>
        <w:t>%。扣分原因及相关说明：</w:t>
      </w:r>
      <w:r>
        <w:rPr>
          <w:rFonts w:hint="eastAsia" w:ascii="仿宋_GB2312" w:hAnsi="仿宋_GB2312" w:eastAsia="仿宋_GB2312" w:cs="仿宋_GB2312"/>
          <w:color w:val="auto"/>
          <w:spacing w:val="6"/>
          <w:sz w:val="30"/>
          <w:szCs w:val="30"/>
          <w:highlight w:val="none"/>
          <w:lang w:val="en-US" w:eastAsia="zh-CN" w:bidi="ar"/>
        </w:rPr>
        <w:t>根据</w:t>
      </w:r>
      <w:r>
        <w:rPr>
          <w:rFonts w:hint="eastAsia" w:ascii="仿宋_GB2312" w:hAnsi="仿宋_GB2312" w:eastAsia="仿宋_GB2312" w:cs="仿宋_GB2312"/>
          <w:color w:val="auto"/>
          <w:spacing w:val="6"/>
          <w:sz w:val="30"/>
          <w:szCs w:val="30"/>
          <w:highlight w:val="none"/>
          <w:lang w:eastAsia="zh-CN" w:bidi="ar"/>
        </w:rPr>
        <w:t>实地</w:t>
      </w:r>
      <w:r>
        <w:rPr>
          <w:rFonts w:hint="eastAsia" w:ascii="仿宋_GB2312" w:hAnsi="仿宋_GB2312" w:eastAsia="仿宋_GB2312" w:cs="仿宋_GB2312"/>
          <w:color w:val="auto"/>
          <w:spacing w:val="6"/>
          <w:sz w:val="30"/>
          <w:szCs w:val="30"/>
          <w:highlight w:val="none"/>
          <w:lang w:val="en-US" w:eastAsia="zh-CN" w:bidi="ar"/>
        </w:rPr>
        <w:t>评估情况</w:t>
      </w:r>
      <w:r>
        <w:rPr>
          <w:rFonts w:hint="eastAsia" w:ascii="仿宋_GB2312" w:hAnsi="仿宋_GB2312" w:eastAsia="仿宋_GB2312" w:cs="仿宋_GB2312"/>
          <w:color w:val="auto"/>
          <w:spacing w:val="6"/>
          <w:sz w:val="30"/>
          <w:szCs w:val="30"/>
          <w:highlight w:val="none"/>
          <w:lang w:eastAsia="zh-CN" w:bidi="ar"/>
        </w:rPr>
        <w:t>，</w:t>
      </w:r>
      <w:r>
        <w:rPr>
          <w:rFonts w:hint="eastAsia" w:ascii="仿宋_GB2312" w:hAnsi="仿宋_GB2312" w:eastAsia="仿宋_GB2312" w:cs="仿宋_GB2312"/>
          <w:color w:val="auto"/>
          <w:spacing w:val="6"/>
          <w:sz w:val="30"/>
          <w:szCs w:val="30"/>
          <w:highlight w:val="none"/>
          <w:lang w:val="en-US" w:eastAsia="zh-CN" w:bidi="ar"/>
        </w:rPr>
        <w:t>结合</w:t>
      </w:r>
      <w:r>
        <w:rPr>
          <w:rFonts w:hint="eastAsia" w:ascii="仿宋_GB2312" w:hAnsi="仿宋_GB2312" w:eastAsia="仿宋_GB2312" w:cs="仿宋_GB2312"/>
          <w:color w:val="auto"/>
          <w:spacing w:val="6"/>
          <w:sz w:val="30"/>
          <w:szCs w:val="30"/>
          <w:highlight w:val="none"/>
          <w:lang w:eastAsia="zh-CN" w:bidi="ar"/>
        </w:rPr>
        <w:t>电话访谈及数据收集，</w:t>
      </w:r>
      <w:r>
        <w:rPr>
          <w:rFonts w:hint="eastAsia" w:ascii="仿宋_GB2312" w:hAnsi="仿宋_GB2312" w:eastAsia="仿宋_GB2312" w:cs="仿宋_GB2312"/>
          <w:color w:val="auto"/>
          <w:spacing w:val="6"/>
          <w:sz w:val="30"/>
          <w:szCs w:val="30"/>
          <w:highlight w:val="none"/>
          <w:lang w:val="en-US" w:eastAsia="zh-CN" w:bidi="ar"/>
        </w:rPr>
        <w:t>未发现受资助机构5年内改变社会福利性质，一次性建设补贴机构5年内改变经营性质的情况。但发现4家机构未建立专账核算（乌鲁木齐市一家人老年公寓、乌鲁木齐市天山润品尚老年公寓、昌吉市福缘老年公寓、呼图壁县仁和养老公寓）。喀什市亲情缘养老院未见签订《自治区养老机构资助资金使用承诺书》。</w:t>
      </w:r>
    </w:p>
    <w:p w14:paraId="70A63529">
      <w:pPr>
        <w:widowControl w:val="0"/>
        <w:numPr>
          <w:ilvl w:val="0"/>
          <w:numId w:val="0"/>
        </w:numPr>
        <w:adjustRightInd w:val="0"/>
        <w:snapToGrid w:val="0"/>
        <w:spacing w:line="590" w:lineRule="exact"/>
        <w:ind w:firstLine="654" w:firstLineChars="200"/>
        <w:rPr>
          <w:rFonts w:hint="eastAsia"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sz w:val="30"/>
          <w:szCs w:val="30"/>
          <w:highlight w:val="none"/>
          <w:lang w:val="en-US" w:eastAsia="zh-CN" w:bidi="ar"/>
        </w:rPr>
        <w:t>从四个抽样点的清算情况来看，各地执行差异显著。哈密市执行相对到位。其中，伊州区民政局辖区内有1家享受运营补贴的养老机构，自2023年度申领补贴以来，均按规定完成据实清算，对以往年度结余资金通过下一年度预算申报时予以抵扣消化。哈密市民政局辖区内有1家享受运营补贴的养老机构，自2024年起对2021至2023年度的补贴资金统一进行清算，已完成部分补差和退款工作，2024年度运营补贴同样完成据实清算，并对年度结余资金通过下一年度预算申报时予以抵扣消化。其余三个抽样点——乌鲁木齐市、昌吉州、喀什地区，均未在补贴年度结束后开展服务量核实与资金调整工作，普遍将预拨资金直接作最终支出处理。</w:t>
      </w:r>
    </w:p>
    <w:p w14:paraId="608A7DBD">
      <w:pPr>
        <w:widowControl w:val="0"/>
        <w:numPr>
          <w:ilvl w:val="-1"/>
          <w:numId w:val="0"/>
        </w:numPr>
        <w:adjustRightInd w:val="0"/>
        <w:snapToGrid w:val="0"/>
        <w:spacing w:line="590" w:lineRule="exact"/>
        <w:ind w:firstLine="654" w:firstLineChars="200"/>
        <w:rPr>
          <w:rFonts w:hint="eastAsia" w:ascii="仿宋_GB2312" w:hAnsi="仿宋_GB2312" w:eastAsia="仿宋_GB2312" w:cs="仿宋_GB2312"/>
          <w:color w:val="auto"/>
          <w:spacing w:val="6"/>
          <w:sz w:val="30"/>
          <w:szCs w:val="30"/>
          <w:highlight w:val="none"/>
          <w:lang w:eastAsia="zh-CN" w:bidi="ar"/>
        </w:rPr>
      </w:pPr>
      <w:r>
        <w:rPr>
          <w:rFonts w:hint="eastAsia" w:ascii="仿宋_GB2312" w:hAnsi="仿宋_GB2312" w:eastAsia="仿宋_GB2312" w:cs="仿宋_GB2312"/>
          <w:color w:val="auto"/>
          <w:spacing w:val="6"/>
          <w:sz w:val="30"/>
          <w:szCs w:val="30"/>
          <w:highlight w:val="none"/>
          <w:lang w:val="en-US" w:eastAsia="zh-CN" w:bidi="ar"/>
        </w:rPr>
        <w:t>（5）固定资产管理规范性</w:t>
      </w:r>
      <w:r>
        <w:rPr>
          <w:rFonts w:hint="eastAsia" w:ascii="仿宋_GB2312" w:hAnsi="仿宋_GB2312" w:eastAsia="仿宋_GB2312" w:cs="仿宋_GB2312"/>
          <w:color w:val="auto"/>
          <w:spacing w:val="6"/>
          <w:sz w:val="30"/>
          <w:szCs w:val="30"/>
          <w:highlight w:val="none"/>
          <w:lang w:eastAsia="zh-CN" w:bidi="ar"/>
        </w:rPr>
        <w:t>指标分值</w:t>
      </w:r>
      <w:r>
        <w:rPr>
          <w:rFonts w:hint="eastAsia" w:ascii="仿宋_GB2312" w:hAnsi="仿宋_GB2312" w:eastAsia="仿宋_GB2312" w:cs="仿宋_GB2312"/>
          <w:color w:val="auto"/>
          <w:spacing w:val="6"/>
          <w:sz w:val="30"/>
          <w:szCs w:val="30"/>
          <w:highlight w:val="none"/>
          <w:lang w:val="en-US" w:eastAsia="zh-CN" w:bidi="ar"/>
        </w:rPr>
        <w:t>4</w:t>
      </w:r>
      <w:r>
        <w:rPr>
          <w:rFonts w:hint="eastAsia" w:ascii="仿宋_GB2312" w:hAnsi="仿宋_GB2312" w:eastAsia="仿宋_GB2312" w:cs="仿宋_GB2312"/>
          <w:color w:val="auto"/>
          <w:spacing w:val="6"/>
          <w:sz w:val="30"/>
          <w:szCs w:val="30"/>
          <w:highlight w:val="none"/>
          <w:lang w:eastAsia="zh-CN" w:bidi="ar"/>
        </w:rPr>
        <w:t>分，实际得分</w:t>
      </w:r>
      <w:r>
        <w:rPr>
          <w:rFonts w:hint="eastAsia" w:ascii="仿宋_GB2312" w:hAnsi="仿宋_GB2312" w:eastAsia="仿宋_GB2312" w:cs="仿宋_GB2312"/>
          <w:color w:val="auto"/>
          <w:spacing w:val="6"/>
          <w:sz w:val="30"/>
          <w:szCs w:val="30"/>
          <w:highlight w:val="none"/>
          <w:lang w:val="en-US" w:eastAsia="zh-CN" w:bidi="ar"/>
        </w:rPr>
        <w:t>4.00</w:t>
      </w:r>
      <w:r>
        <w:rPr>
          <w:rFonts w:hint="eastAsia" w:ascii="仿宋_GB2312" w:hAnsi="仿宋_GB2312" w:eastAsia="仿宋_GB2312" w:cs="仿宋_GB2312"/>
          <w:color w:val="auto"/>
          <w:spacing w:val="6"/>
          <w:sz w:val="30"/>
          <w:szCs w:val="30"/>
          <w:highlight w:val="none"/>
          <w:lang w:eastAsia="zh-CN" w:bidi="ar"/>
        </w:rPr>
        <w:t>分，得分率</w:t>
      </w:r>
      <w:r>
        <w:rPr>
          <w:rFonts w:hint="eastAsia" w:ascii="仿宋_GB2312" w:hAnsi="仿宋_GB2312" w:eastAsia="仿宋_GB2312" w:cs="仿宋_GB2312"/>
          <w:color w:val="auto"/>
          <w:spacing w:val="6"/>
          <w:sz w:val="30"/>
          <w:szCs w:val="30"/>
          <w:highlight w:val="none"/>
          <w:lang w:val="en-US" w:eastAsia="zh-CN" w:bidi="ar"/>
        </w:rPr>
        <w:t>100</w:t>
      </w:r>
      <w:r>
        <w:rPr>
          <w:rFonts w:hint="eastAsia" w:ascii="仿宋_GB2312" w:hAnsi="仿宋_GB2312" w:eastAsia="仿宋_GB2312" w:cs="仿宋_GB2312"/>
          <w:color w:val="auto"/>
          <w:spacing w:val="6"/>
          <w:sz w:val="30"/>
          <w:szCs w:val="30"/>
          <w:highlight w:val="none"/>
          <w:lang w:eastAsia="zh-CN" w:bidi="ar"/>
        </w:rPr>
        <w:t>%。</w:t>
      </w:r>
      <w:r>
        <w:rPr>
          <w:rFonts w:hint="eastAsia" w:ascii="仿宋_GB2312" w:hAnsi="仿宋_GB2312" w:eastAsia="仿宋_GB2312" w:cs="仿宋_GB2312"/>
          <w:color w:val="auto"/>
          <w:spacing w:val="6"/>
          <w:sz w:val="30"/>
          <w:szCs w:val="30"/>
          <w:highlight w:val="none"/>
          <w:lang w:val="en-US" w:eastAsia="zh-CN" w:bidi="ar"/>
        </w:rPr>
        <w:t>根据</w:t>
      </w:r>
      <w:r>
        <w:rPr>
          <w:rFonts w:hint="eastAsia" w:ascii="仿宋_GB2312" w:hAnsi="仿宋_GB2312" w:eastAsia="仿宋_GB2312" w:cs="仿宋_GB2312"/>
          <w:color w:val="auto"/>
          <w:spacing w:val="6"/>
          <w:sz w:val="30"/>
          <w:szCs w:val="30"/>
          <w:highlight w:val="none"/>
          <w:lang w:eastAsia="zh-CN" w:bidi="ar"/>
        </w:rPr>
        <w:t>实地</w:t>
      </w:r>
      <w:r>
        <w:rPr>
          <w:rFonts w:hint="eastAsia" w:ascii="仿宋_GB2312" w:hAnsi="仿宋_GB2312" w:eastAsia="仿宋_GB2312" w:cs="仿宋_GB2312"/>
          <w:color w:val="auto"/>
          <w:spacing w:val="6"/>
          <w:sz w:val="30"/>
          <w:szCs w:val="30"/>
          <w:highlight w:val="none"/>
          <w:lang w:val="en-US" w:eastAsia="zh-CN" w:bidi="ar"/>
        </w:rPr>
        <w:t>评估情况</w:t>
      </w:r>
      <w:r>
        <w:rPr>
          <w:rFonts w:hint="eastAsia" w:ascii="仿宋_GB2312" w:hAnsi="仿宋_GB2312" w:eastAsia="仿宋_GB2312" w:cs="仿宋_GB2312"/>
          <w:color w:val="auto"/>
          <w:spacing w:val="6"/>
          <w:sz w:val="30"/>
          <w:szCs w:val="30"/>
          <w:highlight w:val="none"/>
          <w:lang w:eastAsia="zh-CN" w:bidi="ar"/>
        </w:rPr>
        <w:t>，</w:t>
      </w:r>
      <w:r>
        <w:rPr>
          <w:rFonts w:hint="eastAsia" w:ascii="仿宋_GB2312" w:hAnsi="仿宋_GB2312" w:eastAsia="仿宋_GB2312" w:cs="仿宋_GB2312"/>
          <w:color w:val="auto"/>
          <w:spacing w:val="6"/>
          <w:sz w:val="30"/>
          <w:szCs w:val="30"/>
          <w:highlight w:val="none"/>
          <w:lang w:val="en-US" w:eastAsia="zh-CN" w:bidi="ar"/>
        </w:rPr>
        <w:t>结合</w:t>
      </w:r>
      <w:r>
        <w:rPr>
          <w:rFonts w:hint="eastAsia" w:ascii="仿宋_GB2312" w:hAnsi="仿宋_GB2312" w:eastAsia="仿宋_GB2312" w:cs="仿宋_GB2312"/>
          <w:color w:val="auto"/>
          <w:spacing w:val="6"/>
          <w:sz w:val="30"/>
          <w:szCs w:val="30"/>
          <w:highlight w:val="none"/>
          <w:lang w:eastAsia="zh-CN" w:bidi="ar"/>
        </w:rPr>
        <w:t>电话访谈及数据收集，未发现使用补贴资金购置的固定资产存在台账不完整、账实不符等情形，亦未发现擅自变卖、转让或随意报废资产等不规范管理行为。</w:t>
      </w:r>
    </w:p>
    <w:p w14:paraId="4575C3E7">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54" w:firstLineChars="200"/>
        <w:textAlignment w:val="auto"/>
        <w:outlineLvl w:val="9"/>
        <w:rPr>
          <w:rFonts w:hint="eastAsia" w:ascii="仿宋_GB2312" w:hAnsi="仿宋_GB2312" w:eastAsia="仿宋_GB2312" w:cs="仿宋_GB2312"/>
          <w:color w:val="auto"/>
          <w:spacing w:val="6"/>
          <w:sz w:val="30"/>
          <w:szCs w:val="30"/>
          <w:highlight w:val="none"/>
          <w:lang w:eastAsia="zh-CN" w:bidi="ar"/>
        </w:rPr>
      </w:pPr>
      <w:r>
        <w:rPr>
          <w:rFonts w:hint="eastAsia" w:ascii="仿宋_GB2312" w:hAnsi="仿宋_GB2312" w:eastAsia="仿宋_GB2312" w:cs="仿宋_GB2312"/>
          <w:color w:val="auto"/>
          <w:spacing w:val="6"/>
          <w:sz w:val="30"/>
          <w:szCs w:val="30"/>
          <w:highlight w:val="none"/>
          <w:lang w:eastAsia="zh-CN" w:bidi="ar"/>
        </w:rPr>
        <w:t>3.</w:t>
      </w:r>
      <w:r>
        <w:rPr>
          <w:rFonts w:hint="eastAsia" w:ascii="仿宋_GB2312" w:hAnsi="仿宋_GB2312" w:eastAsia="仿宋_GB2312" w:cs="仿宋_GB2312"/>
          <w:color w:val="auto"/>
          <w:spacing w:val="6"/>
          <w:sz w:val="30"/>
          <w:szCs w:val="30"/>
          <w:highlight w:val="none"/>
          <w:lang w:val="en-US" w:eastAsia="zh-CN" w:bidi="ar"/>
        </w:rPr>
        <w:t>组织实施</w:t>
      </w:r>
    </w:p>
    <w:p w14:paraId="0CFBCC59">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54" w:firstLineChars="200"/>
        <w:textAlignment w:val="auto"/>
        <w:outlineLvl w:val="9"/>
        <w:rPr>
          <w:rFonts w:hint="eastAsia" w:ascii="仿宋_GB2312" w:hAnsi="仿宋_GB2312" w:eastAsia="仿宋_GB2312" w:cs="仿宋_GB2312"/>
          <w:color w:val="auto"/>
          <w:spacing w:val="6"/>
          <w:sz w:val="30"/>
          <w:szCs w:val="30"/>
          <w:highlight w:val="none"/>
          <w:lang w:eastAsia="zh-CN" w:bidi="ar"/>
        </w:rPr>
      </w:pPr>
      <w:r>
        <w:rPr>
          <w:rFonts w:hint="eastAsia" w:ascii="仿宋_GB2312" w:hAnsi="仿宋_GB2312" w:eastAsia="仿宋_GB2312" w:cs="仿宋_GB2312"/>
          <w:color w:val="auto"/>
          <w:spacing w:val="6"/>
          <w:sz w:val="30"/>
          <w:szCs w:val="30"/>
          <w:highlight w:val="none"/>
          <w:lang w:val="en-US" w:eastAsia="zh-CN" w:bidi="ar"/>
        </w:rPr>
        <w:t>组织实施</w:t>
      </w:r>
      <w:r>
        <w:rPr>
          <w:rFonts w:hint="eastAsia" w:ascii="仿宋_GB2312" w:hAnsi="仿宋_GB2312" w:eastAsia="仿宋_GB2312" w:cs="仿宋_GB2312"/>
          <w:color w:val="auto"/>
          <w:spacing w:val="6"/>
          <w:sz w:val="30"/>
          <w:szCs w:val="30"/>
          <w:highlight w:val="none"/>
          <w:lang w:eastAsia="zh-CN" w:bidi="ar"/>
        </w:rPr>
        <w:t>下设审核程序规范性、监管机制有效性、</w:t>
      </w:r>
      <w:r>
        <w:rPr>
          <w:rFonts w:hint="eastAsia" w:ascii="仿宋_GB2312" w:hAnsi="仿宋_GB2312" w:eastAsia="仿宋_GB2312" w:cs="仿宋_GB2312"/>
          <w:color w:val="auto"/>
          <w:spacing w:val="6"/>
          <w:sz w:val="30"/>
          <w:szCs w:val="30"/>
          <w:highlight w:val="none"/>
          <w:lang w:val="en-US" w:eastAsia="zh-CN" w:bidi="ar"/>
        </w:rPr>
        <w:t>区域覆盖均衡性3</w:t>
      </w:r>
      <w:r>
        <w:rPr>
          <w:rFonts w:hint="eastAsia" w:ascii="仿宋_GB2312" w:hAnsi="仿宋_GB2312" w:eastAsia="仿宋_GB2312" w:cs="仿宋_GB2312"/>
          <w:color w:val="auto"/>
          <w:spacing w:val="6"/>
          <w:sz w:val="30"/>
          <w:szCs w:val="30"/>
          <w:highlight w:val="none"/>
          <w:lang w:eastAsia="zh-CN" w:bidi="ar"/>
        </w:rPr>
        <w:t>个指标，指标权重</w:t>
      </w:r>
      <w:r>
        <w:rPr>
          <w:rFonts w:hint="eastAsia" w:ascii="仿宋_GB2312" w:hAnsi="仿宋_GB2312" w:eastAsia="仿宋_GB2312" w:cs="仿宋_GB2312"/>
          <w:color w:val="auto"/>
          <w:spacing w:val="6"/>
          <w:sz w:val="30"/>
          <w:szCs w:val="30"/>
          <w:highlight w:val="none"/>
          <w:lang w:val="en-US" w:eastAsia="zh-CN" w:bidi="ar"/>
        </w:rPr>
        <w:t>12</w:t>
      </w:r>
      <w:r>
        <w:rPr>
          <w:rFonts w:hint="eastAsia" w:ascii="仿宋_GB2312" w:hAnsi="仿宋_GB2312" w:eastAsia="仿宋_GB2312" w:cs="仿宋_GB2312"/>
          <w:color w:val="auto"/>
          <w:spacing w:val="6"/>
          <w:sz w:val="30"/>
          <w:szCs w:val="30"/>
          <w:highlight w:val="none"/>
          <w:lang w:eastAsia="zh-CN" w:bidi="ar"/>
        </w:rPr>
        <w:t>分，实际得分</w:t>
      </w:r>
      <w:r>
        <w:rPr>
          <w:rFonts w:hint="eastAsia" w:ascii="仿宋_GB2312" w:hAnsi="仿宋_GB2312" w:eastAsia="仿宋_GB2312" w:cs="仿宋_GB2312"/>
          <w:color w:val="auto"/>
          <w:spacing w:val="6"/>
          <w:sz w:val="30"/>
          <w:szCs w:val="30"/>
          <w:highlight w:val="none"/>
          <w:lang w:val="en-US" w:eastAsia="zh-CN" w:bidi="ar"/>
        </w:rPr>
        <w:t>9.50</w:t>
      </w:r>
      <w:r>
        <w:rPr>
          <w:rFonts w:hint="eastAsia" w:ascii="仿宋_GB2312" w:hAnsi="仿宋_GB2312" w:eastAsia="仿宋_GB2312" w:cs="仿宋_GB2312"/>
          <w:color w:val="auto"/>
          <w:spacing w:val="6"/>
          <w:sz w:val="30"/>
          <w:szCs w:val="30"/>
          <w:highlight w:val="none"/>
          <w:lang w:eastAsia="zh-CN" w:bidi="ar"/>
        </w:rPr>
        <w:t>分，得分率</w:t>
      </w:r>
      <w:r>
        <w:rPr>
          <w:rFonts w:hint="eastAsia" w:ascii="仿宋_GB2312" w:hAnsi="仿宋_GB2312" w:eastAsia="仿宋_GB2312" w:cs="仿宋_GB2312"/>
          <w:color w:val="auto"/>
          <w:spacing w:val="6"/>
          <w:sz w:val="30"/>
          <w:szCs w:val="30"/>
          <w:highlight w:val="none"/>
          <w:lang w:val="en-US" w:eastAsia="zh-CN" w:bidi="ar"/>
        </w:rPr>
        <w:t>79.17</w:t>
      </w:r>
      <w:r>
        <w:rPr>
          <w:rFonts w:hint="eastAsia" w:ascii="仿宋_GB2312" w:hAnsi="仿宋_GB2312" w:eastAsia="仿宋_GB2312" w:cs="仿宋_GB2312"/>
          <w:color w:val="auto"/>
          <w:spacing w:val="6"/>
          <w:sz w:val="30"/>
          <w:szCs w:val="30"/>
          <w:highlight w:val="none"/>
          <w:lang w:eastAsia="zh-CN" w:bidi="ar"/>
        </w:rPr>
        <w:t>%。</w:t>
      </w:r>
    </w:p>
    <w:p w14:paraId="17218335">
      <w:pPr>
        <w:keepNext w:val="0"/>
        <w:keepLines w:val="0"/>
        <w:pageBreakBefore w:val="0"/>
        <w:widowControl w:val="0"/>
        <w:numPr>
          <w:ilvl w:val="0"/>
          <w:numId w:val="1"/>
        </w:numPr>
        <w:kinsoku/>
        <w:wordWrap/>
        <w:overflowPunct/>
        <w:topLinePunct w:val="0"/>
        <w:autoSpaceDE/>
        <w:autoSpaceDN/>
        <w:bidi w:val="0"/>
        <w:adjustRightInd w:val="0"/>
        <w:snapToGrid w:val="0"/>
        <w:spacing w:line="590" w:lineRule="exact"/>
        <w:ind w:firstLine="654" w:firstLineChars="200"/>
        <w:textAlignment w:val="auto"/>
        <w:outlineLvl w:val="9"/>
        <w:rPr>
          <w:rFonts w:hint="eastAsia"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sz w:val="30"/>
          <w:szCs w:val="30"/>
          <w:highlight w:val="none"/>
          <w:lang w:eastAsia="zh-CN" w:bidi="ar"/>
        </w:rPr>
        <w:t>审核程序规范性</w:t>
      </w:r>
      <w:r>
        <w:rPr>
          <w:rFonts w:hint="eastAsia" w:ascii="仿宋_GB2312" w:hAnsi="仿宋_GB2312" w:eastAsia="仿宋_GB2312" w:cs="仿宋_GB2312"/>
          <w:color w:val="auto"/>
          <w:spacing w:val="6"/>
          <w:sz w:val="30"/>
          <w:szCs w:val="30"/>
          <w:highlight w:val="none"/>
          <w:lang w:bidi="ar"/>
        </w:rPr>
        <w:t>指标分值</w:t>
      </w:r>
      <w:r>
        <w:rPr>
          <w:rFonts w:hint="eastAsia" w:ascii="仿宋_GB2312" w:hAnsi="仿宋_GB2312" w:eastAsia="仿宋_GB2312" w:cs="仿宋_GB2312"/>
          <w:color w:val="auto"/>
          <w:spacing w:val="6"/>
          <w:sz w:val="30"/>
          <w:szCs w:val="30"/>
          <w:highlight w:val="none"/>
          <w:lang w:val="en-US" w:eastAsia="zh-CN" w:bidi="ar"/>
        </w:rPr>
        <w:t>5</w:t>
      </w:r>
      <w:r>
        <w:rPr>
          <w:rFonts w:hint="eastAsia" w:ascii="仿宋_GB2312" w:hAnsi="仿宋_GB2312" w:eastAsia="仿宋_GB2312" w:cs="仿宋_GB2312"/>
          <w:color w:val="auto"/>
          <w:spacing w:val="6"/>
          <w:sz w:val="30"/>
          <w:szCs w:val="30"/>
          <w:highlight w:val="none"/>
          <w:lang w:bidi="ar"/>
        </w:rPr>
        <w:t>分，实际得分</w:t>
      </w:r>
      <w:r>
        <w:rPr>
          <w:rFonts w:hint="eastAsia" w:ascii="仿宋_GB2312" w:hAnsi="仿宋_GB2312" w:eastAsia="仿宋_GB2312" w:cs="仿宋_GB2312"/>
          <w:color w:val="auto"/>
          <w:spacing w:val="6"/>
          <w:sz w:val="30"/>
          <w:szCs w:val="30"/>
          <w:highlight w:val="none"/>
          <w:lang w:val="en-US" w:eastAsia="zh-CN" w:bidi="ar"/>
        </w:rPr>
        <w:t>4.50</w:t>
      </w:r>
      <w:r>
        <w:rPr>
          <w:rFonts w:hint="eastAsia" w:ascii="仿宋_GB2312" w:hAnsi="仿宋_GB2312" w:eastAsia="仿宋_GB2312" w:cs="仿宋_GB2312"/>
          <w:color w:val="auto"/>
          <w:spacing w:val="6"/>
          <w:sz w:val="30"/>
          <w:szCs w:val="30"/>
          <w:highlight w:val="none"/>
          <w:lang w:bidi="ar"/>
        </w:rPr>
        <w:t>分，得分率</w:t>
      </w:r>
      <w:r>
        <w:rPr>
          <w:rFonts w:hint="eastAsia" w:ascii="仿宋_GB2312" w:hAnsi="仿宋_GB2312" w:eastAsia="仿宋_GB2312" w:cs="仿宋_GB2312"/>
          <w:color w:val="auto"/>
          <w:spacing w:val="6"/>
          <w:sz w:val="30"/>
          <w:szCs w:val="30"/>
          <w:highlight w:val="none"/>
          <w:lang w:val="en-US" w:eastAsia="zh-CN" w:bidi="ar"/>
        </w:rPr>
        <w:t>90</w:t>
      </w:r>
      <w:r>
        <w:rPr>
          <w:rFonts w:hint="eastAsia" w:ascii="仿宋_GB2312" w:hAnsi="仿宋_GB2312" w:eastAsia="仿宋_GB2312" w:cs="仿宋_GB2312"/>
          <w:color w:val="auto"/>
          <w:spacing w:val="6"/>
          <w:sz w:val="30"/>
          <w:szCs w:val="30"/>
          <w:highlight w:val="none"/>
          <w:lang w:bidi="ar"/>
        </w:rPr>
        <w:t>%。</w:t>
      </w:r>
      <w:r>
        <w:rPr>
          <w:rFonts w:hint="eastAsia" w:ascii="仿宋_GB2312" w:hAnsi="仿宋_GB2312" w:eastAsia="仿宋_GB2312" w:cs="仿宋_GB2312"/>
          <w:color w:val="auto"/>
          <w:spacing w:val="6"/>
          <w:sz w:val="30"/>
          <w:szCs w:val="30"/>
          <w:highlight w:val="none"/>
          <w:lang w:eastAsia="zh-CN" w:bidi="ar"/>
        </w:rPr>
        <w:t>扣分原因及相关说明：</w:t>
      </w:r>
      <w:r>
        <w:rPr>
          <w:rFonts w:hint="eastAsia" w:ascii="仿宋_GB2312" w:hAnsi="仿宋_GB2312" w:eastAsia="仿宋_GB2312" w:cs="仿宋_GB2312"/>
          <w:color w:val="auto"/>
          <w:spacing w:val="6"/>
          <w:sz w:val="30"/>
          <w:szCs w:val="30"/>
          <w:highlight w:val="none"/>
          <w:lang w:val="en-US" w:eastAsia="zh-CN" w:bidi="ar"/>
        </w:rPr>
        <w:t>根据自治区民政厅下发的补贴申报工作的通知，2020—2021年因特殊情况，明确禁止实地核查，2022年起逐步放开，2023年起实地核查与安全生产大检查合并进行，2024年明确依据“安全生产治本攻坚三年行动方案”开展实地核查。哈密市依托床位费缴费记录、实地核查结果系统核对了入住人数，完成了年度服务量的核实工作；乌鲁木齐市、昌吉州、喀什地区实地核查配合安全生产大检查进行。评估周期内自治区民政厅统一以《民办养老机构工作报告书》申报补贴，最后一栏为自治区民政厅审核意见，这一栏实际未审核签章。</w:t>
      </w:r>
    </w:p>
    <w:p w14:paraId="4D962556">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54" w:firstLineChars="200"/>
        <w:textAlignment w:val="auto"/>
        <w:outlineLvl w:val="9"/>
        <w:rPr>
          <w:rFonts w:hint="eastAsia"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kern w:val="30"/>
          <w:sz w:val="30"/>
          <w:szCs w:val="30"/>
          <w:highlight w:val="none"/>
          <w:lang w:val="en-US" w:eastAsia="zh-CN" w:bidi="ar"/>
        </w:rPr>
        <w:t>（2）</w:t>
      </w:r>
      <w:r>
        <w:rPr>
          <w:rFonts w:hint="eastAsia" w:ascii="仿宋_GB2312" w:hAnsi="仿宋_GB2312" w:eastAsia="仿宋_GB2312" w:cs="仿宋_GB2312"/>
          <w:color w:val="auto"/>
          <w:spacing w:val="6"/>
          <w:sz w:val="30"/>
          <w:szCs w:val="30"/>
          <w:highlight w:val="none"/>
          <w:lang w:eastAsia="zh-CN" w:bidi="ar"/>
        </w:rPr>
        <w:t>监管机制有效性指标分值</w:t>
      </w:r>
      <w:r>
        <w:rPr>
          <w:rFonts w:hint="eastAsia" w:ascii="仿宋_GB2312" w:hAnsi="仿宋_GB2312" w:eastAsia="仿宋_GB2312" w:cs="仿宋_GB2312"/>
          <w:color w:val="auto"/>
          <w:spacing w:val="6"/>
          <w:sz w:val="30"/>
          <w:szCs w:val="30"/>
          <w:highlight w:val="none"/>
          <w:lang w:val="en-US" w:eastAsia="zh-CN" w:bidi="ar"/>
        </w:rPr>
        <w:t>5</w:t>
      </w:r>
      <w:r>
        <w:rPr>
          <w:rFonts w:hint="eastAsia" w:ascii="仿宋_GB2312" w:hAnsi="仿宋_GB2312" w:eastAsia="仿宋_GB2312" w:cs="仿宋_GB2312"/>
          <w:color w:val="auto"/>
          <w:spacing w:val="6"/>
          <w:sz w:val="30"/>
          <w:szCs w:val="30"/>
          <w:highlight w:val="none"/>
          <w:lang w:eastAsia="zh-CN" w:bidi="ar"/>
        </w:rPr>
        <w:t>分，实际得分</w:t>
      </w:r>
      <w:r>
        <w:rPr>
          <w:rFonts w:hint="eastAsia" w:ascii="仿宋_GB2312" w:hAnsi="仿宋_GB2312" w:eastAsia="仿宋_GB2312" w:cs="仿宋_GB2312"/>
          <w:color w:val="auto"/>
          <w:spacing w:val="6"/>
          <w:sz w:val="30"/>
          <w:szCs w:val="30"/>
          <w:highlight w:val="none"/>
          <w:lang w:val="en-US" w:eastAsia="zh-CN" w:bidi="ar"/>
        </w:rPr>
        <w:t>3.00</w:t>
      </w:r>
      <w:r>
        <w:rPr>
          <w:rFonts w:hint="eastAsia" w:ascii="仿宋_GB2312" w:hAnsi="仿宋_GB2312" w:eastAsia="仿宋_GB2312" w:cs="仿宋_GB2312"/>
          <w:color w:val="auto"/>
          <w:spacing w:val="6"/>
          <w:sz w:val="30"/>
          <w:szCs w:val="30"/>
          <w:highlight w:val="none"/>
          <w:lang w:eastAsia="zh-CN" w:bidi="ar"/>
        </w:rPr>
        <w:t>分，得分率</w:t>
      </w:r>
      <w:r>
        <w:rPr>
          <w:rFonts w:hint="eastAsia" w:ascii="仿宋_GB2312" w:hAnsi="仿宋_GB2312" w:eastAsia="仿宋_GB2312" w:cs="仿宋_GB2312"/>
          <w:color w:val="auto"/>
          <w:spacing w:val="6"/>
          <w:sz w:val="30"/>
          <w:szCs w:val="30"/>
          <w:highlight w:val="none"/>
          <w:lang w:val="en-US" w:eastAsia="zh-CN" w:bidi="ar"/>
        </w:rPr>
        <w:t>60</w:t>
      </w:r>
      <w:r>
        <w:rPr>
          <w:rFonts w:hint="eastAsia" w:ascii="仿宋_GB2312" w:hAnsi="仿宋_GB2312" w:eastAsia="仿宋_GB2312" w:cs="仿宋_GB2312"/>
          <w:color w:val="auto"/>
          <w:spacing w:val="6"/>
          <w:sz w:val="30"/>
          <w:szCs w:val="30"/>
          <w:highlight w:val="none"/>
          <w:lang w:eastAsia="zh-CN" w:bidi="ar"/>
        </w:rPr>
        <w:t>%。扣分原因及相关说明：</w:t>
      </w:r>
      <w:r>
        <w:rPr>
          <w:rFonts w:hint="eastAsia" w:ascii="仿宋_GB2312" w:hAnsi="仿宋_GB2312" w:eastAsia="仿宋_GB2312" w:cs="仿宋_GB2312"/>
          <w:color w:val="auto"/>
          <w:spacing w:val="6"/>
          <w:sz w:val="30"/>
          <w:szCs w:val="30"/>
          <w:highlight w:val="none"/>
          <w:lang w:val="en-US" w:eastAsia="zh-CN" w:bidi="ar"/>
        </w:rPr>
        <w:t>根据自治区民政厅下发的补贴申报工作的通知，2020—2021年因特殊情况，明确禁止实地核查，2022年起逐步放开，2023年起实地核查与安全生产大检查合并进行，2024年明确依据“安全生产治本攻坚三年行动方案”开展实地核查。县级民政部门依据初步核查结果，填报《自治区民办养老机构年度资助资金汇总表》，现场评估中未发现未落实此项工作的情况。</w:t>
      </w:r>
    </w:p>
    <w:p w14:paraId="473E961C">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54" w:firstLineChars="200"/>
        <w:textAlignment w:val="auto"/>
        <w:outlineLvl w:val="9"/>
        <w:rPr>
          <w:rFonts w:hint="eastAsia"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sz w:val="30"/>
          <w:szCs w:val="30"/>
          <w:highlight w:val="none"/>
          <w:lang w:val="en-US" w:eastAsia="zh-CN" w:bidi="ar"/>
        </w:rPr>
        <w:t>但根据查看现场资料情况，发现乌鲁木齐市高新区（新市区）彗星老年养护院2024年度入住率为72.9%（核定床位数170张，使用床位数124张），2024年度平均每月申报运营补贴的人次为46—94人，使用床位数124张比在院最高人数123人还多，来源不明；乌鲁木齐市养老福利院2024年度的申报资料中，核定床位数是690，测算入住率时显示使用床位数为550，入住率为80%，但申报补贴（住满月）人数每月平均为153人左右，入住人数为200人左右，与使用床位数550张不匹配；喀什市亲情缘养老院申报资料中入住率为61%，但经查阅机构申报材料、入住花名册及相关统计台账，该数据与原始资料均无法对应，数据来源和计算依据不充分，无法通过现有资料还原其计算过程；疏勒县康乐园老年养护院2021年度、2022年度入住率分别为56%和60%。根据资料，康乐园备案床位数200张，使用床位数两年度均填写120张，一是2021年度入住率存在明显计算错误，机构填报入住率56%，但根据填写数据计算应为60%；二是补贴申报口径与政策不符，120是表格中备注的“启用的床位数”，入住率计算时使用的“启用床位数”非实际入住人数，而是床位使用状态。疏勒县老年公寓2021年—2023年（补贴年度2020-2022年度）运营补贴名单出现重复、不真实等问题，已整改退回多发补贴。</w:t>
      </w:r>
    </w:p>
    <w:p w14:paraId="3C014E30">
      <w:pPr>
        <w:numPr>
          <w:ilvl w:val="0"/>
          <w:numId w:val="0"/>
        </w:numPr>
        <w:autoSpaceDE/>
        <w:autoSpaceDN/>
        <w:snapToGrid w:val="0"/>
        <w:spacing w:line="590" w:lineRule="exact"/>
        <w:ind w:firstLine="654" w:firstLineChars="200"/>
        <w:outlineLvl w:val="9"/>
        <w:rPr>
          <w:rFonts w:hint="eastAsia"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kern w:val="30"/>
          <w:sz w:val="30"/>
          <w:szCs w:val="30"/>
          <w:highlight w:val="none"/>
          <w:lang w:val="en-US" w:eastAsia="zh-CN" w:bidi="ar"/>
        </w:rPr>
        <w:t>（3）</w:t>
      </w:r>
      <w:r>
        <w:rPr>
          <w:rFonts w:hint="eastAsia" w:ascii="仿宋_GB2312" w:hAnsi="仿宋_GB2312" w:eastAsia="仿宋_GB2312" w:cs="仿宋_GB2312"/>
          <w:color w:val="auto"/>
          <w:spacing w:val="6"/>
          <w:sz w:val="30"/>
          <w:szCs w:val="30"/>
          <w:highlight w:val="none"/>
          <w:lang w:val="en-US" w:eastAsia="zh-CN" w:bidi="ar"/>
        </w:rPr>
        <w:t>区域覆盖均衡性</w:t>
      </w:r>
      <w:r>
        <w:rPr>
          <w:rFonts w:hint="eastAsia" w:ascii="仿宋_GB2312" w:hAnsi="仿宋_GB2312" w:eastAsia="仿宋_GB2312" w:cs="仿宋_GB2312"/>
          <w:color w:val="auto"/>
          <w:spacing w:val="6"/>
          <w:sz w:val="30"/>
          <w:szCs w:val="30"/>
          <w:highlight w:val="none"/>
          <w:lang w:bidi="ar"/>
        </w:rPr>
        <w:t>指标分值</w:t>
      </w:r>
      <w:r>
        <w:rPr>
          <w:rFonts w:hint="eastAsia" w:ascii="仿宋_GB2312" w:hAnsi="仿宋_GB2312" w:eastAsia="仿宋_GB2312" w:cs="仿宋_GB2312"/>
          <w:color w:val="auto"/>
          <w:spacing w:val="6"/>
          <w:sz w:val="30"/>
          <w:szCs w:val="30"/>
          <w:highlight w:val="none"/>
          <w:lang w:val="en-US" w:eastAsia="zh-CN" w:bidi="ar"/>
        </w:rPr>
        <w:t>2</w:t>
      </w:r>
      <w:r>
        <w:rPr>
          <w:rFonts w:hint="eastAsia" w:ascii="仿宋_GB2312" w:hAnsi="仿宋_GB2312" w:eastAsia="仿宋_GB2312" w:cs="仿宋_GB2312"/>
          <w:color w:val="auto"/>
          <w:spacing w:val="6"/>
          <w:sz w:val="30"/>
          <w:szCs w:val="30"/>
          <w:highlight w:val="none"/>
          <w:lang w:bidi="ar"/>
        </w:rPr>
        <w:t>分，实际得分</w:t>
      </w:r>
      <w:r>
        <w:rPr>
          <w:rFonts w:hint="eastAsia" w:ascii="仿宋_GB2312" w:hAnsi="仿宋_GB2312" w:eastAsia="仿宋_GB2312" w:cs="仿宋_GB2312"/>
          <w:color w:val="auto"/>
          <w:spacing w:val="6"/>
          <w:sz w:val="30"/>
          <w:szCs w:val="30"/>
          <w:highlight w:val="none"/>
          <w:lang w:val="en-US" w:eastAsia="zh-CN" w:bidi="ar"/>
        </w:rPr>
        <w:t>2</w:t>
      </w:r>
      <w:r>
        <w:rPr>
          <w:rFonts w:hint="eastAsia" w:ascii="仿宋_GB2312" w:hAnsi="仿宋_GB2312" w:eastAsia="仿宋_GB2312" w:cs="仿宋_GB2312"/>
          <w:color w:val="auto"/>
          <w:spacing w:val="6"/>
          <w:sz w:val="30"/>
          <w:szCs w:val="30"/>
          <w:highlight w:val="none"/>
          <w:lang w:bidi="ar"/>
        </w:rPr>
        <w:t>分，得分率</w:t>
      </w:r>
      <w:r>
        <w:rPr>
          <w:rFonts w:hint="eastAsia" w:ascii="仿宋_GB2312" w:hAnsi="仿宋_GB2312" w:eastAsia="仿宋_GB2312" w:cs="仿宋_GB2312"/>
          <w:color w:val="auto"/>
          <w:spacing w:val="6"/>
          <w:sz w:val="30"/>
          <w:szCs w:val="30"/>
          <w:highlight w:val="none"/>
          <w:lang w:val="en-US" w:eastAsia="zh-CN" w:bidi="ar"/>
        </w:rPr>
        <w:t>100</w:t>
      </w:r>
      <w:r>
        <w:rPr>
          <w:rFonts w:hint="eastAsia" w:ascii="仿宋_GB2312" w:hAnsi="仿宋_GB2312" w:eastAsia="仿宋_GB2312" w:cs="仿宋_GB2312"/>
          <w:color w:val="auto"/>
          <w:spacing w:val="6"/>
          <w:sz w:val="30"/>
          <w:szCs w:val="30"/>
          <w:highlight w:val="none"/>
          <w:lang w:bidi="ar"/>
        </w:rPr>
        <w:t>%。</w:t>
      </w:r>
      <w:r>
        <w:rPr>
          <w:rFonts w:hint="eastAsia" w:ascii="仿宋_GB2312" w:hAnsi="仿宋_GB2312" w:eastAsia="仿宋_GB2312" w:cs="仿宋_GB2312"/>
          <w:color w:val="auto"/>
          <w:spacing w:val="6"/>
          <w:sz w:val="30"/>
          <w:szCs w:val="30"/>
          <w:highlight w:val="none"/>
          <w:lang w:val="en-US" w:eastAsia="zh-CN" w:bidi="ar"/>
        </w:rPr>
        <w:t>评估周期内，未发现存在零资助地区的情况，即县区有符合政策资助范围的养老机构但从未获得过资助。</w:t>
      </w:r>
    </w:p>
    <w:p w14:paraId="28D31C5C">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sz w:val="30"/>
          <w:szCs w:val="30"/>
          <w:highlight w:val="none"/>
          <w:lang w:val="en-US" w:eastAsia="zh-CN" w:bidi="ar"/>
        </w:rPr>
        <w:t>4</w:t>
      </w:r>
      <w:r>
        <w:rPr>
          <w:rFonts w:hint="eastAsia" w:ascii="仿宋_GB2312" w:hAnsi="仿宋_GB2312" w:eastAsia="仿宋_GB2312" w:cs="仿宋_GB2312"/>
          <w:color w:val="auto"/>
          <w:spacing w:val="6"/>
          <w:sz w:val="30"/>
          <w:szCs w:val="30"/>
          <w:highlight w:val="none"/>
          <w:lang w:eastAsia="zh-CN" w:bidi="ar"/>
        </w:rPr>
        <w:t>.</w:t>
      </w:r>
      <w:r>
        <w:rPr>
          <w:rFonts w:hint="eastAsia" w:ascii="仿宋_GB2312" w:hAnsi="仿宋_GB2312" w:eastAsia="仿宋_GB2312" w:cs="仿宋_GB2312"/>
          <w:color w:val="auto"/>
          <w:spacing w:val="6"/>
          <w:sz w:val="30"/>
          <w:szCs w:val="30"/>
          <w:highlight w:val="none"/>
          <w:lang w:val="en-US" w:eastAsia="zh-CN" w:bidi="ar"/>
        </w:rPr>
        <w:t>产出与效益</w:t>
      </w:r>
    </w:p>
    <w:p w14:paraId="4280B498">
      <w:pPr>
        <w:numPr>
          <w:ilvl w:val="0"/>
          <w:numId w:val="0"/>
        </w:numPr>
        <w:autoSpaceDE/>
        <w:autoSpaceDN/>
        <w:snapToGrid w:val="0"/>
        <w:spacing w:line="590" w:lineRule="exact"/>
        <w:ind w:firstLine="654" w:firstLineChars="200"/>
        <w:rPr>
          <w:rFonts w:hint="eastAsia"/>
          <w:color w:val="auto"/>
          <w:highlight w:val="none"/>
          <w:lang w:val="en-US" w:eastAsia="zh-CN"/>
        </w:rPr>
      </w:pPr>
      <w:r>
        <w:rPr>
          <w:rFonts w:hint="eastAsia" w:ascii="仿宋_GB2312" w:hAnsi="仿宋_GB2312" w:eastAsia="仿宋_GB2312" w:cs="仿宋_GB2312"/>
          <w:color w:val="auto"/>
          <w:spacing w:val="6"/>
          <w:sz w:val="30"/>
          <w:szCs w:val="30"/>
          <w:highlight w:val="none"/>
          <w:lang w:val="en-US" w:eastAsia="zh-CN" w:bidi="ar"/>
        </w:rPr>
        <w:t>产出与效益</w:t>
      </w:r>
      <w:r>
        <w:rPr>
          <w:rFonts w:hint="eastAsia" w:ascii="仿宋_GB2312" w:hAnsi="仿宋_GB2312" w:eastAsia="仿宋_GB2312" w:cs="仿宋_GB2312"/>
          <w:color w:val="auto"/>
          <w:spacing w:val="6"/>
          <w:sz w:val="30"/>
          <w:szCs w:val="30"/>
          <w:highlight w:val="none"/>
          <w:lang w:eastAsia="zh-CN" w:bidi="ar"/>
        </w:rPr>
        <w:t>下设</w:t>
      </w:r>
      <w:r>
        <w:rPr>
          <w:rFonts w:hint="eastAsia" w:ascii="仿宋_GB2312" w:hAnsi="仿宋_GB2312" w:eastAsia="仿宋_GB2312" w:cs="仿宋_GB2312"/>
          <w:color w:val="auto"/>
          <w:spacing w:val="6"/>
          <w:sz w:val="30"/>
          <w:szCs w:val="30"/>
          <w:highlight w:val="none"/>
          <w:lang w:val="en-US" w:eastAsia="zh-CN" w:bidi="ar"/>
        </w:rPr>
        <w:t>床位与机构增长、护理型床位占比、机构服务质量、机构持续经营能力4</w:t>
      </w:r>
      <w:r>
        <w:rPr>
          <w:rFonts w:hint="eastAsia" w:ascii="仿宋_GB2312" w:hAnsi="仿宋_GB2312" w:eastAsia="仿宋_GB2312" w:cs="仿宋_GB2312"/>
          <w:color w:val="auto"/>
          <w:spacing w:val="6"/>
          <w:sz w:val="30"/>
          <w:szCs w:val="30"/>
          <w:highlight w:val="none"/>
          <w:lang w:eastAsia="zh-CN" w:bidi="ar"/>
        </w:rPr>
        <w:t>个三级指标，指标权重</w:t>
      </w:r>
      <w:r>
        <w:rPr>
          <w:rFonts w:hint="eastAsia" w:ascii="仿宋_GB2312" w:hAnsi="仿宋_GB2312" w:eastAsia="仿宋_GB2312" w:cs="仿宋_GB2312"/>
          <w:color w:val="auto"/>
          <w:spacing w:val="6"/>
          <w:sz w:val="30"/>
          <w:szCs w:val="30"/>
          <w:highlight w:val="none"/>
          <w:lang w:val="en-US" w:eastAsia="zh-CN" w:bidi="ar"/>
        </w:rPr>
        <w:t>22</w:t>
      </w:r>
      <w:r>
        <w:rPr>
          <w:rFonts w:hint="eastAsia" w:ascii="仿宋_GB2312" w:hAnsi="仿宋_GB2312" w:eastAsia="仿宋_GB2312" w:cs="仿宋_GB2312"/>
          <w:color w:val="auto"/>
          <w:spacing w:val="6"/>
          <w:sz w:val="30"/>
          <w:szCs w:val="30"/>
          <w:highlight w:val="none"/>
          <w:lang w:eastAsia="zh-CN" w:bidi="ar"/>
        </w:rPr>
        <w:t>分，实际得分</w:t>
      </w:r>
      <w:r>
        <w:rPr>
          <w:rFonts w:hint="eastAsia" w:ascii="仿宋_GB2312" w:hAnsi="仿宋_GB2312" w:eastAsia="仿宋_GB2312" w:cs="仿宋_GB2312"/>
          <w:color w:val="auto"/>
          <w:spacing w:val="6"/>
          <w:sz w:val="30"/>
          <w:szCs w:val="30"/>
          <w:highlight w:val="none"/>
          <w:lang w:val="en-US" w:eastAsia="zh-CN" w:bidi="ar"/>
        </w:rPr>
        <w:t>20.89</w:t>
      </w:r>
      <w:r>
        <w:rPr>
          <w:rFonts w:hint="eastAsia" w:ascii="仿宋_GB2312" w:hAnsi="仿宋_GB2312" w:eastAsia="仿宋_GB2312" w:cs="仿宋_GB2312"/>
          <w:color w:val="auto"/>
          <w:spacing w:val="6"/>
          <w:sz w:val="30"/>
          <w:szCs w:val="30"/>
          <w:highlight w:val="none"/>
          <w:lang w:eastAsia="zh-CN" w:bidi="ar"/>
        </w:rPr>
        <w:t>分，得分率</w:t>
      </w:r>
      <w:r>
        <w:rPr>
          <w:rFonts w:hint="eastAsia" w:ascii="仿宋_GB2312" w:hAnsi="仿宋_GB2312" w:eastAsia="仿宋_GB2312" w:cs="仿宋_GB2312"/>
          <w:color w:val="auto"/>
          <w:spacing w:val="6"/>
          <w:sz w:val="30"/>
          <w:szCs w:val="30"/>
          <w:highlight w:val="none"/>
          <w:lang w:val="en-US" w:eastAsia="zh-CN" w:bidi="ar"/>
        </w:rPr>
        <w:t>94.95</w:t>
      </w:r>
      <w:r>
        <w:rPr>
          <w:rFonts w:hint="eastAsia" w:ascii="仿宋_GB2312" w:hAnsi="仿宋_GB2312" w:eastAsia="仿宋_GB2312" w:cs="仿宋_GB2312"/>
          <w:color w:val="auto"/>
          <w:spacing w:val="6"/>
          <w:sz w:val="30"/>
          <w:szCs w:val="30"/>
          <w:highlight w:val="none"/>
          <w:lang w:eastAsia="zh-CN" w:bidi="ar"/>
        </w:rPr>
        <w:t>%。</w:t>
      </w:r>
    </w:p>
    <w:p w14:paraId="3047B193">
      <w:pPr>
        <w:keepNext w:val="0"/>
        <w:keepLines w:val="0"/>
        <w:pageBreakBefore w:val="0"/>
        <w:widowControl/>
        <w:numPr>
          <w:ilvl w:val="0"/>
          <w:numId w:val="0"/>
        </w:numPr>
        <w:kinsoku/>
        <w:wordWrap/>
        <w:overflowPunct/>
        <w:topLinePunct w:val="0"/>
        <w:autoSpaceDE/>
        <w:autoSpaceDN/>
        <w:bidi w:val="0"/>
        <w:adjustRightInd/>
        <w:snapToGrid w:val="0"/>
        <w:spacing w:line="590" w:lineRule="exact"/>
        <w:ind w:firstLine="654" w:firstLineChars="200"/>
        <w:textAlignment w:val="auto"/>
        <w:outlineLvl w:val="9"/>
        <w:rPr>
          <w:rFonts w:hint="eastAsia" w:ascii="仿宋_GB2312" w:hAnsi="仿宋_GB2312" w:eastAsia="仿宋_GB2312" w:cs="仿宋_GB2312"/>
          <w:snapToGrid w:val="0"/>
          <w:color w:val="auto"/>
          <w:spacing w:val="6"/>
          <w:kern w:val="0"/>
          <w:sz w:val="30"/>
          <w:szCs w:val="30"/>
          <w:highlight w:val="none"/>
          <w:lang w:val="en-US" w:eastAsia="zh-CN" w:bidi="ar"/>
        </w:rPr>
      </w:pPr>
      <w:r>
        <w:rPr>
          <w:rFonts w:hint="eastAsia" w:ascii="仿宋_GB2312" w:hAnsi="仿宋_GB2312" w:eastAsia="仿宋_GB2312" w:cs="仿宋_GB2312"/>
          <w:snapToGrid w:val="0"/>
          <w:color w:val="auto"/>
          <w:spacing w:val="6"/>
          <w:kern w:val="0"/>
          <w:sz w:val="30"/>
          <w:szCs w:val="30"/>
          <w:highlight w:val="none"/>
          <w:lang w:val="en-US" w:eastAsia="zh-CN" w:bidi="ar"/>
        </w:rPr>
        <w:t>（1）床位与机构增长</w:t>
      </w:r>
      <w:r>
        <w:rPr>
          <w:rFonts w:hint="eastAsia" w:ascii="仿宋_GB2312" w:hAnsi="仿宋_GB2312" w:eastAsia="仿宋_GB2312" w:cs="仿宋_GB2312"/>
          <w:snapToGrid w:val="0"/>
          <w:color w:val="auto"/>
          <w:spacing w:val="6"/>
          <w:kern w:val="0"/>
          <w:sz w:val="30"/>
          <w:szCs w:val="30"/>
          <w:highlight w:val="none"/>
          <w:lang w:bidi="ar"/>
        </w:rPr>
        <w:t>指标分值</w:t>
      </w:r>
      <w:r>
        <w:rPr>
          <w:rFonts w:hint="eastAsia" w:ascii="仿宋_GB2312" w:hAnsi="仿宋_GB2312" w:eastAsia="仿宋_GB2312" w:cs="仿宋_GB2312"/>
          <w:snapToGrid w:val="0"/>
          <w:color w:val="auto"/>
          <w:spacing w:val="6"/>
          <w:kern w:val="0"/>
          <w:sz w:val="30"/>
          <w:szCs w:val="30"/>
          <w:highlight w:val="none"/>
          <w:lang w:val="en-US" w:eastAsia="zh-CN" w:bidi="ar"/>
        </w:rPr>
        <w:t>6</w:t>
      </w:r>
      <w:r>
        <w:rPr>
          <w:rFonts w:hint="eastAsia" w:ascii="仿宋_GB2312" w:hAnsi="仿宋_GB2312" w:eastAsia="仿宋_GB2312" w:cs="仿宋_GB2312"/>
          <w:snapToGrid w:val="0"/>
          <w:color w:val="auto"/>
          <w:spacing w:val="6"/>
          <w:kern w:val="0"/>
          <w:sz w:val="30"/>
          <w:szCs w:val="30"/>
          <w:highlight w:val="none"/>
          <w:lang w:bidi="ar"/>
        </w:rPr>
        <w:t>分，实际得分</w:t>
      </w:r>
      <w:r>
        <w:rPr>
          <w:rFonts w:hint="eastAsia" w:ascii="仿宋_GB2312" w:hAnsi="仿宋_GB2312" w:eastAsia="仿宋_GB2312" w:cs="仿宋_GB2312"/>
          <w:snapToGrid w:val="0"/>
          <w:color w:val="auto"/>
          <w:spacing w:val="6"/>
          <w:kern w:val="0"/>
          <w:sz w:val="30"/>
          <w:szCs w:val="30"/>
          <w:highlight w:val="none"/>
          <w:lang w:val="en-US" w:eastAsia="zh-CN" w:bidi="ar"/>
        </w:rPr>
        <w:t>6</w:t>
      </w:r>
      <w:r>
        <w:rPr>
          <w:rFonts w:hint="eastAsia" w:ascii="仿宋_GB2312" w:hAnsi="仿宋_GB2312" w:eastAsia="仿宋_GB2312" w:cs="仿宋_GB2312"/>
          <w:snapToGrid w:val="0"/>
          <w:color w:val="auto"/>
          <w:spacing w:val="6"/>
          <w:kern w:val="0"/>
          <w:sz w:val="30"/>
          <w:szCs w:val="30"/>
          <w:highlight w:val="none"/>
          <w:lang w:bidi="ar"/>
        </w:rPr>
        <w:t>分，得分率</w:t>
      </w:r>
      <w:r>
        <w:rPr>
          <w:rFonts w:hint="eastAsia" w:ascii="仿宋_GB2312" w:hAnsi="仿宋_GB2312" w:eastAsia="仿宋_GB2312" w:cs="仿宋_GB2312"/>
          <w:snapToGrid w:val="0"/>
          <w:color w:val="auto"/>
          <w:spacing w:val="6"/>
          <w:kern w:val="0"/>
          <w:sz w:val="30"/>
          <w:szCs w:val="30"/>
          <w:highlight w:val="none"/>
          <w:lang w:val="en-US" w:eastAsia="zh-CN" w:bidi="ar"/>
        </w:rPr>
        <w:t>100</w:t>
      </w:r>
      <w:r>
        <w:rPr>
          <w:rFonts w:hint="eastAsia" w:ascii="仿宋_GB2312" w:hAnsi="仿宋_GB2312" w:eastAsia="仿宋_GB2312" w:cs="仿宋_GB2312"/>
          <w:snapToGrid w:val="0"/>
          <w:color w:val="auto"/>
          <w:spacing w:val="6"/>
          <w:kern w:val="0"/>
          <w:sz w:val="30"/>
          <w:szCs w:val="30"/>
          <w:highlight w:val="none"/>
          <w:lang w:bidi="ar"/>
        </w:rPr>
        <w:t>%。</w:t>
      </w:r>
      <w:r>
        <w:rPr>
          <w:rFonts w:hint="eastAsia" w:ascii="仿宋_GB2312" w:hAnsi="仿宋_GB2312" w:eastAsia="仿宋_GB2312" w:cs="仿宋_GB2312"/>
          <w:snapToGrid w:val="0"/>
          <w:color w:val="auto"/>
          <w:spacing w:val="6"/>
          <w:kern w:val="0"/>
          <w:sz w:val="30"/>
          <w:szCs w:val="30"/>
          <w:highlight w:val="none"/>
          <w:lang w:val="en-US" w:eastAsia="zh-CN" w:bidi="ar"/>
        </w:rPr>
        <w:t>经统计自治区2021年-2025年床位与机构数量，得出评估周期内床位数增长率=（2025年床位数-2021年床位数）/2021年床位数×100%=(17,189-16,906)/16,906×100%=1.67%；机构数增长率=（2025年机构数-2021年机构数）/2021年机构数×100%=(115-102)/102×100%=12.75%。</w:t>
      </w:r>
    </w:p>
    <w:p w14:paraId="379A9C02">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54" w:firstLineChars="200"/>
        <w:textAlignment w:val="auto"/>
        <w:outlineLvl w:val="9"/>
        <w:rPr>
          <w:rFonts w:hint="eastAsia"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kern w:val="30"/>
          <w:sz w:val="30"/>
          <w:szCs w:val="30"/>
          <w:highlight w:val="none"/>
          <w:lang w:val="en-US" w:eastAsia="zh-CN" w:bidi="ar"/>
        </w:rPr>
        <w:t>（2）</w:t>
      </w:r>
      <w:r>
        <w:rPr>
          <w:rFonts w:hint="eastAsia" w:ascii="仿宋_GB2312" w:hAnsi="仿宋_GB2312" w:eastAsia="仿宋_GB2312" w:cs="仿宋_GB2312"/>
          <w:color w:val="auto"/>
          <w:spacing w:val="6"/>
          <w:sz w:val="30"/>
          <w:szCs w:val="30"/>
          <w:highlight w:val="none"/>
          <w:lang w:val="en-US" w:eastAsia="zh-CN" w:bidi="ar"/>
        </w:rPr>
        <w:t>护理型床位占比指标分值5分，实际得分4.29分，得分率85.80%。扣分原因及相关说明：经统计各地州护理型床位占比情况可知，2025年喀什地区民办非营利养老机构（含“公建民营”）护理型床位占比25.71%，哈密市民办非营利养老机构（含“公建民营”）护理型床位占比39.47%（2025年新增一家机构，占比从2024年82.88%降至2025年39.47%），其余地州2025年护理型床位占比均达到55%以上。</w:t>
      </w:r>
    </w:p>
    <w:p w14:paraId="1F059B25">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54" w:firstLineChars="200"/>
        <w:textAlignment w:val="auto"/>
        <w:outlineLvl w:val="9"/>
        <w:rPr>
          <w:rFonts w:hint="eastAsia"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kern w:val="30"/>
          <w:sz w:val="30"/>
          <w:szCs w:val="30"/>
          <w:highlight w:val="none"/>
          <w:lang w:val="en-US" w:eastAsia="zh-CN" w:bidi="ar"/>
        </w:rPr>
        <w:t>（3）</w:t>
      </w:r>
      <w:r>
        <w:rPr>
          <w:rFonts w:hint="eastAsia" w:ascii="仿宋_GB2312" w:hAnsi="仿宋_GB2312" w:eastAsia="仿宋_GB2312" w:cs="仿宋_GB2312"/>
          <w:color w:val="auto"/>
          <w:spacing w:val="6"/>
          <w:sz w:val="30"/>
          <w:szCs w:val="30"/>
          <w:highlight w:val="none"/>
          <w:lang w:val="en-US" w:eastAsia="zh-CN" w:bidi="ar"/>
        </w:rPr>
        <w:t>机构服务质量指标分值5分，实际得分4.80分，得分率96%。扣分原因及相关说明：根据问卷调查结果，老人及亲属对养老机构的总体满意度表现优异，非常满意+比较满意的占比超过95%，其中非常满意占比超过70%；未发现享受资助的养老机构一年内有效投诉2次及以上的情况。依据《养老机构服务安全基本规范》（GB 38600-2019），抽样机构建立“九防”风险评估及防范措施（防噎食、防跌倒、防压疮等），制定应急预案并定期演练，出现1个机构（昌吉市荣福老年公寓）未建立。</w:t>
      </w:r>
    </w:p>
    <w:p w14:paraId="5E937345">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firstLine="654" w:firstLineChars="200"/>
        <w:textAlignment w:val="auto"/>
        <w:outlineLvl w:val="9"/>
        <w:rPr>
          <w:rFonts w:hint="eastAsia"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sz w:val="30"/>
          <w:szCs w:val="30"/>
          <w:highlight w:val="none"/>
          <w:lang w:val="en-US" w:eastAsia="zh-CN" w:bidi="ar"/>
        </w:rPr>
        <w:t>（4）机构持续经营能力指标分值6分，实际得分5.80分，得分率96.67%。扣分原因及相关说明：根据</w:t>
      </w:r>
      <w:r>
        <w:rPr>
          <w:rFonts w:hint="eastAsia" w:ascii="仿宋_GB2312" w:hAnsi="仿宋_GB2312" w:eastAsia="仿宋_GB2312" w:cs="仿宋_GB2312"/>
          <w:color w:val="auto"/>
          <w:spacing w:val="6"/>
          <w:sz w:val="30"/>
          <w:szCs w:val="30"/>
          <w:highlight w:val="none"/>
          <w:lang w:eastAsia="zh-CN" w:bidi="ar"/>
        </w:rPr>
        <w:t>实地</w:t>
      </w:r>
      <w:r>
        <w:rPr>
          <w:rFonts w:hint="eastAsia" w:ascii="仿宋_GB2312" w:hAnsi="仿宋_GB2312" w:eastAsia="仿宋_GB2312" w:cs="仿宋_GB2312"/>
          <w:color w:val="auto"/>
          <w:spacing w:val="6"/>
          <w:sz w:val="30"/>
          <w:szCs w:val="30"/>
          <w:highlight w:val="none"/>
          <w:lang w:val="en-US" w:eastAsia="zh-CN" w:bidi="ar"/>
        </w:rPr>
        <w:t>评估情况</w:t>
      </w:r>
      <w:r>
        <w:rPr>
          <w:rFonts w:hint="eastAsia" w:ascii="仿宋_GB2312" w:hAnsi="仿宋_GB2312" w:eastAsia="仿宋_GB2312" w:cs="仿宋_GB2312"/>
          <w:color w:val="auto"/>
          <w:spacing w:val="6"/>
          <w:sz w:val="30"/>
          <w:szCs w:val="30"/>
          <w:highlight w:val="none"/>
          <w:lang w:eastAsia="zh-CN" w:bidi="ar"/>
        </w:rPr>
        <w:t>，</w:t>
      </w:r>
      <w:r>
        <w:rPr>
          <w:rFonts w:hint="eastAsia" w:ascii="仿宋_GB2312" w:hAnsi="仿宋_GB2312" w:eastAsia="仿宋_GB2312" w:cs="仿宋_GB2312"/>
          <w:color w:val="auto"/>
          <w:spacing w:val="6"/>
          <w:sz w:val="30"/>
          <w:szCs w:val="30"/>
          <w:highlight w:val="none"/>
          <w:lang w:val="en-US" w:eastAsia="zh-CN" w:bidi="ar"/>
        </w:rPr>
        <w:t>结合</w:t>
      </w:r>
      <w:r>
        <w:rPr>
          <w:rFonts w:hint="eastAsia" w:ascii="仿宋_GB2312" w:hAnsi="仿宋_GB2312" w:eastAsia="仿宋_GB2312" w:cs="仿宋_GB2312"/>
          <w:color w:val="auto"/>
          <w:spacing w:val="6"/>
          <w:sz w:val="30"/>
          <w:szCs w:val="30"/>
          <w:highlight w:val="none"/>
          <w:lang w:eastAsia="zh-CN" w:bidi="ar"/>
        </w:rPr>
        <w:t>电话访谈及数据收集，</w:t>
      </w:r>
      <w:r>
        <w:rPr>
          <w:rFonts w:hint="eastAsia" w:ascii="仿宋_GB2312" w:hAnsi="仿宋_GB2312" w:eastAsia="仿宋_GB2312" w:cs="仿宋_GB2312"/>
          <w:color w:val="auto"/>
          <w:spacing w:val="6"/>
          <w:sz w:val="30"/>
          <w:szCs w:val="30"/>
          <w:highlight w:val="none"/>
          <w:lang w:val="en-US" w:eastAsia="zh-CN" w:bidi="ar"/>
        </w:rPr>
        <w:t>未发现受资助机构在获得补贴后5年考察期改变社会福利性质的情况，但金龄老年公寓（乌鲁木齐市沙依巴克区）申请到2022年度运营补贴，获得补贴后未持续经营满3年。</w:t>
      </w:r>
    </w:p>
    <w:p w14:paraId="4C6B516D">
      <w:pPr>
        <w:keepNext w:val="0"/>
        <w:keepLines w:val="0"/>
        <w:pageBreakBefore w:val="0"/>
        <w:widowControl w:val="0"/>
        <w:kinsoku/>
        <w:wordWrap/>
        <w:overflowPunct/>
        <w:topLinePunct w:val="0"/>
        <w:autoSpaceDE/>
        <w:autoSpaceDN/>
        <w:bidi w:val="0"/>
        <w:adjustRightInd/>
        <w:snapToGrid/>
        <w:spacing w:line="590" w:lineRule="exact"/>
        <w:ind w:firstLine="630" w:firstLineChars="200"/>
        <w:textAlignment w:val="auto"/>
        <w:outlineLvl w:val="1"/>
        <w:rPr>
          <w:rFonts w:hint="eastAsia" w:ascii="楷体_GB2312" w:hAnsi="楷体_GB2312" w:eastAsia="楷体_GB2312" w:cs="楷体_GB2312"/>
          <w:color w:val="auto"/>
          <w:spacing w:val="0"/>
          <w:kern w:val="30"/>
          <w:sz w:val="30"/>
          <w:szCs w:val="30"/>
          <w:highlight w:val="none"/>
        </w:rPr>
      </w:pPr>
      <w:bookmarkStart w:id="302" w:name="_Toc3884"/>
      <w:bookmarkStart w:id="303" w:name="_Toc22303"/>
      <w:bookmarkStart w:id="304" w:name="_Toc717417132"/>
      <w:bookmarkStart w:id="305" w:name="_Toc1512020249"/>
      <w:bookmarkStart w:id="306" w:name="_Toc1702195863"/>
      <w:bookmarkStart w:id="307" w:name="_Toc30299"/>
      <w:bookmarkStart w:id="308" w:name="_Toc14083"/>
      <w:bookmarkStart w:id="309" w:name="_Toc15662"/>
      <w:bookmarkStart w:id="310" w:name="_Toc21897"/>
      <w:bookmarkStart w:id="311" w:name="_Toc1420647052"/>
      <w:bookmarkStart w:id="312" w:name="_Toc14519"/>
      <w:bookmarkStart w:id="313" w:name="_Toc28503"/>
      <w:bookmarkStart w:id="314" w:name="_Toc12874"/>
      <w:bookmarkStart w:id="315" w:name="_Toc3533"/>
      <w:bookmarkStart w:id="316" w:name="_Toc8540"/>
      <w:bookmarkStart w:id="317" w:name="_Toc30560"/>
      <w:bookmarkStart w:id="318" w:name="_Toc29537"/>
      <w:bookmarkStart w:id="319" w:name="_Toc28396"/>
      <w:bookmarkStart w:id="320" w:name="_Toc17179"/>
      <w:bookmarkStart w:id="321" w:name="_Toc19461"/>
      <w:bookmarkStart w:id="322" w:name="_Toc1047"/>
      <w:bookmarkStart w:id="323" w:name="_Toc15360"/>
      <w:bookmarkStart w:id="324" w:name="_Toc963163801"/>
      <w:bookmarkStart w:id="325" w:name="_Toc1198733352"/>
      <w:bookmarkStart w:id="326" w:name="_Toc514699316"/>
      <w:bookmarkStart w:id="327" w:name="_Toc28380"/>
      <w:bookmarkStart w:id="328" w:name="_Toc26083"/>
      <w:r>
        <w:rPr>
          <w:rFonts w:hint="eastAsia" w:ascii="楷体_GB2312" w:hAnsi="楷体_GB2312" w:eastAsia="楷体_GB2312" w:cs="楷体_GB2312"/>
          <w:color w:val="auto"/>
          <w:spacing w:val="0"/>
          <w:kern w:val="30"/>
          <w:sz w:val="30"/>
          <w:szCs w:val="30"/>
          <w:highlight w:val="none"/>
        </w:rPr>
        <w:t>（二）政策调整方向与存续价值</w:t>
      </w:r>
      <w:r>
        <w:rPr>
          <w:rFonts w:hint="eastAsia" w:ascii="楷体_GB2312" w:hAnsi="楷体_GB2312" w:eastAsia="楷体_GB2312" w:cs="楷体_GB2312"/>
          <w:color w:val="auto"/>
          <w:spacing w:val="0"/>
          <w:kern w:val="30"/>
          <w:sz w:val="30"/>
          <w:szCs w:val="30"/>
          <w:highlight w:val="none"/>
          <w:lang w:val="en-US" w:eastAsia="zh-CN"/>
        </w:rPr>
        <w:t>情况</w:t>
      </w:r>
      <w:r>
        <w:rPr>
          <w:rFonts w:hint="eastAsia" w:ascii="楷体_GB2312" w:hAnsi="楷体_GB2312" w:eastAsia="楷体_GB2312" w:cs="楷体_GB2312"/>
          <w:color w:val="auto"/>
          <w:spacing w:val="0"/>
          <w:kern w:val="30"/>
          <w:sz w:val="30"/>
          <w:szCs w:val="30"/>
          <w:highlight w:val="none"/>
        </w:rPr>
        <w:t>分析</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14:paraId="7A691A20">
      <w:pPr>
        <w:keepNext w:val="0"/>
        <w:keepLines w:val="0"/>
        <w:pageBreakBefore w:val="0"/>
        <w:widowControl/>
        <w:numPr>
          <w:ilvl w:val="0"/>
          <w:numId w:val="0"/>
        </w:numPr>
        <w:kinsoku/>
        <w:wordWrap/>
        <w:overflowPunct/>
        <w:topLinePunct w:val="0"/>
        <w:autoSpaceDE/>
        <w:autoSpaceDN/>
        <w:bidi w:val="0"/>
        <w:adjustRightInd w:val="0"/>
        <w:snapToGrid w:val="0"/>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bidi="ar"/>
        </w:rPr>
      </w:pPr>
      <w:r>
        <w:rPr>
          <w:rFonts w:hint="eastAsia" w:ascii="仿宋_GB2312" w:hAnsi="仿宋_GB2312" w:eastAsia="仿宋_GB2312" w:cs="仿宋_GB2312"/>
          <w:color w:val="auto"/>
          <w:spacing w:val="6"/>
          <w:sz w:val="30"/>
          <w:szCs w:val="30"/>
          <w:highlight w:val="none"/>
          <w:lang w:bidi="ar"/>
        </w:rPr>
        <w:t>此项</w:t>
      </w:r>
      <w:r>
        <w:rPr>
          <w:rFonts w:hint="eastAsia" w:ascii="仿宋_GB2312" w:hAnsi="仿宋_GB2312" w:eastAsia="仿宋_GB2312" w:cs="仿宋_GB2312"/>
          <w:color w:val="auto"/>
          <w:spacing w:val="6"/>
          <w:sz w:val="30"/>
          <w:szCs w:val="30"/>
          <w:highlight w:val="none"/>
          <w:lang w:val="en-US" w:eastAsia="zh-CN" w:bidi="ar"/>
        </w:rPr>
        <w:t>评估</w:t>
      </w:r>
      <w:r>
        <w:rPr>
          <w:rFonts w:hint="eastAsia" w:ascii="仿宋_GB2312" w:hAnsi="仿宋_GB2312" w:eastAsia="仿宋_GB2312" w:cs="仿宋_GB2312"/>
          <w:color w:val="auto"/>
          <w:spacing w:val="6"/>
          <w:sz w:val="30"/>
          <w:szCs w:val="30"/>
          <w:highlight w:val="none"/>
          <w:lang w:bidi="ar"/>
        </w:rPr>
        <w:t>满分为</w:t>
      </w:r>
      <w:r>
        <w:rPr>
          <w:rFonts w:hint="eastAsia" w:ascii="仿宋_GB2312" w:hAnsi="仿宋_GB2312" w:eastAsia="仿宋_GB2312" w:cs="仿宋_GB2312"/>
          <w:color w:val="auto"/>
          <w:spacing w:val="6"/>
          <w:sz w:val="30"/>
          <w:szCs w:val="30"/>
          <w:highlight w:val="none"/>
          <w:lang w:val="en-US" w:eastAsia="zh-CN" w:bidi="ar"/>
        </w:rPr>
        <w:t>30</w:t>
      </w:r>
      <w:r>
        <w:rPr>
          <w:rFonts w:hint="eastAsia" w:ascii="仿宋_GB2312" w:hAnsi="仿宋_GB2312" w:eastAsia="仿宋_GB2312" w:cs="仿宋_GB2312"/>
          <w:color w:val="auto"/>
          <w:spacing w:val="6"/>
          <w:sz w:val="30"/>
          <w:szCs w:val="30"/>
          <w:highlight w:val="none"/>
          <w:lang w:bidi="ar"/>
        </w:rPr>
        <w:t>分，</w:t>
      </w:r>
      <w:r>
        <w:rPr>
          <w:rFonts w:hint="eastAsia" w:ascii="仿宋_GB2312" w:hAnsi="仿宋_GB2312" w:eastAsia="仿宋_GB2312" w:cs="仿宋_GB2312"/>
          <w:color w:val="auto"/>
          <w:spacing w:val="6"/>
          <w:sz w:val="30"/>
          <w:szCs w:val="30"/>
          <w:highlight w:val="none"/>
          <w:lang w:val="en-US" w:eastAsia="zh-CN" w:bidi="ar"/>
        </w:rPr>
        <w:t>政策评估</w:t>
      </w:r>
      <w:r>
        <w:rPr>
          <w:rFonts w:hint="eastAsia" w:ascii="仿宋_GB2312" w:hAnsi="仿宋_GB2312" w:eastAsia="仿宋_GB2312" w:cs="仿宋_GB2312"/>
          <w:color w:val="auto"/>
          <w:spacing w:val="6"/>
          <w:sz w:val="30"/>
          <w:szCs w:val="30"/>
          <w:highlight w:val="none"/>
          <w:lang w:bidi="ar"/>
        </w:rPr>
        <w:t>得分</w:t>
      </w:r>
      <w:r>
        <w:rPr>
          <w:rFonts w:hint="eastAsia" w:ascii="仿宋_GB2312" w:hAnsi="仿宋_GB2312" w:eastAsia="仿宋_GB2312" w:cs="仿宋_GB2312"/>
          <w:color w:val="auto"/>
          <w:spacing w:val="6"/>
          <w:sz w:val="30"/>
          <w:szCs w:val="30"/>
          <w:highlight w:val="none"/>
          <w:lang w:val="en-US" w:eastAsia="zh-CN" w:bidi="ar"/>
        </w:rPr>
        <w:t>14.46</w:t>
      </w:r>
      <w:r>
        <w:rPr>
          <w:rFonts w:hint="eastAsia" w:ascii="仿宋_GB2312" w:hAnsi="仿宋_GB2312" w:eastAsia="仿宋_GB2312" w:cs="仿宋_GB2312"/>
          <w:color w:val="auto"/>
          <w:spacing w:val="6"/>
          <w:sz w:val="30"/>
          <w:szCs w:val="30"/>
          <w:highlight w:val="none"/>
          <w:lang w:bidi="ar"/>
        </w:rPr>
        <w:t>分，得分率</w:t>
      </w:r>
      <w:r>
        <w:rPr>
          <w:rFonts w:hint="eastAsia" w:ascii="仿宋_GB2312" w:hAnsi="仿宋_GB2312" w:eastAsia="仿宋_GB2312" w:cs="仿宋_GB2312"/>
          <w:color w:val="auto"/>
          <w:spacing w:val="6"/>
          <w:sz w:val="30"/>
          <w:szCs w:val="30"/>
          <w:highlight w:val="none"/>
          <w:lang w:val="en-US" w:eastAsia="zh-CN" w:bidi="ar"/>
        </w:rPr>
        <w:t>48.20</w:t>
      </w:r>
      <w:r>
        <w:rPr>
          <w:rFonts w:hint="eastAsia" w:ascii="仿宋_GB2312" w:hAnsi="仿宋_GB2312" w:eastAsia="仿宋_GB2312" w:cs="仿宋_GB2312"/>
          <w:color w:val="auto"/>
          <w:spacing w:val="6"/>
          <w:sz w:val="30"/>
          <w:szCs w:val="30"/>
          <w:highlight w:val="none"/>
          <w:lang w:bidi="ar"/>
        </w:rPr>
        <w:t>%，具体分析如下：</w:t>
      </w:r>
    </w:p>
    <w:p w14:paraId="5D58BC6B">
      <w:pPr>
        <w:keepNext w:val="0"/>
        <w:keepLines w:val="0"/>
        <w:pageBreakBefore w:val="0"/>
        <w:widowControl/>
        <w:numPr>
          <w:ilvl w:val="0"/>
          <w:numId w:val="0"/>
        </w:numPr>
        <w:kinsoku/>
        <w:wordWrap/>
        <w:overflowPunct/>
        <w:topLinePunct w:val="0"/>
        <w:autoSpaceDE/>
        <w:autoSpaceDN/>
        <w:bidi w:val="0"/>
        <w:adjustRightInd w:val="0"/>
        <w:snapToGrid w:val="0"/>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sz w:val="30"/>
          <w:szCs w:val="30"/>
          <w:highlight w:val="none"/>
          <w:lang w:bidi="ar"/>
        </w:rPr>
        <w:t>1.</w:t>
      </w:r>
      <w:r>
        <w:rPr>
          <w:rFonts w:hint="eastAsia" w:ascii="仿宋_GB2312" w:hAnsi="仿宋_GB2312" w:eastAsia="仿宋_GB2312" w:cs="仿宋_GB2312"/>
          <w:color w:val="auto"/>
          <w:spacing w:val="6"/>
          <w:sz w:val="30"/>
          <w:szCs w:val="30"/>
          <w:highlight w:val="none"/>
          <w:lang w:val="en-US" w:eastAsia="zh-CN" w:bidi="ar"/>
        </w:rPr>
        <w:t>政策效果与问题诊断</w:t>
      </w:r>
    </w:p>
    <w:p w14:paraId="04906507">
      <w:pPr>
        <w:keepNext w:val="0"/>
        <w:keepLines w:val="0"/>
        <w:pageBreakBefore w:val="0"/>
        <w:widowControl/>
        <w:numPr>
          <w:ilvl w:val="0"/>
          <w:numId w:val="0"/>
        </w:numPr>
        <w:kinsoku/>
        <w:wordWrap/>
        <w:overflowPunct/>
        <w:topLinePunct w:val="0"/>
        <w:autoSpaceDE/>
        <w:autoSpaceDN/>
        <w:bidi w:val="0"/>
        <w:adjustRightInd w:val="0"/>
        <w:snapToGrid w:val="0"/>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eastAsia="zh-Hans" w:bidi="ar"/>
        </w:rPr>
      </w:pPr>
      <w:r>
        <w:rPr>
          <w:rFonts w:hint="eastAsia" w:ascii="仿宋_GB2312" w:hAnsi="仿宋_GB2312" w:eastAsia="仿宋_GB2312" w:cs="仿宋_GB2312"/>
          <w:color w:val="auto"/>
          <w:spacing w:val="6"/>
          <w:sz w:val="30"/>
          <w:szCs w:val="30"/>
          <w:highlight w:val="none"/>
          <w:lang w:val="en-US" w:eastAsia="zh-CN" w:bidi="ar"/>
        </w:rPr>
        <w:t>政策效果与问题诊断</w:t>
      </w:r>
      <w:r>
        <w:rPr>
          <w:rFonts w:hint="eastAsia" w:ascii="仿宋_GB2312" w:hAnsi="仿宋_GB2312" w:eastAsia="仿宋_GB2312" w:cs="仿宋_GB2312"/>
          <w:color w:val="auto"/>
          <w:spacing w:val="6"/>
          <w:sz w:val="30"/>
          <w:szCs w:val="30"/>
          <w:highlight w:val="none"/>
          <w:lang w:eastAsia="zh-Hans" w:bidi="ar"/>
        </w:rPr>
        <w:t>下设补贴标准合理性</w:t>
      </w:r>
      <w:r>
        <w:rPr>
          <w:rFonts w:hint="eastAsia" w:ascii="仿宋_GB2312" w:hAnsi="仿宋_GB2312" w:eastAsia="仿宋_GB2312" w:cs="仿宋_GB2312"/>
          <w:color w:val="auto"/>
          <w:spacing w:val="6"/>
          <w:sz w:val="30"/>
          <w:szCs w:val="30"/>
          <w:highlight w:val="none"/>
          <w:lang w:eastAsia="zh-CN" w:bidi="ar"/>
        </w:rPr>
        <w:t>、入住率补贴门槛合理性、申报资料要求合理性、审核程序合理性</w:t>
      </w:r>
      <w:r>
        <w:rPr>
          <w:rFonts w:hint="eastAsia" w:ascii="仿宋_GB2312" w:hAnsi="仿宋_GB2312" w:eastAsia="仿宋_GB2312" w:cs="仿宋_GB2312"/>
          <w:color w:val="auto"/>
          <w:spacing w:val="6"/>
          <w:sz w:val="30"/>
          <w:szCs w:val="30"/>
          <w:highlight w:val="none"/>
          <w:lang w:val="en-US" w:eastAsia="zh-CN" w:bidi="ar"/>
        </w:rPr>
        <w:t>4</w:t>
      </w:r>
      <w:r>
        <w:rPr>
          <w:rFonts w:hint="eastAsia" w:ascii="仿宋_GB2312" w:hAnsi="仿宋_GB2312" w:eastAsia="仿宋_GB2312" w:cs="仿宋_GB2312"/>
          <w:color w:val="auto"/>
          <w:spacing w:val="6"/>
          <w:sz w:val="30"/>
          <w:szCs w:val="30"/>
          <w:highlight w:val="none"/>
          <w:lang w:eastAsia="zh-Hans" w:bidi="ar"/>
        </w:rPr>
        <w:t>个三级指标，指标权重</w:t>
      </w:r>
      <w:r>
        <w:rPr>
          <w:rFonts w:hint="eastAsia" w:ascii="仿宋_GB2312" w:hAnsi="仿宋_GB2312" w:eastAsia="仿宋_GB2312" w:cs="仿宋_GB2312"/>
          <w:color w:val="auto"/>
          <w:spacing w:val="6"/>
          <w:sz w:val="30"/>
          <w:szCs w:val="30"/>
          <w:highlight w:val="none"/>
          <w:lang w:val="en-US" w:eastAsia="zh-CN" w:bidi="ar"/>
        </w:rPr>
        <w:t>20</w:t>
      </w:r>
      <w:r>
        <w:rPr>
          <w:rFonts w:hint="eastAsia" w:ascii="仿宋_GB2312" w:hAnsi="仿宋_GB2312" w:eastAsia="仿宋_GB2312" w:cs="仿宋_GB2312"/>
          <w:color w:val="auto"/>
          <w:spacing w:val="6"/>
          <w:sz w:val="30"/>
          <w:szCs w:val="30"/>
          <w:highlight w:val="none"/>
          <w:lang w:eastAsia="zh-Hans" w:bidi="ar"/>
        </w:rPr>
        <w:t>分，实际得分</w:t>
      </w:r>
      <w:r>
        <w:rPr>
          <w:rFonts w:hint="eastAsia" w:ascii="仿宋_GB2312" w:hAnsi="仿宋_GB2312" w:eastAsia="仿宋_GB2312" w:cs="仿宋_GB2312"/>
          <w:color w:val="auto"/>
          <w:spacing w:val="6"/>
          <w:sz w:val="30"/>
          <w:szCs w:val="30"/>
          <w:highlight w:val="none"/>
          <w:lang w:val="en-US" w:eastAsia="zh-CN" w:bidi="ar"/>
        </w:rPr>
        <w:t>6.46</w:t>
      </w:r>
      <w:r>
        <w:rPr>
          <w:rFonts w:hint="eastAsia" w:ascii="仿宋_GB2312" w:hAnsi="仿宋_GB2312" w:eastAsia="仿宋_GB2312" w:cs="仿宋_GB2312"/>
          <w:color w:val="auto"/>
          <w:spacing w:val="6"/>
          <w:sz w:val="30"/>
          <w:szCs w:val="30"/>
          <w:highlight w:val="none"/>
          <w:lang w:eastAsia="zh-Hans" w:bidi="ar"/>
        </w:rPr>
        <w:t>分，得分率</w:t>
      </w:r>
      <w:r>
        <w:rPr>
          <w:rFonts w:hint="eastAsia" w:ascii="仿宋_GB2312" w:hAnsi="仿宋_GB2312" w:eastAsia="仿宋_GB2312" w:cs="仿宋_GB2312"/>
          <w:color w:val="auto"/>
          <w:spacing w:val="6"/>
          <w:sz w:val="30"/>
          <w:szCs w:val="30"/>
          <w:highlight w:val="none"/>
          <w:lang w:val="en-US" w:eastAsia="zh-CN" w:bidi="ar"/>
        </w:rPr>
        <w:t>32.30</w:t>
      </w:r>
      <w:r>
        <w:rPr>
          <w:rFonts w:hint="eastAsia" w:ascii="仿宋_GB2312" w:hAnsi="仿宋_GB2312" w:eastAsia="仿宋_GB2312" w:cs="仿宋_GB2312"/>
          <w:color w:val="auto"/>
          <w:spacing w:val="6"/>
          <w:sz w:val="30"/>
          <w:szCs w:val="30"/>
          <w:highlight w:val="none"/>
          <w:lang w:eastAsia="zh-Hans" w:bidi="ar"/>
        </w:rPr>
        <w:t>%。</w:t>
      </w:r>
    </w:p>
    <w:p w14:paraId="2D6A4C66">
      <w:pPr>
        <w:keepNext w:val="0"/>
        <w:keepLines w:val="0"/>
        <w:pageBreakBefore w:val="0"/>
        <w:widowControl/>
        <w:numPr>
          <w:ilvl w:val="0"/>
          <w:numId w:val="0"/>
        </w:numPr>
        <w:kinsoku/>
        <w:wordWrap/>
        <w:overflowPunct/>
        <w:topLinePunct w:val="0"/>
        <w:autoSpaceDE/>
        <w:autoSpaceDN/>
        <w:bidi w:val="0"/>
        <w:adjustRightInd w:val="0"/>
        <w:snapToGrid w:val="0"/>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kern w:val="30"/>
          <w:sz w:val="30"/>
          <w:szCs w:val="30"/>
          <w:highlight w:val="none"/>
          <w:lang w:val="en-US" w:eastAsia="zh-CN" w:bidi="ar"/>
        </w:rPr>
        <w:t>（1）</w:t>
      </w:r>
      <w:r>
        <w:rPr>
          <w:rFonts w:hint="eastAsia" w:ascii="仿宋_GB2312" w:hAnsi="仿宋_GB2312" w:eastAsia="仿宋_GB2312" w:cs="仿宋_GB2312"/>
          <w:color w:val="auto"/>
          <w:spacing w:val="6"/>
          <w:sz w:val="30"/>
          <w:szCs w:val="30"/>
          <w:highlight w:val="none"/>
          <w:lang w:eastAsia="zh-Hans" w:bidi="ar"/>
        </w:rPr>
        <w:t>补贴标准合理性指标分值</w:t>
      </w:r>
      <w:r>
        <w:rPr>
          <w:rFonts w:hint="eastAsia" w:ascii="仿宋_GB2312" w:hAnsi="仿宋_GB2312" w:eastAsia="仿宋_GB2312" w:cs="仿宋_GB2312"/>
          <w:color w:val="auto"/>
          <w:spacing w:val="6"/>
          <w:sz w:val="30"/>
          <w:szCs w:val="30"/>
          <w:highlight w:val="none"/>
          <w:lang w:val="en-US" w:eastAsia="zh-CN" w:bidi="ar"/>
        </w:rPr>
        <w:t>7</w:t>
      </w:r>
      <w:r>
        <w:rPr>
          <w:rFonts w:hint="eastAsia" w:ascii="仿宋_GB2312" w:hAnsi="仿宋_GB2312" w:eastAsia="仿宋_GB2312" w:cs="仿宋_GB2312"/>
          <w:color w:val="auto"/>
          <w:spacing w:val="6"/>
          <w:sz w:val="30"/>
          <w:szCs w:val="30"/>
          <w:highlight w:val="none"/>
          <w:lang w:eastAsia="zh-Hans" w:bidi="ar"/>
        </w:rPr>
        <w:t>分，实际得分</w:t>
      </w:r>
      <w:r>
        <w:rPr>
          <w:rFonts w:hint="eastAsia" w:ascii="仿宋_GB2312" w:hAnsi="仿宋_GB2312" w:eastAsia="仿宋_GB2312" w:cs="仿宋_GB2312"/>
          <w:color w:val="auto"/>
          <w:spacing w:val="6"/>
          <w:sz w:val="30"/>
          <w:szCs w:val="30"/>
          <w:highlight w:val="none"/>
          <w:lang w:val="en-US" w:eastAsia="zh-CN" w:bidi="ar"/>
        </w:rPr>
        <w:t>3.72</w:t>
      </w:r>
      <w:r>
        <w:rPr>
          <w:rFonts w:hint="eastAsia" w:ascii="仿宋_GB2312" w:hAnsi="仿宋_GB2312" w:eastAsia="仿宋_GB2312" w:cs="仿宋_GB2312"/>
          <w:color w:val="auto"/>
          <w:spacing w:val="6"/>
          <w:sz w:val="30"/>
          <w:szCs w:val="30"/>
          <w:highlight w:val="none"/>
          <w:lang w:eastAsia="zh-Hans" w:bidi="ar"/>
        </w:rPr>
        <w:t>分，得分率</w:t>
      </w:r>
      <w:r>
        <w:rPr>
          <w:rFonts w:hint="eastAsia" w:ascii="仿宋_GB2312" w:hAnsi="仿宋_GB2312" w:eastAsia="仿宋_GB2312" w:cs="仿宋_GB2312"/>
          <w:color w:val="auto"/>
          <w:spacing w:val="6"/>
          <w:sz w:val="30"/>
          <w:szCs w:val="30"/>
          <w:highlight w:val="none"/>
          <w:lang w:val="en-US" w:eastAsia="zh-CN" w:bidi="ar"/>
        </w:rPr>
        <w:t>53.14</w:t>
      </w:r>
      <w:r>
        <w:rPr>
          <w:rFonts w:hint="eastAsia" w:ascii="仿宋_GB2312" w:hAnsi="仿宋_GB2312" w:eastAsia="仿宋_GB2312" w:cs="仿宋_GB2312"/>
          <w:color w:val="auto"/>
          <w:spacing w:val="6"/>
          <w:sz w:val="30"/>
          <w:szCs w:val="30"/>
          <w:highlight w:val="none"/>
          <w:lang w:eastAsia="zh-Hans" w:bidi="ar"/>
        </w:rPr>
        <w:t>%。</w:t>
      </w:r>
      <w:r>
        <w:rPr>
          <w:rFonts w:hint="eastAsia" w:ascii="仿宋_GB2312" w:hAnsi="仿宋_GB2312" w:eastAsia="仿宋_GB2312" w:cs="仿宋_GB2312"/>
          <w:color w:val="auto"/>
          <w:spacing w:val="6"/>
          <w:sz w:val="30"/>
          <w:szCs w:val="30"/>
          <w:highlight w:val="none"/>
          <w:lang w:eastAsia="zh-CN" w:bidi="ar"/>
        </w:rPr>
        <w:t>扣分原因及相关说明：</w:t>
      </w:r>
      <w:r>
        <w:rPr>
          <w:rFonts w:hint="eastAsia" w:ascii="仿宋_GB2312" w:hAnsi="仿宋_GB2312" w:eastAsia="仿宋_GB2312" w:cs="仿宋_GB2312"/>
          <w:color w:val="auto"/>
          <w:spacing w:val="6"/>
          <w:sz w:val="30"/>
          <w:szCs w:val="30"/>
          <w:highlight w:val="none"/>
          <w:lang w:val="en-US" w:eastAsia="zh-CN" w:bidi="ar"/>
        </w:rPr>
        <w:t>问卷调查显示：对运营补贴标准非常满意的占比29.61%，满意占比25.66%，一般、不满意、非常不满意占比44.73%，运营补贴标准满意度为55.27%；对一次性建设补贴标准非常满意的占比35.53%，满意占比33.55%，一般、不满意、非常不满意占比30.92%，一次性建设补贴标准满意度为69.08%。平均满意度为62.18%。</w:t>
      </w:r>
    </w:p>
    <w:p w14:paraId="383CE423">
      <w:pPr>
        <w:keepNext w:val="0"/>
        <w:keepLines w:val="0"/>
        <w:pageBreakBefore w:val="0"/>
        <w:widowControl/>
        <w:numPr>
          <w:ilvl w:val="0"/>
          <w:numId w:val="0"/>
        </w:numPr>
        <w:kinsoku/>
        <w:wordWrap/>
        <w:overflowPunct/>
        <w:topLinePunct w:val="0"/>
        <w:autoSpaceDE/>
        <w:autoSpaceDN/>
        <w:bidi w:val="0"/>
        <w:adjustRightInd w:val="0"/>
        <w:snapToGrid w:val="0"/>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kern w:val="30"/>
          <w:sz w:val="30"/>
          <w:szCs w:val="30"/>
          <w:highlight w:val="none"/>
          <w:lang w:val="en-US" w:eastAsia="zh-CN" w:bidi="ar"/>
        </w:rPr>
        <w:t>以甘肃、陕西、宁夏三省作为参照对象</w:t>
      </w:r>
      <w:r>
        <w:rPr>
          <w:rFonts w:hint="eastAsia" w:ascii="仿宋_GB2312" w:hAnsi="仿宋_GB2312" w:eastAsia="仿宋_GB2312" w:cs="仿宋_GB2312"/>
          <w:color w:val="auto"/>
          <w:spacing w:val="6"/>
          <w:kern w:val="30"/>
          <w:sz w:val="30"/>
          <w:szCs w:val="30"/>
          <w:highlight w:val="none"/>
          <w:lang w:eastAsia="zh-CN" w:bidi="ar"/>
        </w:rPr>
        <w:t>，</w:t>
      </w:r>
      <w:r>
        <w:rPr>
          <w:rFonts w:hint="eastAsia" w:ascii="仿宋_GB2312" w:hAnsi="仿宋_GB2312" w:eastAsia="仿宋_GB2312" w:cs="仿宋_GB2312"/>
          <w:color w:val="auto"/>
          <w:spacing w:val="6"/>
          <w:sz w:val="30"/>
          <w:szCs w:val="30"/>
          <w:highlight w:val="none"/>
          <w:lang w:val="en-US" w:eastAsia="zh-CN" w:bidi="ar"/>
        </w:rPr>
        <w:t>甘肃省：按失能等级分档补贴，自理老人100元/月，半失能老人200元/月，失能（失智）老人300元/月。均值：200元/月。陕西省：与养老机构星级评定挂钩，三星级50元/月，四星级80元/月，五星级100元/月。均值：77元/月。陕西省运营补贴须为三星级及以上方可申请，未达标的民办养老机构无法享受运营补贴。</w:t>
      </w:r>
    </w:p>
    <w:p w14:paraId="066EE64D">
      <w:pPr>
        <w:keepNext w:val="0"/>
        <w:keepLines w:val="0"/>
        <w:pageBreakBefore w:val="0"/>
        <w:widowControl/>
        <w:numPr>
          <w:ilvl w:val="0"/>
          <w:numId w:val="0"/>
        </w:numPr>
        <w:kinsoku/>
        <w:wordWrap/>
        <w:overflowPunct/>
        <w:topLinePunct w:val="0"/>
        <w:autoSpaceDE/>
        <w:autoSpaceDN/>
        <w:bidi w:val="0"/>
        <w:adjustRightInd w:val="0"/>
        <w:snapToGrid w:val="0"/>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sz w:val="30"/>
          <w:szCs w:val="30"/>
          <w:highlight w:val="none"/>
          <w:lang w:val="en-US" w:eastAsia="zh-CN" w:bidi="ar"/>
        </w:rPr>
        <w:t>宁夏回族自治区：按实际占用床位数计算全年平均数，每张床位每年1800元，折合150元/月。均值：150元/月。三省平均值为：（200+77+150）/3≈142元/月，自治区补助标准：不分失能等级，统一100元/月。营补贴差异率=(100-142)/142×100%=-29.58%。</w:t>
      </w:r>
    </w:p>
    <w:p w14:paraId="54613587">
      <w:pPr>
        <w:keepNext w:val="0"/>
        <w:keepLines w:val="0"/>
        <w:pageBreakBefore w:val="0"/>
        <w:widowControl/>
        <w:numPr>
          <w:ilvl w:val="0"/>
          <w:numId w:val="0"/>
        </w:numPr>
        <w:kinsoku/>
        <w:wordWrap/>
        <w:overflowPunct/>
        <w:topLinePunct w:val="0"/>
        <w:autoSpaceDE/>
        <w:autoSpaceDN/>
        <w:bidi w:val="0"/>
        <w:adjustRightInd w:val="0"/>
        <w:snapToGrid w:val="0"/>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sz w:val="30"/>
          <w:szCs w:val="30"/>
          <w:highlight w:val="none"/>
          <w:lang w:val="en-US" w:eastAsia="zh-CN" w:bidi="ar"/>
        </w:rPr>
        <w:t>根据公开政策文件，甘肃、陕西、宁夏三省的基础一次性建设补贴标准（不含护理型床位额外补贴）如下：甘肃省：非营利性养老机构用房自建的新增每张床位补贴1万元（10,000元），租赁用房且租期在5年（含）以上的每张床位补贴4,000元。陕西省：新建民办养老机构每张床位一次性补助3,000元，改扩建每张一次性补助2,000元。宁夏回族自治区：用房自建并投入使用的，按照核定的床位数给予每张床位8,000元的一次性开办补助。自建均值：（10,000+3,000+8,000）/3=7,000元；租赁均值：（4,000+3,000+5,000）/3=4,000元；自建与租赁综合均值：（7,000+4,000）/2=5,500元。自治区一次性建设补贴标准统一为5,000元/床，不分自建与租赁。一次性开办补贴差异率=(5,000-5,500)/5,500×100%=-9.10%。</w:t>
      </w:r>
    </w:p>
    <w:p w14:paraId="0F82BB9D">
      <w:pPr>
        <w:keepNext w:val="0"/>
        <w:keepLines w:val="0"/>
        <w:pageBreakBefore w:val="0"/>
        <w:widowControl/>
        <w:numPr>
          <w:ilvl w:val="0"/>
          <w:numId w:val="0"/>
        </w:numPr>
        <w:kinsoku/>
        <w:wordWrap/>
        <w:overflowPunct/>
        <w:topLinePunct w:val="0"/>
        <w:autoSpaceDE/>
        <w:autoSpaceDN/>
        <w:bidi w:val="0"/>
        <w:adjustRightInd w:val="0"/>
        <w:snapToGrid w:val="0"/>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sz w:val="30"/>
          <w:szCs w:val="30"/>
          <w:highlight w:val="none"/>
          <w:lang w:val="en-US" w:eastAsia="zh-CN" w:bidi="ar"/>
        </w:rPr>
        <w:t>根据养老行业普遍规律，老年人的护理成本与失能等级高度相关。自理老人仅需生活照料、餐饮等基本服务，中度失能老人需部分护理协助，重度及完全失能老人则需24小时专业护理，包括翻身、喂食、清洁、排泄护理等高强度劳动密集型服务。不同失能等级之间的护理成本差异可达数倍甚至更高。将运营补贴统一设定为100元/人·月，未能体现不同失能等级之间护理成本的显著差异。补贴标准与当前护理成本不匹配。</w:t>
      </w:r>
    </w:p>
    <w:p w14:paraId="5BA6A24F">
      <w:pPr>
        <w:keepNext w:val="0"/>
        <w:keepLines w:val="0"/>
        <w:pageBreakBefore w:val="0"/>
        <w:widowControl/>
        <w:numPr>
          <w:ilvl w:val="0"/>
          <w:numId w:val="0"/>
        </w:numPr>
        <w:kinsoku/>
        <w:wordWrap/>
        <w:overflowPunct/>
        <w:topLinePunct w:val="0"/>
        <w:autoSpaceDE/>
        <w:autoSpaceDN/>
        <w:bidi w:val="0"/>
        <w:adjustRightInd w:val="0"/>
        <w:snapToGrid w:val="0"/>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sz w:val="30"/>
          <w:szCs w:val="30"/>
          <w:highlight w:val="none"/>
          <w:lang w:eastAsia="zh-Hans" w:bidi="ar"/>
        </w:rPr>
        <w:t>（2）</w:t>
      </w:r>
      <w:r>
        <w:rPr>
          <w:rFonts w:hint="eastAsia" w:ascii="仿宋_GB2312" w:hAnsi="仿宋_GB2312" w:eastAsia="仿宋_GB2312" w:cs="仿宋_GB2312"/>
          <w:color w:val="auto"/>
          <w:spacing w:val="6"/>
          <w:sz w:val="30"/>
          <w:szCs w:val="30"/>
          <w:highlight w:val="none"/>
          <w:lang w:val="en-US" w:eastAsia="zh-Hans" w:bidi="ar"/>
        </w:rPr>
        <w:t>入住率补贴门槛合理性</w:t>
      </w:r>
      <w:r>
        <w:rPr>
          <w:rFonts w:hint="eastAsia" w:ascii="仿宋_GB2312" w:hAnsi="仿宋_GB2312" w:eastAsia="仿宋_GB2312" w:cs="仿宋_GB2312"/>
          <w:color w:val="auto"/>
          <w:spacing w:val="6"/>
          <w:sz w:val="30"/>
          <w:szCs w:val="30"/>
          <w:highlight w:val="none"/>
          <w:lang w:bidi="ar"/>
        </w:rPr>
        <w:t>：指标分值</w:t>
      </w:r>
      <w:r>
        <w:rPr>
          <w:rFonts w:hint="eastAsia" w:ascii="仿宋_GB2312" w:hAnsi="仿宋_GB2312" w:eastAsia="仿宋_GB2312" w:cs="仿宋_GB2312"/>
          <w:color w:val="auto"/>
          <w:spacing w:val="6"/>
          <w:sz w:val="30"/>
          <w:szCs w:val="30"/>
          <w:highlight w:val="none"/>
          <w:lang w:val="en-US" w:eastAsia="zh-CN" w:bidi="ar"/>
        </w:rPr>
        <w:t>7</w:t>
      </w:r>
      <w:r>
        <w:rPr>
          <w:rFonts w:hint="eastAsia" w:ascii="仿宋_GB2312" w:hAnsi="仿宋_GB2312" w:eastAsia="仿宋_GB2312" w:cs="仿宋_GB2312"/>
          <w:color w:val="auto"/>
          <w:spacing w:val="6"/>
          <w:sz w:val="30"/>
          <w:szCs w:val="30"/>
          <w:highlight w:val="none"/>
          <w:lang w:bidi="ar"/>
        </w:rPr>
        <w:t>分，实际得分</w:t>
      </w:r>
      <w:r>
        <w:rPr>
          <w:rFonts w:hint="eastAsia" w:ascii="仿宋_GB2312" w:hAnsi="仿宋_GB2312" w:eastAsia="仿宋_GB2312" w:cs="仿宋_GB2312"/>
          <w:color w:val="auto"/>
          <w:spacing w:val="6"/>
          <w:sz w:val="30"/>
          <w:szCs w:val="30"/>
          <w:highlight w:val="none"/>
          <w:lang w:val="en-US" w:eastAsia="zh-CN" w:bidi="ar"/>
        </w:rPr>
        <w:t>2.14</w:t>
      </w:r>
      <w:r>
        <w:rPr>
          <w:rFonts w:hint="eastAsia" w:ascii="仿宋_GB2312" w:hAnsi="仿宋_GB2312" w:eastAsia="仿宋_GB2312" w:cs="仿宋_GB2312"/>
          <w:color w:val="auto"/>
          <w:spacing w:val="6"/>
          <w:sz w:val="30"/>
          <w:szCs w:val="30"/>
          <w:highlight w:val="none"/>
          <w:lang w:bidi="ar"/>
        </w:rPr>
        <w:t>分</w:t>
      </w:r>
      <w:r>
        <w:rPr>
          <w:rFonts w:hint="eastAsia" w:ascii="仿宋_GB2312" w:hAnsi="仿宋_GB2312" w:eastAsia="仿宋_GB2312" w:cs="仿宋_GB2312"/>
          <w:color w:val="auto"/>
          <w:spacing w:val="6"/>
          <w:sz w:val="30"/>
          <w:szCs w:val="30"/>
          <w:highlight w:val="none"/>
          <w:lang w:eastAsia="zh-Hans" w:bidi="ar"/>
        </w:rPr>
        <w:t>，得分率</w:t>
      </w:r>
      <w:r>
        <w:rPr>
          <w:rFonts w:hint="eastAsia" w:ascii="仿宋_GB2312" w:hAnsi="仿宋_GB2312" w:eastAsia="仿宋_GB2312" w:cs="仿宋_GB2312"/>
          <w:color w:val="auto"/>
          <w:spacing w:val="6"/>
          <w:sz w:val="30"/>
          <w:szCs w:val="30"/>
          <w:highlight w:val="none"/>
          <w:lang w:val="en-US" w:eastAsia="zh-CN" w:bidi="ar"/>
        </w:rPr>
        <w:t>30.57</w:t>
      </w:r>
      <w:r>
        <w:rPr>
          <w:rFonts w:hint="eastAsia" w:ascii="仿宋_GB2312" w:hAnsi="仿宋_GB2312" w:eastAsia="仿宋_GB2312" w:cs="仿宋_GB2312"/>
          <w:color w:val="auto"/>
          <w:spacing w:val="6"/>
          <w:sz w:val="30"/>
          <w:szCs w:val="30"/>
          <w:highlight w:val="none"/>
          <w:lang w:eastAsia="zh-Hans" w:bidi="ar"/>
        </w:rPr>
        <w:t>%</w:t>
      </w:r>
      <w:r>
        <w:rPr>
          <w:rFonts w:hint="eastAsia" w:ascii="仿宋_GB2312" w:hAnsi="仿宋_GB2312" w:eastAsia="仿宋_GB2312" w:cs="仿宋_GB2312"/>
          <w:color w:val="auto"/>
          <w:spacing w:val="6"/>
          <w:sz w:val="30"/>
          <w:szCs w:val="30"/>
          <w:highlight w:val="none"/>
          <w:lang w:bidi="ar"/>
        </w:rPr>
        <w:t>。</w:t>
      </w:r>
      <w:r>
        <w:rPr>
          <w:rFonts w:hint="eastAsia" w:ascii="仿宋_GB2312" w:hAnsi="仿宋_GB2312" w:eastAsia="仿宋_GB2312" w:cs="仿宋_GB2312"/>
          <w:color w:val="auto"/>
          <w:spacing w:val="6"/>
          <w:sz w:val="30"/>
          <w:szCs w:val="30"/>
          <w:highlight w:val="none"/>
          <w:lang w:eastAsia="zh-CN" w:bidi="ar"/>
        </w:rPr>
        <w:t>扣分原因及相关说明：</w:t>
      </w:r>
      <w:r>
        <w:rPr>
          <w:rFonts w:hint="eastAsia" w:ascii="仿宋_GB2312" w:hAnsi="仿宋_GB2312" w:eastAsia="仿宋_GB2312" w:cs="仿宋_GB2312"/>
          <w:color w:val="auto"/>
          <w:spacing w:val="6"/>
          <w:sz w:val="30"/>
          <w:szCs w:val="30"/>
          <w:highlight w:val="none"/>
          <w:lang w:val="en-US" w:eastAsia="zh-CN" w:bidi="ar"/>
        </w:rPr>
        <w:t>根据公开信息可知，</w:t>
      </w:r>
      <w:r>
        <w:rPr>
          <w:rFonts w:hint="eastAsia" w:ascii="仿宋_GB2312" w:hAnsi="仿宋_GB2312" w:eastAsia="仿宋_GB2312" w:cs="仿宋_GB2312"/>
          <w:color w:val="auto"/>
          <w:spacing w:val="6"/>
          <w:sz w:val="30"/>
          <w:szCs w:val="30"/>
          <w:highlight w:val="none"/>
          <w:lang w:eastAsia="zh-CN" w:bidi="ar"/>
        </w:rPr>
        <w:t>昌吉州吉木萨尔县：2025年3所民营养老机构入住率均未达到50%，不符合运营补贴资助条件，未发放相关补助资金。塔城地区沙湾市：2024年度2家民办养老机构入住率均未达到50%以上，2025年未发放民办养老机构运营补贴。塔城地区额敏县：2024年度2家“公建民营”养老机构入住率均未达到50%以上，2025年未发放2024年养老机构运营补贴。克拉玛依市：2023—2024年</w:t>
      </w:r>
      <w:r>
        <w:rPr>
          <w:rFonts w:hint="eastAsia" w:ascii="仿宋_GB2312" w:hAnsi="仿宋_GB2312" w:eastAsia="仿宋_GB2312" w:cs="仿宋_GB2312"/>
          <w:color w:val="auto"/>
          <w:spacing w:val="6"/>
          <w:sz w:val="30"/>
          <w:szCs w:val="30"/>
          <w:highlight w:val="none"/>
          <w:lang w:val="en-US" w:eastAsia="zh-CN" w:bidi="ar"/>
        </w:rPr>
        <w:t>度</w:t>
      </w:r>
      <w:r>
        <w:rPr>
          <w:rFonts w:hint="eastAsia" w:ascii="仿宋_GB2312" w:hAnsi="仿宋_GB2312" w:eastAsia="仿宋_GB2312" w:cs="仿宋_GB2312"/>
          <w:color w:val="auto"/>
          <w:spacing w:val="6"/>
          <w:sz w:val="30"/>
          <w:szCs w:val="30"/>
          <w:highlight w:val="none"/>
          <w:lang w:eastAsia="zh-CN" w:bidi="ar"/>
        </w:rPr>
        <w:t>1家养老机构入住率未达到50%以上，202</w:t>
      </w:r>
      <w:r>
        <w:rPr>
          <w:rFonts w:hint="eastAsia" w:ascii="仿宋_GB2312" w:hAnsi="仿宋_GB2312" w:eastAsia="仿宋_GB2312" w:cs="仿宋_GB2312"/>
          <w:color w:val="auto"/>
          <w:spacing w:val="6"/>
          <w:sz w:val="30"/>
          <w:szCs w:val="30"/>
          <w:highlight w:val="none"/>
          <w:lang w:val="en-US" w:eastAsia="zh-CN" w:bidi="ar"/>
        </w:rPr>
        <w:t>4</w:t>
      </w:r>
      <w:r>
        <w:rPr>
          <w:rFonts w:hint="eastAsia" w:ascii="仿宋_GB2312" w:hAnsi="仿宋_GB2312" w:eastAsia="仿宋_GB2312" w:cs="仿宋_GB2312"/>
          <w:color w:val="auto"/>
          <w:spacing w:val="6"/>
          <w:sz w:val="30"/>
          <w:szCs w:val="30"/>
          <w:highlight w:val="none"/>
          <w:lang w:eastAsia="zh-CN" w:bidi="ar"/>
        </w:rPr>
        <w:t>—202</w:t>
      </w:r>
      <w:r>
        <w:rPr>
          <w:rFonts w:hint="eastAsia" w:ascii="仿宋_GB2312" w:hAnsi="仿宋_GB2312" w:eastAsia="仿宋_GB2312" w:cs="仿宋_GB2312"/>
          <w:color w:val="auto"/>
          <w:spacing w:val="6"/>
          <w:sz w:val="30"/>
          <w:szCs w:val="30"/>
          <w:highlight w:val="none"/>
          <w:lang w:val="en-US" w:eastAsia="zh-CN" w:bidi="ar"/>
        </w:rPr>
        <w:t>5</w:t>
      </w:r>
      <w:r>
        <w:rPr>
          <w:rFonts w:hint="eastAsia" w:ascii="仿宋_GB2312" w:hAnsi="仿宋_GB2312" w:eastAsia="仿宋_GB2312" w:cs="仿宋_GB2312"/>
          <w:color w:val="auto"/>
          <w:spacing w:val="6"/>
          <w:sz w:val="30"/>
          <w:szCs w:val="30"/>
          <w:highlight w:val="none"/>
          <w:lang w:eastAsia="zh-CN" w:bidi="ar"/>
        </w:rPr>
        <w:t>年未获得补贴。</w:t>
      </w:r>
      <w:r>
        <w:rPr>
          <w:rFonts w:hint="eastAsia" w:ascii="仿宋_GB2312" w:hAnsi="仿宋_GB2312" w:eastAsia="仿宋_GB2312" w:cs="仿宋_GB2312"/>
          <w:color w:val="auto"/>
          <w:spacing w:val="6"/>
          <w:sz w:val="30"/>
          <w:szCs w:val="30"/>
          <w:highlight w:val="none"/>
          <w:lang w:val="en-US" w:eastAsia="zh-CN" w:bidi="ar"/>
        </w:rPr>
        <w:t>此类机构因无法获得运营补贴，资金压力加剧，在一定程度上制约了其改善服务条件的能力。有9例客观上存在向“低入住率→无补贴→服务差→入住率更低”循环滑落的风险。</w:t>
      </w:r>
    </w:p>
    <w:p w14:paraId="25715EF4">
      <w:pPr>
        <w:keepNext w:val="0"/>
        <w:keepLines w:val="0"/>
        <w:pageBreakBefore w:val="0"/>
        <w:widowControl/>
        <w:numPr>
          <w:ilvl w:val="0"/>
          <w:numId w:val="0"/>
        </w:numPr>
        <w:kinsoku/>
        <w:wordWrap/>
        <w:overflowPunct/>
        <w:topLinePunct w:val="0"/>
        <w:autoSpaceDE/>
        <w:autoSpaceDN/>
        <w:bidi w:val="0"/>
        <w:adjustRightInd w:val="0"/>
        <w:snapToGrid w:val="0"/>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sz w:val="30"/>
          <w:szCs w:val="30"/>
          <w:highlight w:val="none"/>
          <w:lang w:val="en-US" w:eastAsia="zh-CN" w:bidi="ar"/>
        </w:rPr>
        <w:t>从数量上看，北疆地区因入住率不达标未获补贴的机构数（8家）远多于南疆（1家），方向与“南疆覆盖面明显偏窄”的假设不符。需要说明的是，上述数据主要来源于各地民政局公开的“未发放补贴情况说明”及本次政策评估的数据采集表，数据完整性不足，不宜据此得出区域差异的结论。此外，各地民办养老机构基数差异较大，北疆民办养老机构数量本身多于南疆，绝对数的比较不能直接等同于政策覆盖率的差异。因此，不可证明因入住率门槛导致南疆北疆东疆政策覆盖面存在较为明显差异。</w:t>
      </w:r>
    </w:p>
    <w:p w14:paraId="6809D1AE">
      <w:pPr>
        <w:keepNext w:val="0"/>
        <w:keepLines w:val="0"/>
        <w:pageBreakBefore w:val="0"/>
        <w:widowControl/>
        <w:numPr>
          <w:ilvl w:val="0"/>
          <w:numId w:val="0"/>
        </w:numPr>
        <w:kinsoku/>
        <w:wordWrap/>
        <w:overflowPunct/>
        <w:topLinePunct w:val="0"/>
        <w:autoSpaceDE/>
        <w:autoSpaceDN/>
        <w:bidi w:val="0"/>
        <w:adjustRightInd w:val="0"/>
        <w:snapToGrid w:val="0"/>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sz w:val="30"/>
          <w:szCs w:val="30"/>
          <w:highlight w:val="none"/>
          <w:lang w:val="en-US" w:eastAsia="zh-CN" w:bidi="ar"/>
        </w:rPr>
        <w:t>问卷调查显示，仅38%的机构认为“入住率50%”的运营补贴门槛非常合理或比较合理，42%的机构认为不太合理或非常不合理，其余为一般评价。</w:t>
      </w:r>
    </w:p>
    <w:p w14:paraId="6A33813D">
      <w:pPr>
        <w:keepNext w:val="0"/>
        <w:keepLines w:val="0"/>
        <w:pageBreakBefore w:val="0"/>
        <w:widowControl/>
        <w:numPr>
          <w:ilvl w:val="0"/>
          <w:numId w:val="0"/>
        </w:numPr>
        <w:kinsoku/>
        <w:wordWrap/>
        <w:overflowPunct/>
        <w:topLinePunct w:val="0"/>
        <w:autoSpaceDE/>
        <w:autoSpaceDN/>
        <w:bidi w:val="0"/>
        <w:adjustRightInd w:val="0"/>
        <w:snapToGrid w:val="0"/>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sz w:val="30"/>
          <w:szCs w:val="30"/>
          <w:highlight w:val="none"/>
          <w:lang w:bidi="ar"/>
        </w:rPr>
        <w:t>（3）申报资料要求合理性指标分值</w:t>
      </w:r>
      <w:r>
        <w:rPr>
          <w:rFonts w:hint="eastAsia" w:ascii="仿宋_GB2312" w:hAnsi="仿宋_GB2312" w:eastAsia="仿宋_GB2312" w:cs="仿宋_GB2312"/>
          <w:color w:val="auto"/>
          <w:spacing w:val="6"/>
          <w:sz w:val="30"/>
          <w:szCs w:val="30"/>
          <w:highlight w:val="none"/>
          <w:lang w:val="en-US" w:eastAsia="zh-CN" w:bidi="ar"/>
        </w:rPr>
        <w:t>3</w:t>
      </w:r>
      <w:r>
        <w:rPr>
          <w:rFonts w:hint="eastAsia" w:ascii="仿宋_GB2312" w:hAnsi="仿宋_GB2312" w:eastAsia="仿宋_GB2312" w:cs="仿宋_GB2312"/>
          <w:color w:val="auto"/>
          <w:spacing w:val="6"/>
          <w:sz w:val="30"/>
          <w:szCs w:val="30"/>
          <w:highlight w:val="none"/>
          <w:lang w:bidi="ar"/>
        </w:rPr>
        <w:t>分，实际得分</w:t>
      </w:r>
      <w:r>
        <w:rPr>
          <w:rFonts w:hint="eastAsia" w:ascii="仿宋_GB2312" w:hAnsi="仿宋_GB2312" w:eastAsia="仿宋_GB2312" w:cs="仿宋_GB2312"/>
          <w:color w:val="auto"/>
          <w:spacing w:val="6"/>
          <w:sz w:val="30"/>
          <w:szCs w:val="30"/>
          <w:highlight w:val="none"/>
          <w:lang w:val="en-US" w:eastAsia="zh-CN" w:bidi="ar"/>
        </w:rPr>
        <w:t>0.60</w:t>
      </w:r>
      <w:r>
        <w:rPr>
          <w:rFonts w:hint="eastAsia" w:ascii="仿宋_GB2312" w:hAnsi="仿宋_GB2312" w:eastAsia="仿宋_GB2312" w:cs="仿宋_GB2312"/>
          <w:color w:val="auto"/>
          <w:spacing w:val="6"/>
          <w:sz w:val="30"/>
          <w:szCs w:val="30"/>
          <w:highlight w:val="none"/>
          <w:lang w:bidi="ar"/>
        </w:rPr>
        <w:t>分</w:t>
      </w:r>
      <w:r>
        <w:rPr>
          <w:rFonts w:hint="eastAsia" w:ascii="仿宋_GB2312" w:hAnsi="仿宋_GB2312" w:eastAsia="仿宋_GB2312" w:cs="仿宋_GB2312"/>
          <w:color w:val="auto"/>
          <w:spacing w:val="6"/>
          <w:sz w:val="30"/>
          <w:szCs w:val="30"/>
          <w:highlight w:val="none"/>
          <w:lang w:eastAsia="zh-Hans" w:bidi="ar"/>
        </w:rPr>
        <w:t>，</w:t>
      </w:r>
      <w:r>
        <w:rPr>
          <w:rFonts w:hint="eastAsia" w:ascii="仿宋_GB2312" w:hAnsi="仿宋_GB2312" w:eastAsia="仿宋_GB2312" w:cs="仿宋_GB2312"/>
          <w:color w:val="auto"/>
          <w:spacing w:val="6"/>
          <w:sz w:val="30"/>
          <w:szCs w:val="30"/>
          <w:highlight w:val="none"/>
          <w:lang w:val="en-US" w:eastAsia="zh-Hans" w:bidi="ar"/>
        </w:rPr>
        <w:t>得分率</w:t>
      </w:r>
      <w:r>
        <w:rPr>
          <w:rFonts w:hint="eastAsia" w:ascii="仿宋_GB2312" w:hAnsi="仿宋_GB2312" w:eastAsia="仿宋_GB2312" w:cs="仿宋_GB2312"/>
          <w:color w:val="auto"/>
          <w:spacing w:val="6"/>
          <w:sz w:val="30"/>
          <w:szCs w:val="30"/>
          <w:highlight w:val="none"/>
          <w:lang w:val="en-US" w:eastAsia="zh-CN" w:bidi="ar"/>
        </w:rPr>
        <w:t>20</w:t>
      </w:r>
      <w:r>
        <w:rPr>
          <w:rFonts w:hint="eastAsia" w:ascii="仿宋_GB2312" w:hAnsi="仿宋_GB2312" w:eastAsia="仿宋_GB2312" w:cs="仿宋_GB2312"/>
          <w:color w:val="auto"/>
          <w:spacing w:val="6"/>
          <w:sz w:val="30"/>
          <w:szCs w:val="30"/>
          <w:highlight w:val="none"/>
          <w:lang w:eastAsia="zh-Hans" w:bidi="ar"/>
        </w:rPr>
        <w:t>%</w:t>
      </w:r>
      <w:r>
        <w:rPr>
          <w:rFonts w:hint="eastAsia" w:ascii="仿宋_GB2312" w:hAnsi="仿宋_GB2312" w:eastAsia="仿宋_GB2312" w:cs="仿宋_GB2312"/>
          <w:color w:val="auto"/>
          <w:spacing w:val="6"/>
          <w:sz w:val="30"/>
          <w:szCs w:val="30"/>
          <w:highlight w:val="none"/>
          <w:lang w:bidi="ar"/>
        </w:rPr>
        <w:t>。</w:t>
      </w:r>
      <w:r>
        <w:rPr>
          <w:rFonts w:hint="eastAsia" w:ascii="仿宋_GB2312" w:hAnsi="仿宋_GB2312" w:eastAsia="仿宋_GB2312" w:cs="仿宋_GB2312"/>
          <w:color w:val="auto"/>
          <w:spacing w:val="6"/>
          <w:sz w:val="30"/>
          <w:szCs w:val="30"/>
          <w:highlight w:val="none"/>
          <w:lang w:eastAsia="zh-CN" w:bidi="ar"/>
        </w:rPr>
        <w:t>扣分原因及相关说明</w:t>
      </w:r>
      <w:r>
        <w:rPr>
          <w:rFonts w:hint="eastAsia" w:ascii="仿宋_GB2312" w:hAnsi="仿宋_GB2312" w:eastAsia="仿宋_GB2312" w:cs="仿宋_GB2312"/>
          <w:color w:val="auto"/>
          <w:spacing w:val="6"/>
          <w:sz w:val="30"/>
          <w:szCs w:val="30"/>
          <w:highlight w:val="none"/>
          <w:lang w:val="en-US" w:eastAsia="zh-CN" w:bidi="ar"/>
        </w:rPr>
        <w:t>：2018年取消《社会福利机构设置批准证书》后，年度通知已及时调整为备案回执。《资助办法》第五条第（一）款明确运营补贴须提交8项材料，年度通知中6项未列明，如民办养老机构运营补贴申请报告、《自治区民办养老机构运营补贴申请表》《自治区民办养老机构服务月统计表》、入住老人花名册、身份证复印件、补贴资金使用计划等；第五条第（二）款明确一次性开办补贴须提交8项材料，年度通知中5项未列明，如《自治区民办养老机构一次性开办补助申请表》、补贴资金使用计划等。2022年起通知要求经营性自建房须符合消防、建筑和设施设备等强制性标准，但消防验收意见书、工程竣工验收报告等关键合规材料未明确列入申报资料清单。</w:t>
      </w:r>
    </w:p>
    <w:p w14:paraId="7D89D962">
      <w:pPr>
        <w:keepNext w:val="0"/>
        <w:keepLines w:val="0"/>
        <w:pageBreakBefore w:val="0"/>
        <w:widowControl/>
        <w:numPr>
          <w:ilvl w:val="0"/>
          <w:numId w:val="0"/>
        </w:numPr>
        <w:kinsoku/>
        <w:wordWrap/>
        <w:overflowPunct/>
        <w:topLinePunct w:val="0"/>
        <w:autoSpaceDE/>
        <w:autoSpaceDN/>
        <w:bidi w:val="0"/>
        <w:adjustRightInd w:val="0"/>
        <w:snapToGrid w:val="0"/>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sz w:val="30"/>
          <w:szCs w:val="30"/>
          <w:highlight w:val="none"/>
          <w:lang w:val="en-US" w:eastAsia="zh-CN" w:bidi="ar"/>
        </w:rPr>
        <w:t>年度通知中已将资质材料要求调整为“《养老机构设立许可证》或《设置养老机构备案回执》”，与设立许可取消后的备案制改革衔接，但部分地区的办事指南依然要求提供已废止的证书，与现行政策脱节。例如，和硕县2024年的办事指南中，申请材料仍明确要求提供《社会福利机构设置批准证书》复印件；伊宁市2023年的办事指南也是如此。</w:t>
      </w:r>
    </w:p>
    <w:p w14:paraId="5BF19541">
      <w:pPr>
        <w:keepNext w:val="0"/>
        <w:keepLines w:val="0"/>
        <w:pageBreakBefore w:val="0"/>
        <w:widowControl/>
        <w:numPr>
          <w:ilvl w:val="0"/>
          <w:numId w:val="0"/>
        </w:numPr>
        <w:kinsoku/>
        <w:wordWrap/>
        <w:overflowPunct/>
        <w:topLinePunct w:val="0"/>
        <w:autoSpaceDE/>
        <w:autoSpaceDN/>
        <w:bidi w:val="0"/>
        <w:adjustRightInd w:val="0"/>
        <w:snapToGrid w:val="0"/>
        <w:spacing w:line="590" w:lineRule="exact"/>
        <w:ind w:firstLine="0" w:firstLineChars="0"/>
        <w:textAlignment w:val="auto"/>
        <w:rPr>
          <w:rFonts w:hint="eastAsia"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sz w:val="30"/>
          <w:szCs w:val="30"/>
          <w:highlight w:val="none"/>
          <w:lang w:val="en-US" w:eastAsia="zh-CN" w:bidi="ar"/>
        </w:rPr>
        <w:t>核定床位数确定标准缺失。“核定床位”是一次性建设补贴的测算基数，也是入住率计算的分母。核定床位数来源于养老机构备案时自行申报的数据。自治区层面虽要求机构对备案材料的真实性负责，但未出台床位核定操作细则，备案床位数与建筑面积、居室面积等物理空间的对应关系缺乏统一标准。现场核查发现，不同机构单床占用面积差异较大，约在10至20平方米不等，空间利用情况各不相同。在没有统一折算标准的情况下，备案床位数与物理空间的对应关系缺乏约束。</w:t>
      </w:r>
    </w:p>
    <w:p w14:paraId="42053F9B">
      <w:pPr>
        <w:pStyle w:val="26"/>
        <w:ind w:firstLine="654" w:firstLineChars="200"/>
        <w:rPr>
          <w:rFonts w:hint="default"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sz w:val="30"/>
          <w:szCs w:val="30"/>
          <w:highlight w:val="none"/>
          <w:lang w:bidi="ar"/>
        </w:rPr>
        <w:t>（</w:t>
      </w:r>
      <w:r>
        <w:rPr>
          <w:rFonts w:hint="eastAsia" w:ascii="仿宋_GB2312" w:hAnsi="仿宋_GB2312" w:eastAsia="仿宋_GB2312" w:cs="仿宋_GB2312"/>
          <w:color w:val="auto"/>
          <w:spacing w:val="6"/>
          <w:sz w:val="30"/>
          <w:szCs w:val="30"/>
          <w:highlight w:val="none"/>
          <w:lang w:val="en-US" w:eastAsia="zh-CN" w:bidi="ar"/>
        </w:rPr>
        <w:t>4</w:t>
      </w:r>
      <w:r>
        <w:rPr>
          <w:rFonts w:hint="eastAsia" w:ascii="仿宋_GB2312" w:hAnsi="仿宋_GB2312" w:eastAsia="仿宋_GB2312" w:cs="仿宋_GB2312"/>
          <w:color w:val="auto"/>
          <w:spacing w:val="6"/>
          <w:sz w:val="30"/>
          <w:szCs w:val="30"/>
          <w:highlight w:val="none"/>
          <w:lang w:bidi="ar"/>
        </w:rPr>
        <w:t>）</w:t>
      </w:r>
      <w:r>
        <w:rPr>
          <w:rFonts w:hint="eastAsia" w:ascii="仿宋_GB2312" w:hAnsi="仿宋_GB2312" w:eastAsia="仿宋_GB2312" w:cs="仿宋_GB2312"/>
          <w:color w:val="auto"/>
          <w:spacing w:val="6"/>
          <w:sz w:val="30"/>
          <w:szCs w:val="30"/>
          <w:highlight w:val="none"/>
          <w:lang w:val="en-US" w:eastAsia="zh-CN" w:bidi="ar"/>
        </w:rPr>
        <w:t>审核程序</w:t>
      </w:r>
      <w:r>
        <w:rPr>
          <w:rFonts w:hint="eastAsia" w:ascii="仿宋_GB2312" w:hAnsi="仿宋_GB2312" w:eastAsia="仿宋_GB2312" w:cs="仿宋_GB2312"/>
          <w:color w:val="auto"/>
          <w:spacing w:val="6"/>
          <w:sz w:val="30"/>
          <w:szCs w:val="30"/>
          <w:highlight w:val="none"/>
          <w:lang w:bidi="ar"/>
        </w:rPr>
        <w:t>合理性指标分值</w:t>
      </w:r>
      <w:r>
        <w:rPr>
          <w:rFonts w:hint="eastAsia" w:ascii="仿宋_GB2312" w:hAnsi="仿宋_GB2312" w:eastAsia="仿宋_GB2312" w:cs="仿宋_GB2312"/>
          <w:color w:val="auto"/>
          <w:spacing w:val="6"/>
          <w:sz w:val="30"/>
          <w:szCs w:val="30"/>
          <w:highlight w:val="none"/>
          <w:lang w:val="en-US" w:eastAsia="zh-CN" w:bidi="ar"/>
        </w:rPr>
        <w:t>3</w:t>
      </w:r>
      <w:r>
        <w:rPr>
          <w:rFonts w:hint="eastAsia" w:ascii="仿宋_GB2312" w:hAnsi="仿宋_GB2312" w:eastAsia="仿宋_GB2312" w:cs="仿宋_GB2312"/>
          <w:color w:val="auto"/>
          <w:spacing w:val="6"/>
          <w:sz w:val="30"/>
          <w:szCs w:val="30"/>
          <w:highlight w:val="none"/>
          <w:lang w:bidi="ar"/>
        </w:rPr>
        <w:t>分，实际得分</w:t>
      </w:r>
      <w:r>
        <w:rPr>
          <w:rFonts w:hint="eastAsia" w:ascii="仿宋_GB2312" w:hAnsi="仿宋_GB2312" w:eastAsia="仿宋_GB2312" w:cs="仿宋_GB2312"/>
          <w:color w:val="auto"/>
          <w:spacing w:val="6"/>
          <w:sz w:val="30"/>
          <w:szCs w:val="30"/>
          <w:highlight w:val="none"/>
          <w:lang w:val="en-US" w:eastAsia="zh-CN" w:bidi="ar"/>
        </w:rPr>
        <w:t>0</w:t>
      </w:r>
      <w:r>
        <w:rPr>
          <w:rFonts w:hint="eastAsia" w:ascii="仿宋_GB2312" w:hAnsi="仿宋_GB2312" w:eastAsia="仿宋_GB2312" w:cs="仿宋_GB2312"/>
          <w:color w:val="auto"/>
          <w:spacing w:val="6"/>
          <w:sz w:val="30"/>
          <w:szCs w:val="30"/>
          <w:highlight w:val="none"/>
          <w:lang w:bidi="ar"/>
        </w:rPr>
        <w:t>分</w:t>
      </w:r>
      <w:r>
        <w:rPr>
          <w:rFonts w:hint="eastAsia" w:ascii="仿宋_GB2312" w:hAnsi="仿宋_GB2312" w:eastAsia="仿宋_GB2312" w:cs="仿宋_GB2312"/>
          <w:color w:val="auto"/>
          <w:spacing w:val="6"/>
          <w:sz w:val="30"/>
          <w:szCs w:val="30"/>
          <w:highlight w:val="none"/>
          <w:lang w:eastAsia="zh-Hans" w:bidi="ar"/>
        </w:rPr>
        <w:t>，</w:t>
      </w:r>
      <w:r>
        <w:rPr>
          <w:rFonts w:hint="eastAsia" w:ascii="仿宋_GB2312" w:hAnsi="仿宋_GB2312" w:eastAsia="仿宋_GB2312" w:cs="仿宋_GB2312"/>
          <w:color w:val="auto"/>
          <w:spacing w:val="6"/>
          <w:sz w:val="30"/>
          <w:szCs w:val="30"/>
          <w:highlight w:val="none"/>
          <w:lang w:val="en-US" w:eastAsia="zh-Hans" w:bidi="ar"/>
        </w:rPr>
        <w:t>得分率</w:t>
      </w:r>
      <w:r>
        <w:rPr>
          <w:rFonts w:hint="eastAsia" w:ascii="仿宋_GB2312" w:hAnsi="仿宋_GB2312" w:eastAsia="仿宋_GB2312" w:cs="仿宋_GB2312"/>
          <w:color w:val="auto"/>
          <w:spacing w:val="6"/>
          <w:sz w:val="30"/>
          <w:szCs w:val="30"/>
          <w:highlight w:val="none"/>
          <w:lang w:val="en-US" w:eastAsia="zh-CN" w:bidi="ar"/>
        </w:rPr>
        <w:t>0</w:t>
      </w:r>
      <w:r>
        <w:rPr>
          <w:rFonts w:hint="eastAsia" w:ascii="仿宋_GB2312" w:hAnsi="仿宋_GB2312" w:eastAsia="仿宋_GB2312" w:cs="仿宋_GB2312"/>
          <w:color w:val="auto"/>
          <w:spacing w:val="6"/>
          <w:sz w:val="30"/>
          <w:szCs w:val="30"/>
          <w:highlight w:val="none"/>
          <w:lang w:eastAsia="zh-Hans" w:bidi="ar"/>
        </w:rPr>
        <w:t>%</w:t>
      </w:r>
      <w:r>
        <w:rPr>
          <w:rFonts w:hint="eastAsia" w:ascii="仿宋_GB2312" w:hAnsi="仿宋_GB2312" w:eastAsia="仿宋_GB2312" w:cs="仿宋_GB2312"/>
          <w:color w:val="auto"/>
          <w:spacing w:val="6"/>
          <w:sz w:val="30"/>
          <w:szCs w:val="30"/>
          <w:highlight w:val="none"/>
          <w:lang w:bidi="ar"/>
        </w:rPr>
        <w:t>。</w:t>
      </w:r>
      <w:r>
        <w:rPr>
          <w:rFonts w:hint="eastAsia" w:ascii="仿宋_GB2312" w:hAnsi="仿宋_GB2312" w:eastAsia="仿宋_GB2312" w:cs="仿宋_GB2312"/>
          <w:color w:val="auto"/>
          <w:spacing w:val="6"/>
          <w:sz w:val="30"/>
          <w:szCs w:val="30"/>
          <w:highlight w:val="none"/>
          <w:lang w:eastAsia="zh-CN" w:bidi="ar"/>
        </w:rPr>
        <w:t>扣分原因及相关说明：</w:t>
      </w:r>
      <w:r>
        <w:rPr>
          <w:rFonts w:hint="eastAsia" w:ascii="仿宋_GB2312" w:hAnsi="仿宋_GB2312" w:eastAsia="仿宋_GB2312" w:cs="仿宋_GB2312"/>
          <w:color w:val="auto"/>
          <w:spacing w:val="6"/>
          <w:sz w:val="30"/>
          <w:szCs w:val="30"/>
          <w:highlight w:val="none"/>
          <w:lang w:val="en-US" w:eastAsia="zh-CN" w:bidi="ar"/>
        </w:rPr>
        <w:t>审核环节职责划分不清晰。《资助办法》仅规定县级“审核”后报送地州，地州“审查”后报送自治区，但未明确界定县级“审核”与地州“审查”各自的责任边界和具体内容。评估发现，喀什市民政局未按自治区民政厅发布的各年度补贴申报工作通知要求，审核其下辖的喀什市亲情缘养老院在评估周期内（2020—2024年度）上报的申请资料，该机构申报资料不全，但2020—2024年各年度均获得运营补助，且2024年申报入住率61%无法通过任何计算口径还原；疏勒县康乐园老年护养院两年入住率填报均存在明显计算错误，如120/200=56%。上述问题在县级审核、喀什地区复核环节均未被发现。</w:t>
      </w:r>
    </w:p>
    <w:p w14:paraId="19ED71AD">
      <w:pPr>
        <w:pStyle w:val="26"/>
        <w:ind w:firstLine="654" w:firstLineChars="200"/>
        <w:rPr>
          <w:rFonts w:hint="eastAsia"/>
          <w:color w:val="auto"/>
          <w:highlight w:val="none"/>
          <w:lang w:val="en-US" w:eastAsia="zh-CN"/>
        </w:rPr>
      </w:pPr>
      <w:r>
        <w:rPr>
          <w:rFonts w:hint="eastAsia" w:ascii="仿宋_GB2312" w:hAnsi="仿宋_GB2312" w:eastAsia="仿宋_GB2312" w:cs="仿宋_GB2312"/>
          <w:color w:val="auto"/>
          <w:spacing w:val="6"/>
          <w:sz w:val="30"/>
          <w:szCs w:val="30"/>
          <w:highlight w:val="none"/>
          <w:lang w:val="en-US" w:eastAsia="zh-CN" w:bidi="ar"/>
        </w:rPr>
        <w:t>《资助办法》对实地核查的规定停留于原则性要求层面，仅提出“实地核查，核实年度服务量”，未明确核查的具体内容、标准和记录要求，审核人员缺乏统一的操作依据，导致核查一定程度上流于形式。</w:t>
      </w:r>
    </w:p>
    <w:p w14:paraId="47C4B218">
      <w:pPr>
        <w:keepNext w:val="0"/>
        <w:keepLines w:val="0"/>
        <w:pageBreakBefore w:val="0"/>
        <w:widowControl/>
        <w:numPr>
          <w:ilvl w:val="0"/>
          <w:numId w:val="0"/>
        </w:numPr>
        <w:kinsoku/>
        <w:wordWrap/>
        <w:overflowPunct/>
        <w:topLinePunct w:val="0"/>
        <w:autoSpaceDE/>
        <w:autoSpaceDN/>
        <w:bidi w:val="0"/>
        <w:adjustRightInd w:val="0"/>
        <w:snapToGrid w:val="0"/>
        <w:spacing w:line="590" w:lineRule="exact"/>
        <w:ind w:firstLine="654" w:firstLineChars="200"/>
        <w:textAlignment w:val="auto"/>
        <w:rPr>
          <w:rFonts w:hint="default"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sz w:val="30"/>
          <w:szCs w:val="30"/>
          <w:highlight w:val="none"/>
          <w:lang w:bidi="ar"/>
        </w:rPr>
        <w:t>2.</w:t>
      </w:r>
      <w:r>
        <w:rPr>
          <w:rFonts w:hint="eastAsia" w:ascii="仿宋_GB2312" w:hAnsi="仿宋_GB2312" w:eastAsia="仿宋_GB2312" w:cs="仿宋_GB2312"/>
          <w:color w:val="auto"/>
          <w:spacing w:val="6"/>
          <w:sz w:val="30"/>
          <w:szCs w:val="30"/>
          <w:highlight w:val="none"/>
          <w:lang w:val="en-US" w:eastAsia="zh-CN" w:bidi="ar"/>
        </w:rPr>
        <w:t>政策存续价值</w:t>
      </w:r>
    </w:p>
    <w:p w14:paraId="4C6D8E11">
      <w:pPr>
        <w:keepNext w:val="0"/>
        <w:keepLines w:val="0"/>
        <w:pageBreakBefore w:val="0"/>
        <w:widowControl/>
        <w:numPr>
          <w:ilvl w:val="0"/>
          <w:numId w:val="0"/>
        </w:numPr>
        <w:kinsoku/>
        <w:wordWrap/>
        <w:overflowPunct/>
        <w:topLinePunct w:val="0"/>
        <w:autoSpaceDE/>
        <w:autoSpaceDN/>
        <w:bidi w:val="0"/>
        <w:adjustRightInd w:val="0"/>
        <w:snapToGrid w:val="0"/>
        <w:spacing w:line="590" w:lineRule="exact"/>
        <w:ind w:firstLine="654" w:firstLineChars="200"/>
        <w:textAlignment w:val="auto"/>
        <w:rPr>
          <w:rFonts w:hint="eastAsia" w:ascii="仿宋_GB2312" w:hAnsi="仿宋_GB2312" w:eastAsia="仿宋_GB2312" w:cs="仿宋_GB2312"/>
          <w:color w:val="auto"/>
          <w:spacing w:val="6"/>
          <w:sz w:val="30"/>
          <w:szCs w:val="30"/>
          <w:highlight w:val="none"/>
          <w:lang w:bidi="ar"/>
        </w:rPr>
      </w:pPr>
      <w:r>
        <w:rPr>
          <w:rFonts w:hint="eastAsia" w:ascii="仿宋_GB2312" w:hAnsi="仿宋_GB2312" w:eastAsia="仿宋_GB2312" w:cs="仿宋_GB2312"/>
          <w:color w:val="auto"/>
          <w:spacing w:val="6"/>
          <w:sz w:val="30"/>
          <w:szCs w:val="30"/>
          <w:highlight w:val="none"/>
          <w:lang w:bidi="ar"/>
        </w:rPr>
        <w:t>项目管理下设继续实施依据充分性</w:t>
      </w:r>
      <w:r>
        <w:rPr>
          <w:rFonts w:hint="eastAsia" w:ascii="仿宋_GB2312" w:hAnsi="仿宋_GB2312" w:eastAsia="仿宋_GB2312" w:cs="仿宋_GB2312"/>
          <w:color w:val="auto"/>
          <w:spacing w:val="6"/>
          <w:sz w:val="30"/>
          <w:szCs w:val="30"/>
          <w:highlight w:val="none"/>
          <w:lang w:eastAsia="zh-CN" w:bidi="ar"/>
        </w:rPr>
        <w:t>、政策退出影响评估</w:t>
      </w:r>
      <w:r>
        <w:rPr>
          <w:rFonts w:hint="eastAsia" w:ascii="仿宋_GB2312" w:hAnsi="仿宋_GB2312" w:eastAsia="仿宋_GB2312" w:cs="仿宋_GB2312"/>
          <w:color w:val="auto"/>
          <w:spacing w:val="6"/>
          <w:sz w:val="30"/>
          <w:szCs w:val="30"/>
          <w:highlight w:val="none"/>
          <w:lang w:val="en-US" w:eastAsia="zh-CN" w:bidi="ar"/>
        </w:rPr>
        <w:t>2</w:t>
      </w:r>
      <w:r>
        <w:rPr>
          <w:rFonts w:hint="eastAsia" w:ascii="仿宋_GB2312" w:hAnsi="仿宋_GB2312" w:eastAsia="仿宋_GB2312" w:cs="仿宋_GB2312"/>
          <w:color w:val="auto"/>
          <w:spacing w:val="6"/>
          <w:sz w:val="30"/>
          <w:szCs w:val="30"/>
          <w:highlight w:val="none"/>
          <w:lang w:bidi="ar"/>
        </w:rPr>
        <w:t>个三级指标，指标权重</w:t>
      </w:r>
      <w:r>
        <w:rPr>
          <w:rFonts w:hint="eastAsia" w:ascii="仿宋_GB2312" w:hAnsi="仿宋_GB2312" w:eastAsia="仿宋_GB2312" w:cs="仿宋_GB2312"/>
          <w:color w:val="auto"/>
          <w:spacing w:val="6"/>
          <w:sz w:val="30"/>
          <w:szCs w:val="30"/>
          <w:highlight w:val="none"/>
          <w:lang w:val="en-US" w:eastAsia="zh-CN" w:bidi="ar"/>
        </w:rPr>
        <w:t>10</w:t>
      </w:r>
      <w:r>
        <w:rPr>
          <w:rFonts w:hint="eastAsia" w:ascii="仿宋_GB2312" w:hAnsi="仿宋_GB2312" w:eastAsia="仿宋_GB2312" w:cs="仿宋_GB2312"/>
          <w:color w:val="auto"/>
          <w:spacing w:val="6"/>
          <w:sz w:val="30"/>
          <w:szCs w:val="30"/>
          <w:highlight w:val="none"/>
          <w:lang w:bidi="ar"/>
        </w:rPr>
        <w:t>分，实际得分</w:t>
      </w:r>
      <w:r>
        <w:rPr>
          <w:rFonts w:hint="eastAsia" w:ascii="仿宋_GB2312" w:hAnsi="仿宋_GB2312" w:eastAsia="仿宋_GB2312" w:cs="仿宋_GB2312"/>
          <w:color w:val="auto"/>
          <w:spacing w:val="6"/>
          <w:sz w:val="30"/>
          <w:szCs w:val="30"/>
          <w:highlight w:val="none"/>
          <w:lang w:val="en-US" w:eastAsia="zh-CN" w:bidi="ar"/>
        </w:rPr>
        <w:t>8</w:t>
      </w:r>
      <w:r>
        <w:rPr>
          <w:rFonts w:hint="eastAsia" w:ascii="仿宋_GB2312" w:hAnsi="仿宋_GB2312" w:eastAsia="仿宋_GB2312" w:cs="仿宋_GB2312"/>
          <w:color w:val="auto"/>
          <w:spacing w:val="6"/>
          <w:sz w:val="30"/>
          <w:szCs w:val="30"/>
          <w:highlight w:val="none"/>
          <w:lang w:bidi="ar"/>
        </w:rPr>
        <w:t>分，得分率</w:t>
      </w:r>
      <w:r>
        <w:rPr>
          <w:rFonts w:hint="eastAsia" w:ascii="仿宋_GB2312" w:hAnsi="仿宋_GB2312" w:eastAsia="仿宋_GB2312" w:cs="仿宋_GB2312"/>
          <w:color w:val="auto"/>
          <w:spacing w:val="6"/>
          <w:sz w:val="30"/>
          <w:szCs w:val="30"/>
          <w:highlight w:val="none"/>
          <w:lang w:val="en-US" w:eastAsia="zh-CN" w:bidi="ar"/>
        </w:rPr>
        <w:t>80</w:t>
      </w:r>
      <w:r>
        <w:rPr>
          <w:rFonts w:hint="eastAsia" w:ascii="仿宋_GB2312" w:hAnsi="仿宋_GB2312" w:eastAsia="仿宋_GB2312" w:cs="仿宋_GB2312"/>
          <w:color w:val="auto"/>
          <w:spacing w:val="6"/>
          <w:sz w:val="30"/>
          <w:szCs w:val="30"/>
          <w:highlight w:val="none"/>
          <w:lang w:bidi="ar"/>
        </w:rPr>
        <w:t>%。</w:t>
      </w:r>
    </w:p>
    <w:p w14:paraId="13B69DE0">
      <w:pPr>
        <w:widowControl/>
        <w:numPr>
          <w:ilvl w:val="0"/>
          <w:numId w:val="0"/>
        </w:numPr>
        <w:adjustRightInd w:val="0"/>
        <w:snapToGrid w:val="0"/>
        <w:spacing w:line="590" w:lineRule="exact"/>
        <w:ind w:firstLine="654" w:firstLineChars="200"/>
        <w:rPr>
          <w:rFonts w:hint="eastAsia"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kern w:val="30"/>
          <w:sz w:val="30"/>
          <w:szCs w:val="30"/>
          <w:highlight w:val="none"/>
          <w:lang w:val="en-US" w:eastAsia="zh-Hans" w:bidi="ar"/>
        </w:rPr>
        <w:t>（1）</w:t>
      </w:r>
      <w:r>
        <w:rPr>
          <w:rFonts w:hint="eastAsia" w:ascii="仿宋_GB2312" w:hAnsi="仿宋_GB2312" w:eastAsia="仿宋_GB2312" w:cs="仿宋_GB2312"/>
          <w:color w:val="auto"/>
          <w:spacing w:val="6"/>
          <w:sz w:val="30"/>
          <w:szCs w:val="30"/>
          <w:highlight w:val="none"/>
          <w:lang w:bidi="ar"/>
        </w:rPr>
        <w:t>继续实施依据充分性</w:t>
      </w:r>
      <w:r>
        <w:rPr>
          <w:rFonts w:hint="eastAsia" w:ascii="仿宋_GB2312" w:hAnsi="仿宋_GB2312" w:eastAsia="仿宋_GB2312" w:cs="仿宋_GB2312"/>
          <w:color w:val="auto"/>
          <w:spacing w:val="6"/>
          <w:sz w:val="30"/>
          <w:szCs w:val="30"/>
          <w:highlight w:val="none"/>
          <w:lang w:eastAsia="zh-Hans" w:bidi="ar"/>
        </w:rPr>
        <w:t>指标分值</w:t>
      </w:r>
      <w:r>
        <w:rPr>
          <w:rFonts w:hint="eastAsia" w:ascii="仿宋_GB2312" w:hAnsi="仿宋_GB2312" w:eastAsia="仿宋_GB2312" w:cs="仿宋_GB2312"/>
          <w:color w:val="auto"/>
          <w:spacing w:val="6"/>
          <w:sz w:val="30"/>
          <w:szCs w:val="30"/>
          <w:highlight w:val="none"/>
          <w:lang w:val="en-US" w:eastAsia="zh-CN" w:bidi="ar"/>
        </w:rPr>
        <w:t>5</w:t>
      </w:r>
      <w:r>
        <w:rPr>
          <w:rFonts w:hint="eastAsia" w:ascii="仿宋_GB2312" w:hAnsi="仿宋_GB2312" w:eastAsia="仿宋_GB2312" w:cs="仿宋_GB2312"/>
          <w:color w:val="auto"/>
          <w:spacing w:val="6"/>
          <w:sz w:val="30"/>
          <w:szCs w:val="30"/>
          <w:highlight w:val="none"/>
          <w:lang w:eastAsia="zh-Hans" w:bidi="ar"/>
        </w:rPr>
        <w:t>分，实际得分</w:t>
      </w:r>
      <w:r>
        <w:rPr>
          <w:rFonts w:hint="eastAsia" w:ascii="仿宋_GB2312" w:hAnsi="仿宋_GB2312" w:eastAsia="仿宋_GB2312" w:cs="仿宋_GB2312"/>
          <w:color w:val="auto"/>
          <w:spacing w:val="6"/>
          <w:sz w:val="30"/>
          <w:szCs w:val="30"/>
          <w:highlight w:val="none"/>
          <w:lang w:val="en-US" w:eastAsia="zh-CN" w:bidi="ar"/>
        </w:rPr>
        <w:t>3</w:t>
      </w:r>
      <w:r>
        <w:rPr>
          <w:rFonts w:hint="eastAsia" w:ascii="仿宋_GB2312" w:hAnsi="仿宋_GB2312" w:eastAsia="仿宋_GB2312" w:cs="仿宋_GB2312"/>
          <w:color w:val="auto"/>
          <w:spacing w:val="6"/>
          <w:sz w:val="30"/>
          <w:szCs w:val="30"/>
          <w:highlight w:val="none"/>
          <w:lang w:eastAsia="zh-Hans" w:bidi="ar"/>
        </w:rPr>
        <w:t>分，得分率</w:t>
      </w:r>
      <w:r>
        <w:rPr>
          <w:rFonts w:hint="eastAsia" w:ascii="仿宋_GB2312" w:hAnsi="仿宋_GB2312" w:eastAsia="仿宋_GB2312" w:cs="仿宋_GB2312"/>
          <w:color w:val="auto"/>
          <w:spacing w:val="6"/>
          <w:sz w:val="30"/>
          <w:szCs w:val="30"/>
          <w:highlight w:val="none"/>
          <w:lang w:val="en-US" w:eastAsia="zh-CN" w:bidi="ar"/>
        </w:rPr>
        <w:t>60</w:t>
      </w:r>
      <w:r>
        <w:rPr>
          <w:rFonts w:hint="eastAsia" w:ascii="仿宋_GB2312" w:hAnsi="仿宋_GB2312" w:eastAsia="仿宋_GB2312" w:cs="仿宋_GB2312"/>
          <w:color w:val="auto"/>
          <w:spacing w:val="6"/>
          <w:sz w:val="30"/>
          <w:szCs w:val="30"/>
          <w:highlight w:val="none"/>
          <w:lang w:eastAsia="zh-Hans" w:bidi="ar"/>
        </w:rPr>
        <w:t>%。</w:t>
      </w:r>
      <w:r>
        <w:rPr>
          <w:rFonts w:hint="eastAsia" w:ascii="仿宋_GB2312" w:hAnsi="仿宋_GB2312" w:eastAsia="仿宋_GB2312" w:cs="仿宋_GB2312"/>
          <w:color w:val="auto"/>
          <w:spacing w:val="6"/>
          <w:sz w:val="30"/>
          <w:szCs w:val="30"/>
          <w:highlight w:val="none"/>
          <w:lang w:val="en-US" w:eastAsia="zh-CN" w:bidi="ar"/>
        </w:rPr>
        <w:t>扣分原因及相关说明：资助政策继续实施有适用的政策依据，继续实施与国民经济和社会发展规划、行业发展规划相关要求一致。一是应对人口老龄化的现实需要。新疆部分地州已接近或达到中度老龄化，养老服务需求持续增长，民办养老机构扶持政策不能中断。二是落实全面深化改革部署的具体举措。国家和自治区均明确要求“鼓励和引导企业等社会力量积极参与”养老服务，政策退出与改革方向不符。三是民办养老机构对政策依赖度较高。运营补贴在机构收入中占有一定比重，直接终止将对民办养老机构运营造成较大冲击，影响养老服务供给稳定。</w:t>
      </w:r>
    </w:p>
    <w:p w14:paraId="75B2952F">
      <w:pPr>
        <w:widowControl/>
        <w:numPr>
          <w:ilvl w:val="0"/>
          <w:numId w:val="0"/>
        </w:numPr>
        <w:adjustRightInd w:val="0"/>
        <w:snapToGrid w:val="0"/>
        <w:spacing w:line="590" w:lineRule="exact"/>
        <w:ind w:firstLine="654" w:firstLineChars="200"/>
        <w:rPr>
          <w:rFonts w:hint="eastAsia"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sz w:val="30"/>
          <w:szCs w:val="30"/>
          <w:highlight w:val="none"/>
          <w:lang w:val="en-US" w:eastAsia="zh-CN" w:bidi="ar"/>
        </w:rPr>
        <w:t>但《资助办法》2013版未明确限定一次性建设补贴与中央预算内投资的普惠养老城企联动专项行动项目补助之间的关系，理论上存在同一机构、同一项目同时享受两种财政补助的可能性，构成与其他资助政策支持方向的交叉重复风险。</w:t>
      </w:r>
    </w:p>
    <w:p w14:paraId="250926DB">
      <w:pPr>
        <w:keepNext w:val="0"/>
        <w:keepLines w:val="0"/>
        <w:pageBreakBefore w:val="0"/>
        <w:widowControl/>
        <w:numPr>
          <w:ilvl w:val="0"/>
          <w:numId w:val="0"/>
        </w:numPr>
        <w:kinsoku/>
        <w:wordWrap/>
        <w:overflowPunct/>
        <w:topLinePunct w:val="0"/>
        <w:autoSpaceDE/>
        <w:autoSpaceDN/>
        <w:bidi w:val="0"/>
        <w:adjustRightInd w:val="0"/>
        <w:snapToGrid w:val="0"/>
        <w:spacing w:line="590" w:lineRule="exact"/>
        <w:ind w:firstLine="654" w:firstLineChars="200"/>
        <w:textAlignment w:val="auto"/>
        <w:rPr>
          <w:rFonts w:hint="eastAsia" w:ascii="仿宋_GB2312" w:hAnsi="仿宋_GB2312" w:eastAsia="仿宋_GB2312" w:cs="仿宋_GB2312"/>
          <w:b w:val="0"/>
          <w:bCs w:val="0"/>
          <w:color w:val="auto"/>
          <w:spacing w:val="6"/>
          <w:sz w:val="30"/>
          <w:szCs w:val="30"/>
          <w:highlight w:val="none"/>
          <w:lang w:val="en-US" w:eastAsia="zh-CN" w:bidi="ar"/>
        </w:rPr>
      </w:pPr>
      <w:r>
        <w:rPr>
          <w:rFonts w:hint="eastAsia" w:ascii="仿宋_GB2312" w:hAnsi="仿宋_GB2312" w:eastAsia="仿宋_GB2312" w:cs="仿宋_GB2312"/>
          <w:color w:val="auto"/>
          <w:spacing w:val="6"/>
          <w:sz w:val="30"/>
          <w:szCs w:val="30"/>
          <w:highlight w:val="none"/>
          <w:lang w:bidi="ar"/>
        </w:rPr>
        <w:t>（</w:t>
      </w:r>
      <w:r>
        <w:rPr>
          <w:rFonts w:hint="eastAsia" w:ascii="仿宋_GB2312" w:hAnsi="仿宋_GB2312" w:eastAsia="仿宋_GB2312" w:cs="仿宋_GB2312"/>
          <w:color w:val="auto"/>
          <w:spacing w:val="6"/>
          <w:sz w:val="30"/>
          <w:szCs w:val="30"/>
          <w:highlight w:val="none"/>
          <w:lang w:val="en-US" w:eastAsia="zh-CN" w:bidi="ar"/>
        </w:rPr>
        <w:t>2</w:t>
      </w:r>
      <w:r>
        <w:rPr>
          <w:rFonts w:hint="eastAsia" w:ascii="仿宋_GB2312" w:hAnsi="仿宋_GB2312" w:eastAsia="仿宋_GB2312" w:cs="仿宋_GB2312"/>
          <w:color w:val="auto"/>
          <w:spacing w:val="6"/>
          <w:sz w:val="30"/>
          <w:szCs w:val="30"/>
          <w:highlight w:val="none"/>
          <w:lang w:bidi="ar"/>
        </w:rPr>
        <w:t>）</w:t>
      </w:r>
      <w:r>
        <w:rPr>
          <w:rFonts w:hint="eastAsia" w:ascii="仿宋_GB2312" w:hAnsi="仿宋_GB2312" w:eastAsia="仿宋_GB2312" w:cs="仿宋_GB2312"/>
          <w:color w:val="auto"/>
          <w:spacing w:val="6"/>
          <w:sz w:val="30"/>
          <w:szCs w:val="30"/>
          <w:highlight w:val="none"/>
          <w:lang w:val="en-US" w:eastAsia="zh-CN" w:bidi="ar"/>
        </w:rPr>
        <w:t>政策退出影响评估</w:t>
      </w:r>
      <w:r>
        <w:rPr>
          <w:rFonts w:hint="eastAsia" w:ascii="仿宋_GB2312" w:hAnsi="仿宋_GB2312" w:eastAsia="仿宋_GB2312" w:cs="仿宋_GB2312"/>
          <w:color w:val="auto"/>
          <w:spacing w:val="6"/>
          <w:sz w:val="30"/>
          <w:szCs w:val="30"/>
          <w:highlight w:val="none"/>
          <w:lang w:eastAsia="zh-Hans" w:bidi="ar"/>
        </w:rPr>
        <w:t>指标分值</w:t>
      </w:r>
      <w:r>
        <w:rPr>
          <w:rFonts w:hint="eastAsia" w:ascii="仿宋_GB2312" w:hAnsi="仿宋_GB2312" w:eastAsia="仿宋_GB2312" w:cs="仿宋_GB2312"/>
          <w:color w:val="auto"/>
          <w:spacing w:val="6"/>
          <w:sz w:val="30"/>
          <w:szCs w:val="30"/>
          <w:highlight w:val="none"/>
          <w:lang w:val="en-US" w:eastAsia="zh-CN" w:bidi="ar"/>
        </w:rPr>
        <w:t>5</w:t>
      </w:r>
      <w:r>
        <w:rPr>
          <w:rFonts w:hint="eastAsia" w:ascii="仿宋_GB2312" w:hAnsi="仿宋_GB2312" w:eastAsia="仿宋_GB2312" w:cs="仿宋_GB2312"/>
          <w:color w:val="auto"/>
          <w:spacing w:val="6"/>
          <w:sz w:val="30"/>
          <w:szCs w:val="30"/>
          <w:highlight w:val="none"/>
          <w:lang w:eastAsia="zh-Hans" w:bidi="ar"/>
        </w:rPr>
        <w:t>分，实际得分</w:t>
      </w:r>
      <w:r>
        <w:rPr>
          <w:rFonts w:hint="eastAsia" w:ascii="仿宋_GB2312" w:hAnsi="仿宋_GB2312" w:eastAsia="仿宋_GB2312" w:cs="仿宋_GB2312"/>
          <w:color w:val="auto"/>
          <w:spacing w:val="6"/>
          <w:sz w:val="30"/>
          <w:szCs w:val="30"/>
          <w:highlight w:val="none"/>
          <w:lang w:val="en-US" w:eastAsia="zh-CN" w:bidi="ar"/>
        </w:rPr>
        <w:t>5</w:t>
      </w:r>
      <w:r>
        <w:rPr>
          <w:rFonts w:hint="eastAsia" w:ascii="仿宋_GB2312" w:hAnsi="仿宋_GB2312" w:eastAsia="仿宋_GB2312" w:cs="仿宋_GB2312"/>
          <w:color w:val="auto"/>
          <w:spacing w:val="6"/>
          <w:sz w:val="30"/>
          <w:szCs w:val="30"/>
          <w:highlight w:val="none"/>
          <w:lang w:eastAsia="zh-Hans" w:bidi="ar"/>
        </w:rPr>
        <w:t>分，得分率</w:t>
      </w:r>
      <w:r>
        <w:rPr>
          <w:rFonts w:hint="eastAsia" w:ascii="仿宋_GB2312" w:hAnsi="仿宋_GB2312" w:eastAsia="仿宋_GB2312" w:cs="仿宋_GB2312"/>
          <w:color w:val="auto"/>
          <w:spacing w:val="6"/>
          <w:sz w:val="30"/>
          <w:szCs w:val="30"/>
          <w:highlight w:val="none"/>
          <w:lang w:val="en-US" w:eastAsia="zh-CN" w:bidi="ar"/>
        </w:rPr>
        <w:t>100</w:t>
      </w:r>
      <w:r>
        <w:rPr>
          <w:rFonts w:hint="eastAsia" w:ascii="仿宋_GB2312" w:hAnsi="仿宋_GB2312" w:eastAsia="仿宋_GB2312" w:cs="仿宋_GB2312"/>
          <w:color w:val="auto"/>
          <w:spacing w:val="6"/>
          <w:sz w:val="30"/>
          <w:szCs w:val="30"/>
          <w:highlight w:val="none"/>
          <w:lang w:eastAsia="zh-Hans" w:bidi="ar"/>
        </w:rPr>
        <w:t>%。</w:t>
      </w:r>
      <w:r>
        <w:rPr>
          <w:rFonts w:hint="eastAsia" w:ascii="仿宋_GB2312" w:hAnsi="仿宋_GB2312" w:eastAsia="仿宋_GB2312" w:cs="仿宋_GB2312"/>
          <w:b w:val="0"/>
          <w:bCs w:val="0"/>
          <w:color w:val="auto"/>
          <w:spacing w:val="6"/>
          <w:sz w:val="30"/>
          <w:szCs w:val="30"/>
          <w:highlight w:val="none"/>
          <w:lang w:val="en-US" w:eastAsia="zh-CN" w:bidi="ar"/>
        </w:rPr>
        <w:t>问卷调查结果显示，若政策到期后不再延续，37%的机构认为影响巨大，可能导致机构难以维持，22%的机构认为影响较大，24%的机构认为有一定影响但可正常运营，仅17%的机构认为基本无影响或完全无影响。选择“影响巨大，可能导致机构难以维持”和“影响较大，但能勉强维持”的比例为59%。</w:t>
      </w:r>
    </w:p>
    <w:p w14:paraId="5D846616">
      <w:pPr>
        <w:keepNext w:val="0"/>
        <w:keepLines w:val="0"/>
        <w:pageBreakBefore w:val="0"/>
        <w:widowControl/>
        <w:numPr>
          <w:ilvl w:val="0"/>
          <w:numId w:val="0"/>
        </w:numPr>
        <w:kinsoku/>
        <w:wordWrap/>
        <w:overflowPunct/>
        <w:topLinePunct w:val="0"/>
        <w:autoSpaceDE/>
        <w:autoSpaceDN/>
        <w:bidi w:val="0"/>
        <w:adjustRightInd w:val="0"/>
        <w:snapToGrid w:val="0"/>
        <w:spacing w:line="590" w:lineRule="exact"/>
        <w:ind w:firstLine="654" w:firstLineChars="200"/>
        <w:textAlignment w:val="auto"/>
        <w:rPr>
          <w:rFonts w:hint="eastAsia" w:ascii="仿宋_GB2312" w:hAnsi="仿宋_GB2312" w:eastAsia="仿宋_GB2312" w:cs="仿宋_GB2312"/>
          <w:b w:val="0"/>
          <w:bCs w:val="0"/>
          <w:color w:val="auto"/>
          <w:spacing w:val="6"/>
          <w:sz w:val="30"/>
          <w:szCs w:val="30"/>
          <w:highlight w:val="none"/>
          <w:lang w:val="en-US" w:eastAsia="zh-CN" w:bidi="ar"/>
        </w:rPr>
      </w:pPr>
      <w:r>
        <w:rPr>
          <w:rFonts w:hint="eastAsia" w:ascii="仿宋_GB2312" w:hAnsi="仿宋_GB2312" w:eastAsia="仿宋_GB2312" w:cs="仿宋_GB2312"/>
          <w:b w:val="0"/>
          <w:bCs w:val="0"/>
          <w:color w:val="auto"/>
          <w:spacing w:val="6"/>
          <w:sz w:val="30"/>
          <w:szCs w:val="30"/>
          <w:highlight w:val="none"/>
          <w:lang w:val="en-US" w:eastAsia="zh-CN" w:bidi="ar"/>
        </w:rPr>
        <w:t>从抽样机构财务数据及问卷调查来看，受资助的民办非营利和“公建民营”养老机构普遍经营困难，存在支大于收、亏损面较大的情况。即使运营补贴在机构总支出中占比有限，仍属机构日常运营中比较重要的收入来源之一，有助于缓解部分经营压力。若政策退出、补贴中断，多数机构将面临经营困难进一步加剧的风险，不利于民办养老机构持续稳定发展。综合判断，政策退出将对民办养老机构产生较大影响，不宜简单终止。</w:t>
      </w:r>
    </w:p>
    <w:bookmarkEnd w:id="271"/>
    <w:bookmarkEnd w:id="299"/>
    <w:bookmarkEnd w:id="300"/>
    <w:p w14:paraId="0BE7CAB2">
      <w:pPr>
        <w:keepNext w:val="0"/>
        <w:keepLines w:val="0"/>
        <w:pageBreakBefore w:val="0"/>
        <w:widowControl w:val="0"/>
        <w:numPr>
          <w:ilvl w:val="-1"/>
          <w:numId w:val="0"/>
        </w:numPr>
        <w:kinsoku/>
        <w:wordWrap/>
        <w:overflowPunct/>
        <w:topLinePunct w:val="0"/>
        <w:autoSpaceDE/>
        <w:autoSpaceDN/>
        <w:bidi w:val="0"/>
        <w:adjustRightInd/>
        <w:snapToGrid/>
        <w:spacing w:line="590" w:lineRule="exact"/>
        <w:ind w:leftChars="0" w:firstLine="670" w:firstLineChars="200"/>
        <w:textAlignment w:val="auto"/>
        <w:outlineLvl w:val="0"/>
        <w:rPr>
          <w:rFonts w:hint="eastAsia" w:ascii="黑体" w:hAnsi="黑体" w:eastAsia="黑体" w:cs="宋体"/>
          <w:color w:val="auto"/>
          <w:kern w:val="30"/>
          <w:sz w:val="32"/>
          <w:szCs w:val="32"/>
          <w:highlight w:val="none"/>
          <w:lang w:eastAsia="zh-Hans" w:bidi="ar"/>
        </w:rPr>
      </w:pPr>
      <w:bookmarkStart w:id="329" w:name="_Toc1425"/>
      <w:bookmarkStart w:id="330" w:name="_Toc26955"/>
      <w:bookmarkStart w:id="331" w:name="_Toc843"/>
      <w:bookmarkStart w:id="332" w:name="_Toc16216"/>
      <w:bookmarkStart w:id="333" w:name="_Toc241"/>
      <w:bookmarkStart w:id="334" w:name="_Toc26591"/>
      <w:bookmarkStart w:id="335" w:name="_Toc13005"/>
      <w:bookmarkStart w:id="336" w:name="_Toc22401"/>
      <w:bookmarkStart w:id="337" w:name="_Toc32517"/>
      <w:bookmarkStart w:id="338" w:name="_Toc801"/>
      <w:bookmarkStart w:id="339" w:name="_Toc7944"/>
      <w:bookmarkStart w:id="340" w:name="_Toc17914"/>
      <w:r>
        <w:rPr>
          <w:rFonts w:hint="eastAsia" w:ascii="黑体" w:hAnsi="黑体" w:eastAsia="黑体" w:cs="宋体"/>
          <w:color w:val="auto"/>
          <w:kern w:val="30"/>
          <w:sz w:val="32"/>
          <w:szCs w:val="32"/>
          <w:highlight w:val="none"/>
          <w:lang w:val="en-US" w:eastAsia="zh-CN" w:bidi="ar"/>
        </w:rPr>
        <w:t>五</w:t>
      </w:r>
      <w:r>
        <w:rPr>
          <w:rFonts w:hint="eastAsia" w:ascii="黑体" w:hAnsi="黑体" w:eastAsia="黑体" w:cs="宋体"/>
          <w:color w:val="auto"/>
          <w:kern w:val="30"/>
          <w:sz w:val="32"/>
          <w:szCs w:val="32"/>
          <w:highlight w:val="none"/>
          <w:lang w:eastAsia="zh-Hans" w:bidi="ar"/>
        </w:rPr>
        <w:t>、存在的问题及原因分析</w:t>
      </w:r>
      <w:bookmarkEnd w:id="329"/>
      <w:bookmarkEnd w:id="330"/>
      <w:bookmarkEnd w:id="331"/>
      <w:bookmarkEnd w:id="332"/>
      <w:bookmarkEnd w:id="333"/>
      <w:bookmarkEnd w:id="334"/>
      <w:bookmarkEnd w:id="335"/>
      <w:bookmarkEnd w:id="336"/>
      <w:bookmarkEnd w:id="337"/>
    </w:p>
    <w:p w14:paraId="0BEB63D6">
      <w:pPr>
        <w:keepNext w:val="0"/>
        <w:keepLines w:val="0"/>
        <w:pageBreakBefore w:val="0"/>
        <w:widowControl w:val="0"/>
        <w:kinsoku/>
        <w:wordWrap/>
        <w:overflowPunct/>
        <w:topLinePunct w:val="0"/>
        <w:autoSpaceDE/>
        <w:autoSpaceDN/>
        <w:bidi w:val="0"/>
        <w:adjustRightInd/>
        <w:snapToGrid/>
        <w:spacing w:line="590" w:lineRule="exact"/>
        <w:ind w:left="0" w:firstLine="630" w:firstLineChars="200"/>
        <w:jc w:val="left"/>
        <w:textAlignment w:val="auto"/>
        <w:outlineLvl w:val="1"/>
        <w:rPr>
          <w:rFonts w:hint="eastAsia" w:ascii="楷体_GB2312" w:hAnsi="楷体_GB2312" w:eastAsia="楷体_GB2312" w:cs="楷体_GB2312"/>
          <w:color w:val="auto"/>
          <w:spacing w:val="0"/>
          <w:kern w:val="30"/>
          <w:sz w:val="30"/>
          <w:szCs w:val="30"/>
          <w:highlight w:val="none"/>
          <w:lang w:eastAsia="zh-CN" w:bidi="ar"/>
        </w:rPr>
      </w:pPr>
      <w:bookmarkStart w:id="341" w:name="_Toc22086"/>
      <w:bookmarkStart w:id="342" w:name="_Toc23194"/>
      <w:bookmarkStart w:id="343" w:name="_Toc30585"/>
      <w:bookmarkStart w:id="344" w:name="_Toc23777"/>
      <w:bookmarkStart w:id="345" w:name="_Toc24463"/>
      <w:bookmarkStart w:id="346" w:name="_Toc17451"/>
      <w:bookmarkStart w:id="347" w:name="_Toc14480"/>
      <w:bookmarkStart w:id="348" w:name="_Toc23431"/>
      <w:bookmarkStart w:id="349" w:name="_Toc15962"/>
      <w:r>
        <w:rPr>
          <w:rFonts w:hint="eastAsia" w:ascii="楷体_GB2312" w:hAnsi="楷体_GB2312" w:eastAsia="楷体_GB2312" w:cs="楷体_GB2312"/>
          <w:color w:val="auto"/>
          <w:spacing w:val="0"/>
          <w:kern w:val="30"/>
          <w:sz w:val="30"/>
          <w:szCs w:val="30"/>
          <w:highlight w:val="none"/>
          <w:lang w:eastAsia="zh-CN" w:bidi="ar"/>
        </w:rPr>
        <w:t>（一）资金管理类问题</w:t>
      </w:r>
      <w:bookmarkEnd w:id="341"/>
      <w:bookmarkEnd w:id="342"/>
      <w:bookmarkEnd w:id="343"/>
      <w:bookmarkEnd w:id="344"/>
      <w:bookmarkEnd w:id="345"/>
      <w:bookmarkEnd w:id="346"/>
      <w:bookmarkEnd w:id="347"/>
      <w:bookmarkEnd w:id="348"/>
      <w:bookmarkEnd w:id="349"/>
    </w:p>
    <w:p w14:paraId="18EBE241">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2"/>
        <w:rPr>
          <w:rFonts w:hint="eastAsia" w:ascii="仿宋_GB2312" w:hAnsi="仿宋_GB2312" w:eastAsia="仿宋_GB2312" w:cs="仿宋_GB2312"/>
          <w:b/>
          <w:bCs/>
          <w:color w:val="auto"/>
          <w:spacing w:val="6"/>
          <w:kern w:val="30"/>
          <w:sz w:val="30"/>
          <w:szCs w:val="30"/>
          <w:highlight w:val="none"/>
          <w:lang w:eastAsia="zh-CN" w:bidi="ar"/>
        </w:rPr>
      </w:pPr>
      <w:bookmarkStart w:id="350" w:name="_Toc29060"/>
      <w:r>
        <w:rPr>
          <w:rFonts w:hint="eastAsia" w:ascii="仿宋_GB2312" w:hAnsi="仿宋_GB2312" w:eastAsia="仿宋_GB2312" w:cs="仿宋_GB2312"/>
          <w:b/>
          <w:bCs/>
          <w:color w:val="auto"/>
          <w:spacing w:val="6"/>
          <w:kern w:val="30"/>
          <w:sz w:val="30"/>
          <w:szCs w:val="30"/>
          <w:highlight w:val="none"/>
          <w:lang w:val="en-US" w:eastAsia="zh-CN" w:bidi="ar"/>
        </w:rPr>
        <w:t>1.</w:t>
      </w:r>
      <w:bookmarkStart w:id="351" w:name="OLE_LINK2"/>
      <w:r>
        <w:rPr>
          <w:rFonts w:hint="eastAsia" w:ascii="仿宋_GB2312" w:hAnsi="仿宋_GB2312" w:eastAsia="仿宋_GB2312" w:cs="仿宋_GB2312"/>
          <w:b/>
          <w:bCs/>
          <w:color w:val="auto"/>
          <w:spacing w:val="6"/>
          <w:kern w:val="30"/>
          <w:sz w:val="30"/>
          <w:szCs w:val="30"/>
          <w:highlight w:val="none"/>
          <w:lang w:val="en-US" w:eastAsia="zh-CN" w:bidi="ar"/>
        </w:rPr>
        <w:t>自治区预拨资金未据实清算，资金使用管理存在漏洞</w:t>
      </w:r>
      <w:bookmarkEnd w:id="350"/>
      <w:bookmarkEnd w:id="351"/>
    </w:p>
    <w:p w14:paraId="1A9422C1">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9"/>
        <w:rPr>
          <w:rFonts w:hint="eastAsia" w:ascii="仿宋_GB2312" w:hAnsi="仿宋_GB2312" w:eastAsia="仿宋_GB2312" w:cs="仿宋_GB2312"/>
          <w:color w:val="auto"/>
          <w:spacing w:val="6"/>
          <w:kern w:val="30"/>
          <w:sz w:val="30"/>
          <w:szCs w:val="30"/>
          <w:highlight w:val="none"/>
          <w:lang w:eastAsia="zh-CN" w:bidi="ar"/>
        </w:rPr>
      </w:pPr>
      <w:r>
        <w:rPr>
          <w:rFonts w:hint="eastAsia" w:ascii="仿宋_GB2312" w:hAnsi="仿宋_GB2312" w:eastAsia="仿宋_GB2312" w:cs="仿宋_GB2312"/>
          <w:color w:val="auto"/>
          <w:spacing w:val="6"/>
          <w:kern w:val="30"/>
          <w:sz w:val="30"/>
          <w:szCs w:val="30"/>
          <w:highlight w:val="none"/>
          <w:lang w:eastAsia="zh-CN" w:bidi="ar"/>
        </w:rPr>
        <w:t>根据《资助办法》，运营补贴的发放应以养老机构年度实际服务量为依据。实践中，自治区资金按照申报时预测的年度服务量预拨至各地，再由各地拨付至养老机构。补贴年度结束后，县级民政部门应核实机构年度实际服务量，据此确定应补贴金额，对预拨资金进行多退少补的调整，结余资金应结转至下年度使用。</w:t>
      </w:r>
    </w:p>
    <w:p w14:paraId="6BD93985">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9"/>
        <w:rPr>
          <w:rFonts w:hint="eastAsia" w:ascii="仿宋_GB2312" w:hAnsi="仿宋_GB2312" w:eastAsia="仿宋_GB2312" w:cs="仿宋_GB2312"/>
          <w:color w:val="auto"/>
          <w:spacing w:val="6"/>
          <w:kern w:val="30"/>
          <w:sz w:val="30"/>
          <w:szCs w:val="30"/>
          <w:highlight w:val="none"/>
          <w:lang w:eastAsia="zh-CN" w:bidi="ar"/>
        </w:rPr>
      </w:pPr>
      <w:r>
        <w:rPr>
          <w:rFonts w:hint="eastAsia" w:ascii="仿宋_GB2312" w:hAnsi="仿宋_GB2312" w:eastAsia="仿宋_GB2312" w:cs="仿宋_GB2312"/>
          <w:color w:val="auto"/>
          <w:spacing w:val="6"/>
          <w:kern w:val="30"/>
          <w:sz w:val="30"/>
          <w:szCs w:val="30"/>
          <w:highlight w:val="none"/>
          <w:lang w:eastAsia="zh-CN" w:bidi="ar"/>
        </w:rPr>
        <w:t>但从实际执行情况来看，除哈密市</w:t>
      </w:r>
      <w:r>
        <w:rPr>
          <w:rFonts w:hint="eastAsia" w:ascii="仿宋_GB2312" w:hAnsi="仿宋_GB2312" w:eastAsia="仿宋_GB2312" w:cs="仿宋_GB2312"/>
          <w:color w:val="auto"/>
          <w:spacing w:val="6"/>
          <w:kern w:val="30"/>
          <w:sz w:val="30"/>
          <w:szCs w:val="30"/>
          <w:highlight w:val="none"/>
          <w:lang w:val="en-US" w:eastAsia="zh-CN" w:bidi="ar"/>
        </w:rPr>
        <w:t>民政部门开展据实清算工作</w:t>
      </w:r>
      <w:r>
        <w:rPr>
          <w:rStyle w:val="25"/>
          <w:rFonts w:hint="eastAsia" w:ascii="仿宋_GB2312" w:hAnsi="仿宋_GB2312" w:eastAsia="仿宋_GB2312" w:cs="仿宋_GB2312"/>
          <w:color w:val="auto"/>
          <w:spacing w:val="6"/>
          <w:kern w:val="30"/>
          <w:sz w:val="30"/>
          <w:szCs w:val="30"/>
          <w:highlight w:val="none"/>
          <w:lang w:val="en-US" w:eastAsia="zh-CN" w:bidi="ar"/>
        </w:rPr>
        <w:footnoteReference w:id="1"/>
      </w:r>
      <w:r>
        <w:rPr>
          <w:rFonts w:hint="eastAsia" w:ascii="仿宋_GB2312" w:hAnsi="仿宋_GB2312" w:eastAsia="仿宋_GB2312" w:cs="仿宋_GB2312"/>
          <w:color w:val="auto"/>
          <w:spacing w:val="6"/>
          <w:kern w:val="30"/>
          <w:sz w:val="30"/>
          <w:szCs w:val="30"/>
          <w:highlight w:val="none"/>
          <w:lang w:eastAsia="zh-CN" w:bidi="ar"/>
        </w:rPr>
        <w:t>外，乌鲁木齐市、昌吉州、喀什地区</w:t>
      </w:r>
      <w:r>
        <w:rPr>
          <w:rFonts w:hint="eastAsia" w:ascii="仿宋_GB2312" w:hAnsi="仿宋_GB2312" w:eastAsia="仿宋_GB2312" w:cs="仿宋_GB2312"/>
          <w:color w:val="auto"/>
          <w:spacing w:val="6"/>
          <w:kern w:val="30"/>
          <w:sz w:val="30"/>
          <w:szCs w:val="30"/>
          <w:highlight w:val="none"/>
          <w:lang w:val="en-US" w:eastAsia="zh-CN" w:bidi="ar"/>
        </w:rPr>
        <w:t>民政部门</w:t>
      </w:r>
      <w:r>
        <w:rPr>
          <w:rFonts w:hint="eastAsia" w:ascii="仿宋_GB2312" w:hAnsi="仿宋_GB2312" w:eastAsia="仿宋_GB2312" w:cs="仿宋_GB2312"/>
          <w:color w:val="auto"/>
          <w:spacing w:val="6"/>
          <w:kern w:val="30"/>
          <w:sz w:val="30"/>
          <w:szCs w:val="30"/>
          <w:highlight w:val="none"/>
          <w:lang w:eastAsia="zh-CN" w:bidi="ar"/>
        </w:rPr>
        <w:t>均未在补贴年度结束后开展服务量核实与资金调整工作。实践中普遍将预拨资金直接作最终支出处理，形成“支付即结算”的惯性。直接成因有二，一是政策层面</w:t>
      </w:r>
      <w:r>
        <w:rPr>
          <w:rFonts w:hint="eastAsia" w:ascii="仿宋_GB2312" w:hAnsi="仿宋_GB2312" w:eastAsia="仿宋_GB2312" w:cs="仿宋_GB2312"/>
          <w:color w:val="auto"/>
          <w:spacing w:val="6"/>
          <w:kern w:val="30"/>
          <w:sz w:val="30"/>
          <w:szCs w:val="30"/>
          <w:highlight w:val="none"/>
          <w:lang w:val="en-US" w:eastAsia="zh-CN" w:bidi="ar"/>
        </w:rPr>
        <w:t>无</w:t>
      </w:r>
      <w:r>
        <w:rPr>
          <w:rFonts w:hint="eastAsia" w:ascii="仿宋_GB2312" w:hAnsi="仿宋_GB2312" w:eastAsia="仿宋_GB2312" w:cs="仿宋_GB2312"/>
          <w:color w:val="auto"/>
          <w:spacing w:val="6"/>
          <w:kern w:val="30"/>
          <w:sz w:val="30"/>
          <w:szCs w:val="30"/>
          <w:highlight w:val="none"/>
          <w:lang w:eastAsia="zh-CN" w:bidi="ar"/>
        </w:rPr>
        <w:t>明确的清算要求，考核硬约束；二是部分</w:t>
      </w:r>
      <w:r>
        <w:rPr>
          <w:rFonts w:hint="eastAsia" w:ascii="仿宋_GB2312" w:hAnsi="仿宋_GB2312" w:eastAsia="仿宋_GB2312" w:cs="仿宋_GB2312"/>
          <w:color w:val="auto"/>
          <w:spacing w:val="6"/>
          <w:kern w:val="30"/>
          <w:sz w:val="30"/>
          <w:szCs w:val="30"/>
          <w:highlight w:val="none"/>
          <w:lang w:val="en-US" w:eastAsia="zh-CN" w:bidi="ar"/>
        </w:rPr>
        <w:t>地区</w:t>
      </w:r>
      <w:r>
        <w:rPr>
          <w:rFonts w:hint="eastAsia" w:ascii="仿宋_GB2312" w:hAnsi="仿宋_GB2312" w:eastAsia="仿宋_GB2312" w:cs="仿宋_GB2312"/>
          <w:color w:val="auto"/>
          <w:spacing w:val="6"/>
          <w:kern w:val="30"/>
          <w:sz w:val="30"/>
          <w:szCs w:val="30"/>
          <w:highlight w:val="none"/>
          <w:lang w:eastAsia="zh-CN" w:bidi="ar"/>
        </w:rPr>
        <w:t>清算工作量大，选择先行支付，在缺乏刚性制度约束的情况下，基层主动开展清算工作的动力明显不足，</w:t>
      </w:r>
      <w:r>
        <w:rPr>
          <w:rFonts w:hint="eastAsia" w:ascii="仿宋_GB2312" w:hAnsi="仿宋_GB2312" w:eastAsia="仿宋_GB2312" w:cs="仿宋_GB2312"/>
          <w:color w:val="auto"/>
          <w:spacing w:val="6"/>
          <w:kern w:val="30"/>
          <w:sz w:val="30"/>
          <w:szCs w:val="30"/>
          <w:highlight w:val="none"/>
          <w:lang w:val="en-US" w:eastAsia="zh-CN" w:bidi="ar"/>
        </w:rPr>
        <w:t>从而</w:t>
      </w:r>
      <w:r>
        <w:rPr>
          <w:rFonts w:hint="eastAsia" w:ascii="仿宋_GB2312" w:hAnsi="仿宋_GB2312" w:eastAsia="仿宋_GB2312" w:cs="仿宋_GB2312"/>
          <w:color w:val="auto"/>
          <w:spacing w:val="6"/>
          <w:kern w:val="30"/>
          <w:sz w:val="30"/>
          <w:szCs w:val="30"/>
          <w:highlight w:val="none"/>
          <w:lang w:eastAsia="zh-CN" w:bidi="ar"/>
        </w:rPr>
        <w:t>无限期搁置清算程序。</w:t>
      </w:r>
    </w:p>
    <w:p w14:paraId="6F936335">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9"/>
        <w:rPr>
          <w:rFonts w:hint="eastAsia" w:ascii="仿宋_GB2312" w:hAnsi="仿宋_GB2312" w:eastAsia="仿宋_GB2312" w:cs="仿宋_GB2312"/>
          <w:color w:val="auto"/>
          <w:spacing w:val="6"/>
          <w:kern w:val="30"/>
          <w:sz w:val="30"/>
          <w:szCs w:val="30"/>
          <w:highlight w:val="none"/>
          <w:lang w:eastAsia="zh-CN" w:bidi="ar"/>
        </w:rPr>
      </w:pPr>
      <w:r>
        <w:rPr>
          <w:rFonts w:hint="eastAsia" w:ascii="仿宋_GB2312" w:hAnsi="仿宋_GB2312" w:eastAsia="仿宋_GB2312" w:cs="仿宋_GB2312"/>
          <w:i w:val="0"/>
          <w:iCs w:val="0"/>
          <w:caps w:val="0"/>
          <w:color w:val="auto"/>
          <w:spacing w:val="6"/>
          <w:sz w:val="30"/>
          <w:szCs w:val="30"/>
          <w:highlight w:val="none"/>
          <w:shd w:val="clear"/>
          <w:lang w:bidi="ar"/>
        </w:rPr>
        <w:t>此外，2025年乌鲁木齐市将自治区补贴资金执行后剩余部分用于补足地方配套不足部分，昌吉州除2024年度外其余年度自治区补贴资金剩余部分均未结转使用。因地方财力紧张</w:t>
      </w:r>
      <w:r>
        <w:rPr>
          <w:rFonts w:hint="eastAsia" w:ascii="仿宋_GB2312" w:hAnsi="仿宋_GB2312" w:eastAsia="仿宋_GB2312" w:cs="仿宋_GB2312"/>
          <w:i w:val="0"/>
          <w:iCs w:val="0"/>
          <w:caps w:val="0"/>
          <w:color w:val="auto"/>
          <w:spacing w:val="6"/>
          <w:sz w:val="30"/>
          <w:szCs w:val="30"/>
          <w:highlight w:val="none"/>
          <w:shd w:val="clear"/>
          <w:lang w:eastAsia="zh-CN" w:bidi="ar"/>
        </w:rPr>
        <w:t>等</w:t>
      </w:r>
      <w:r>
        <w:rPr>
          <w:rFonts w:hint="eastAsia" w:ascii="仿宋_GB2312" w:hAnsi="仿宋_GB2312" w:eastAsia="仿宋_GB2312" w:cs="仿宋_GB2312"/>
          <w:i w:val="0"/>
          <w:iCs w:val="0"/>
          <w:caps w:val="0"/>
          <w:color w:val="auto"/>
          <w:spacing w:val="6"/>
          <w:sz w:val="30"/>
          <w:szCs w:val="30"/>
          <w:highlight w:val="none"/>
          <w:shd w:val="clear"/>
          <w:lang w:bidi="ar"/>
        </w:rPr>
        <w:t>因素，还出现自治区资金被统筹使用的情况：昌吉州呼图壁县2021年自治区补贴资金8.82万元到位后被统筹使用，至2025年方予补足并发放；截至评估时点，乌鲁木齐市沙依巴克区8家机构尚未完成2024年度自治区财政补助资金发放工作。</w:t>
      </w:r>
      <w:r>
        <w:rPr>
          <w:rFonts w:hint="eastAsia" w:ascii="仿宋_GB2312" w:hAnsi="仿宋_GB2312" w:eastAsia="仿宋_GB2312" w:cs="仿宋_GB2312"/>
          <w:color w:val="auto"/>
          <w:spacing w:val="6"/>
          <w:kern w:val="30"/>
          <w:sz w:val="30"/>
          <w:szCs w:val="30"/>
          <w:highlight w:val="none"/>
          <w:lang w:eastAsia="zh-CN" w:bidi="ar"/>
        </w:rPr>
        <w:t>上述操作均不符合上级专项转移支付资金使用规范。</w:t>
      </w:r>
    </w:p>
    <w:p w14:paraId="7CCEFD75">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2"/>
        <w:rPr>
          <w:rFonts w:hint="eastAsia" w:ascii="仿宋_GB2312" w:hAnsi="仿宋_GB2312" w:eastAsia="仿宋_GB2312" w:cs="仿宋_GB2312"/>
          <w:b/>
          <w:bCs/>
          <w:color w:val="auto"/>
          <w:spacing w:val="6"/>
          <w:kern w:val="30"/>
          <w:sz w:val="30"/>
          <w:szCs w:val="30"/>
          <w:highlight w:val="none"/>
          <w:lang w:val="en-US" w:eastAsia="zh-CN" w:bidi="ar"/>
        </w:rPr>
      </w:pPr>
      <w:bookmarkStart w:id="352" w:name="_Toc27687"/>
      <w:r>
        <w:rPr>
          <w:rFonts w:hint="eastAsia" w:ascii="仿宋_GB2312" w:hAnsi="仿宋_GB2312" w:eastAsia="仿宋_GB2312" w:cs="仿宋_GB2312"/>
          <w:b/>
          <w:bCs/>
          <w:color w:val="auto"/>
          <w:spacing w:val="6"/>
          <w:kern w:val="30"/>
          <w:sz w:val="30"/>
          <w:szCs w:val="30"/>
          <w:highlight w:val="none"/>
          <w:lang w:val="en-US" w:eastAsia="zh-CN" w:bidi="ar"/>
        </w:rPr>
        <w:t>2.</w:t>
      </w:r>
      <w:r>
        <w:rPr>
          <w:rFonts w:hint="eastAsia" w:ascii="仿宋_GB2312" w:hAnsi="仿宋_GB2312" w:eastAsia="仿宋_GB2312" w:cs="仿宋_GB2312"/>
          <w:b/>
          <w:bCs/>
          <w:color w:val="auto"/>
          <w:spacing w:val="6"/>
          <w:kern w:val="30"/>
          <w:sz w:val="30"/>
          <w:szCs w:val="30"/>
          <w:highlight w:val="none"/>
          <w:lang w:eastAsia="zh-CN" w:bidi="ar"/>
        </w:rPr>
        <w:t>配套资金落实不到位，地方支出责任缺位</w:t>
      </w:r>
      <w:bookmarkEnd w:id="352"/>
    </w:p>
    <w:p w14:paraId="272BA412">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9"/>
        <w:rPr>
          <w:rFonts w:hint="eastAsia" w:ascii="仿宋_GB2312" w:hAnsi="仿宋_GB2312" w:eastAsia="仿宋_GB2312" w:cs="仿宋_GB2312"/>
          <w:color w:val="auto"/>
          <w:spacing w:val="6"/>
          <w:kern w:val="30"/>
          <w:sz w:val="30"/>
          <w:szCs w:val="30"/>
          <w:highlight w:val="none"/>
          <w:lang w:val="en-US" w:eastAsia="zh-CN" w:bidi="ar"/>
        </w:rPr>
      </w:pPr>
      <w:r>
        <w:rPr>
          <w:rFonts w:hint="eastAsia" w:ascii="仿宋_GB2312" w:hAnsi="仿宋_GB2312" w:eastAsia="仿宋_GB2312" w:cs="仿宋_GB2312"/>
          <w:color w:val="auto"/>
          <w:spacing w:val="6"/>
          <w:kern w:val="30"/>
          <w:sz w:val="30"/>
          <w:szCs w:val="30"/>
          <w:highlight w:val="none"/>
          <w:lang w:eastAsia="zh-CN" w:bidi="ar"/>
        </w:rPr>
        <w:t>依据《资助办法》第四条，运营补贴“由自治区财政和当地财政部门各承担50%”，明确了地方配套资金的支出责任。但在实际执行中，受地方财政收支压力等客观因素影响，</w:t>
      </w:r>
      <w:r>
        <w:rPr>
          <w:rFonts w:hint="eastAsia" w:ascii="仿宋_GB2312" w:hAnsi="仿宋_GB2312" w:eastAsia="仿宋_GB2312" w:cs="仿宋_GB2312"/>
          <w:color w:val="auto"/>
          <w:spacing w:val="6"/>
          <w:kern w:val="30"/>
          <w:sz w:val="30"/>
          <w:szCs w:val="30"/>
          <w:highlight w:val="none"/>
          <w:lang w:val="en-US" w:eastAsia="zh-CN" w:bidi="ar"/>
        </w:rPr>
        <w:t>实地评估抽样点均存在</w:t>
      </w:r>
      <w:r>
        <w:rPr>
          <w:rFonts w:hint="eastAsia" w:ascii="仿宋_GB2312" w:hAnsi="仿宋_GB2312" w:eastAsia="仿宋_GB2312" w:cs="仿宋_GB2312"/>
          <w:color w:val="auto"/>
          <w:spacing w:val="6"/>
          <w:kern w:val="30"/>
          <w:sz w:val="30"/>
          <w:szCs w:val="30"/>
          <w:highlight w:val="none"/>
          <w:lang w:eastAsia="zh-CN" w:bidi="ar"/>
        </w:rPr>
        <w:t>未能在补贴年度内及时足额安排配套资金</w:t>
      </w:r>
      <w:r>
        <w:rPr>
          <w:rFonts w:hint="eastAsia" w:ascii="仿宋_GB2312" w:hAnsi="仿宋_GB2312" w:eastAsia="仿宋_GB2312" w:cs="仿宋_GB2312"/>
          <w:color w:val="auto"/>
          <w:spacing w:val="6"/>
          <w:kern w:val="30"/>
          <w:sz w:val="30"/>
          <w:szCs w:val="30"/>
          <w:highlight w:val="none"/>
          <w:lang w:val="en-US" w:eastAsia="zh-CN" w:bidi="ar"/>
        </w:rPr>
        <w:t>的情况</w:t>
      </w:r>
      <w:r>
        <w:rPr>
          <w:rFonts w:hint="eastAsia" w:ascii="仿宋_GB2312" w:hAnsi="仿宋_GB2312" w:eastAsia="仿宋_GB2312" w:cs="仿宋_GB2312"/>
          <w:color w:val="auto"/>
          <w:spacing w:val="6"/>
          <w:kern w:val="30"/>
          <w:sz w:val="30"/>
          <w:szCs w:val="30"/>
          <w:highlight w:val="none"/>
          <w:lang w:eastAsia="zh-CN" w:bidi="ar"/>
        </w:rPr>
        <w:t>。截至评估时点，部分地区</w:t>
      </w:r>
      <w:r>
        <w:rPr>
          <w:rFonts w:hint="eastAsia" w:ascii="仿宋_GB2312" w:hAnsi="仿宋_GB2312" w:eastAsia="仿宋_GB2312" w:cs="仿宋_GB2312"/>
          <w:color w:val="auto"/>
          <w:spacing w:val="6"/>
          <w:kern w:val="30"/>
          <w:sz w:val="30"/>
          <w:szCs w:val="30"/>
          <w:highlight w:val="none"/>
          <w:lang w:val="en-US" w:eastAsia="zh-CN" w:bidi="ar"/>
        </w:rPr>
        <w:t>地方</w:t>
      </w:r>
      <w:r>
        <w:rPr>
          <w:rFonts w:hint="eastAsia" w:ascii="仿宋_GB2312" w:hAnsi="仿宋_GB2312" w:eastAsia="仿宋_GB2312" w:cs="仿宋_GB2312"/>
          <w:color w:val="auto"/>
          <w:spacing w:val="6"/>
          <w:kern w:val="30"/>
          <w:sz w:val="30"/>
          <w:szCs w:val="30"/>
          <w:highlight w:val="none"/>
          <w:lang w:eastAsia="zh-CN" w:bidi="ar"/>
        </w:rPr>
        <w:t>配套资金仍存在长期未到位的情况。</w:t>
      </w:r>
      <w:r>
        <w:rPr>
          <w:rFonts w:hint="eastAsia" w:ascii="仿宋_GB2312" w:hAnsi="仿宋_GB2312" w:eastAsia="仿宋_GB2312" w:cs="仿宋_GB2312"/>
          <w:color w:val="auto"/>
          <w:spacing w:val="6"/>
          <w:kern w:val="30"/>
          <w:sz w:val="30"/>
          <w:szCs w:val="30"/>
          <w:highlight w:val="none"/>
          <w:lang w:val="en-US" w:eastAsia="zh-CN" w:bidi="ar"/>
        </w:rPr>
        <w:t>具体如下表所示。</w:t>
      </w:r>
    </w:p>
    <w:p w14:paraId="7A152488">
      <w:pPr>
        <w:keepNext w:val="0"/>
        <w:keepLines w:val="0"/>
        <w:pageBreakBefore w:val="0"/>
        <w:widowControl/>
        <w:numPr>
          <w:ilvl w:val="-1"/>
          <w:numId w:val="0"/>
        </w:numPr>
        <w:kinsoku/>
        <w:wordWrap/>
        <w:overflowPunct/>
        <w:topLinePunct w:val="0"/>
        <w:autoSpaceDE/>
        <w:autoSpaceDN/>
        <w:bidi w:val="0"/>
        <w:adjustRightInd w:val="0"/>
        <w:snapToGrid w:val="0"/>
        <w:spacing w:line="240" w:lineRule="auto"/>
        <w:ind w:left="0" w:firstLine="0" w:firstLineChars="0"/>
        <w:jc w:val="center"/>
        <w:textAlignment w:val="auto"/>
        <w:outlineLvl w:val="9"/>
        <w:rPr>
          <w:rFonts w:hint="eastAsia" w:ascii="黑体" w:hAnsi="黑体" w:eastAsia="黑体" w:cs="黑体"/>
          <w:color w:val="auto"/>
          <w:spacing w:val="6"/>
          <w:kern w:val="30"/>
          <w:sz w:val="24"/>
          <w:szCs w:val="21"/>
          <w:highlight w:val="none"/>
          <w:lang w:val="en-US" w:eastAsia="zh-CN" w:bidi="ar"/>
        </w:rPr>
      </w:pPr>
      <w:r>
        <w:rPr>
          <w:rFonts w:hint="eastAsia" w:ascii="黑体" w:hAnsi="黑体" w:eastAsia="黑体" w:cs="黑体"/>
          <w:color w:val="auto"/>
          <w:spacing w:val="6"/>
          <w:kern w:val="30"/>
          <w:sz w:val="24"/>
          <w:szCs w:val="21"/>
          <w:highlight w:val="none"/>
          <w:lang w:val="en-US" w:eastAsia="zh-CN" w:bidi="ar"/>
        </w:rPr>
        <w:t>地方配套资金长期未到位情况统计表</w:t>
      </w:r>
    </w:p>
    <w:tbl>
      <w:tblPr>
        <w:tblStyle w:val="18"/>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0"/>
        <w:gridCol w:w="2515"/>
        <w:gridCol w:w="5673"/>
      </w:tblGrid>
      <w:tr w14:paraId="2816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tblHeader/>
        </w:trPr>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B85F3">
            <w:pPr>
              <w:keepNext w:val="0"/>
              <w:keepLines w:val="0"/>
              <w:widowControl w:val="0"/>
              <w:suppressLineNumbers w:val="0"/>
              <w:adjustRightInd w:val="0"/>
              <w:snapToGrid w:val="0"/>
              <w:jc w:val="center"/>
              <w:textAlignment w:val="center"/>
              <w:rPr>
                <w:rFonts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序号</w:t>
            </w:r>
          </w:p>
        </w:tc>
        <w:tc>
          <w:tcPr>
            <w:tcW w:w="1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4C6DB4">
            <w:pPr>
              <w:keepNext w:val="0"/>
              <w:keepLines w:val="0"/>
              <w:widowControl w:val="0"/>
              <w:suppressLineNumbers w:val="0"/>
              <w:adjustRightInd w:val="0"/>
              <w:snapToGrid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地区</w:t>
            </w:r>
          </w:p>
        </w:tc>
        <w:tc>
          <w:tcPr>
            <w:tcW w:w="31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E04816">
            <w:pPr>
              <w:keepNext w:val="0"/>
              <w:keepLines w:val="0"/>
              <w:widowControl w:val="0"/>
              <w:suppressLineNumbers w:val="0"/>
              <w:adjustRightInd w:val="0"/>
              <w:snapToGrid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截至评估时点未到位情况</w:t>
            </w:r>
          </w:p>
        </w:tc>
      </w:tr>
      <w:tr w14:paraId="21A39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90034">
            <w:pPr>
              <w:keepNext w:val="0"/>
              <w:keepLines w:val="0"/>
              <w:widowControl w:val="0"/>
              <w:suppressLineNumbers w:val="0"/>
              <w:adjustRightInd w:val="0"/>
              <w:snapToGrid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w:t>
            </w:r>
          </w:p>
        </w:tc>
        <w:tc>
          <w:tcPr>
            <w:tcW w:w="1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36BF135">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乌鲁木齐市沙依巴克区</w:t>
            </w:r>
          </w:p>
        </w:tc>
        <w:tc>
          <w:tcPr>
            <w:tcW w:w="31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5A03FC">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2023年（对应</w:t>
            </w:r>
            <w:r>
              <w:rPr>
                <w:rFonts w:hint="eastAsia" w:hAnsi="仿宋" w:cs="仿宋"/>
                <w:i w:val="0"/>
                <w:iCs w:val="0"/>
                <w:color w:val="auto"/>
                <w:kern w:val="0"/>
                <w:sz w:val="21"/>
                <w:szCs w:val="21"/>
                <w:highlight w:val="none"/>
                <w:u w:val="none"/>
                <w:lang w:val="en-US" w:eastAsia="zh-CN" w:bidi="ar"/>
              </w:rPr>
              <w:t>补贴年度为</w:t>
            </w:r>
            <w:r>
              <w:rPr>
                <w:rFonts w:hint="eastAsia" w:ascii="仿宋" w:hAnsi="仿宋" w:eastAsia="仿宋" w:cs="仿宋"/>
                <w:i w:val="0"/>
                <w:iCs w:val="0"/>
                <w:color w:val="auto"/>
                <w:kern w:val="0"/>
                <w:sz w:val="21"/>
                <w:szCs w:val="21"/>
                <w:highlight w:val="none"/>
                <w:u w:val="none"/>
                <w:lang w:val="en-US" w:eastAsia="zh-CN" w:bidi="ar"/>
              </w:rPr>
              <w:t>2022）12家机构、2024年度（对应</w:t>
            </w:r>
            <w:r>
              <w:rPr>
                <w:rFonts w:hint="eastAsia" w:hAnsi="仿宋" w:cs="仿宋"/>
                <w:i w:val="0"/>
                <w:iCs w:val="0"/>
                <w:color w:val="auto"/>
                <w:kern w:val="0"/>
                <w:sz w:val="21"/>
                <w:szCs w:val="21"/>
                <w:highlight w:val="none"/>
                <w:u w:val="none"/>
                <w:lang w:val="en-US" w:eastAsia="zh-CN" w:bidi="ar"/>
              </w:rPr>
              <w:t>补贴年度为</w:t>
            </w:r>
            <w:r>
              <w:rPr>
                <w:rFonts w:hint="eastAsia" w:ascii="仿宋" w:hAnsi="仿宋" w:eastAsia="仿宋" w:cs="仿宋"/>
                <w:i w:val="0"/>
                <w:iCs w:val="0"/>
                <w:color w:val="auto"/>
                <w:kern w:val="0"/>
                <w:sz w:val="21"/>
                <w:szCs w:val="21"/>
                <w:highlight w:val="none"/>
                <w:u w:val="none"/>
                <w:lang w:val="en-US" w:eastAsia="zh-CN" w:bidi="ar"/>
              </w:rPr>
              <w:t>202</w:t>
            </w:r>
            <w:r>
              <w:rPr>
                <w:rFonts w:hint="eastAsia" w:hAnsi="仿宋" w:cs="仿宋"/>
                <w:i w:val="0"/>
                <w:iCs w:val="0"/>
                <w:color w:val="auto"/>
                <w:kern w:val="0"/>
                <w:sz w:val="21"/>
                <w:szCs w:val="21"/>
                <w:highlight w:val="none"/>
                <w:u w:val="none"/>
                <w:lang w:val="en-US" w:eastAsia="zh-CN" w:bidi="ar"/>
              </w:rPr>
              <w:t>3</w:t>
            </w:r>
            <w:r>
              <w:rPr>
                <w:rFonts w:hint="eastAsia" w:ascii="仿宋" w:hAnsi="仿宋" w:eastAsia="仿宋" w:cs="仿宋"/>
                <w:i w:val="0"/>
                <w:iCs w:val="0"/>
                <w:color w:val="auto"/>
                <w:kern w:val="0"/>
                <w:sz w:val="21"/>
                <w:szCs w:val="21"/>
                <w:highlight w:val="none"/>
                <w:u w:val="none"/>
                <w:lang w:val="en-US" w:eastAsia="zh-CN" w:bidi="ar"/>
              </w:rPr>
              <w:t>）5家机构、2025年度（对应</w:t>
            </w:r>
            <w:r>
              <w:rPr>
                <w:rFonts w:hint="eastAsia" w:hAnsi="仿宋" w:cs="仿宋"/>
                <w:i w:val="0"/>
                <w:iCs w:val="0"/>
                <w:color w:val="auto"/>
                <w:kern w:val="0"/>
                <w:sz w:val="21"/>
                <w:szCs w:val="21"/>
                <w:highlight w:val="none"/>
                <w:u w:val="none"/>
                <w:lang w:val="en-US" w:eastAsia="zh-CN" w:bidi="ar"/>
              </w:rPr>
              <w:t>补贴年度为</w:t>
            </w:r>
            <w:r>
              <w:rPr>
                <w:rFonts w:hint="eastAsia" w:ascii="仿宋" w:hAnsi="仿宋" w:eastAsia="仿宋" w:cs="仿宋"/>
                <w:i w:val="0"/>
                <w:iCs w:val="0"/>
                <w:color w:val="auto"/>
                <w:kern w:val="0"/>
                <w:sz w:val="21"/>
                <w:szCs w:val="21"/>
                <w:highlight w:val="none"/>
                <w:u w:val="none"/>
                <w:lang w:val="en-US" w:eastAsia="zh-CN" w:bidi="ar"/>
              </w:rPr>
              <w:t>202</w:t>
            </w:r>
            <w:r>
              <w:rPr>
                <w:rFonts w:hint="eastAsia" w:hAnsi="仿宋" w:cs="仿宋"/>
                <w:i w:val="0"/>
                <w:iCs w:val="0"/>
                <w:color w:val="auto"/>
                <w:kern w:val="0"/>
                <w:sz w:val="21"/>
                <w:szCs w:val="21"/>
                <w:highlight w:val="none"/>
                <w:u w:val="none"/>
                <w:lang w:val="en-US" w:eastAsia="zh-CN" w:bidi="ar"/>
              </w:rPr>
              <w:t>4</w:t>
            </w:r>
            <w:r>
              <w:rPr>
                <w:rFonts w:hint="eastAsia" w:ascii="仿宋" w:hAnsi="仿宋" w:eastAsia="仿宋" w:cs="仿宋"/>
                <w:i w:val="0"/>
                <w:iCs w:val="0"/>
                <w:color w:val="auto"/>
                <w:kern w:val="0"/>
                <w:sz w:val="21"/>
                <w:szCs w:val="21"/>
                <w:highlight w:val="none"/>
                <w:u w:val="none"/>
                <w:lang w:val="en-US" w:eastAsia="zh-CN" w:bidi="ar"/>
              </w:rPr>
              <w:t>）8家机构的</w:t>
            </w:r>
            <w:r>
              <w:rPr>
                <w:rFonts w:hint="eastAsia" w:hAnsi="仿宋" w:cs="仿宋"/>
                <w:i w:val="0"/>
                <w:iCs w:val="0"/>
                <w:color w:val="auto"/>
                <w:kern w:val="0"/>
                <w:sz w:val="21"/>
                <w:szCs w:val="21"/>
                <w:highlight w:val="none"/>
                <w:u w:val="none"/>
                <w:lang w:val="en-US" w:eastAsia="zh-CN" w:bidi="ar"/>
              </w:rPr>
              <w:t>地方</w:t>
            </w:r>
            <w:r>
              <w:rPr>
                <w:rFonts w:hint="eastAsia" w:ascii="仿宋" w:hAnsi="仿宋" w:eastAsia="仿宋" w:cs="仿宋"/>
                <w:i w:val="0"/>
                <w:iCs w:val="0"/>
                <w:color w:val="auto"/>
                <w:kern w:val="0"/>
                <w:sz w:val="21"/>
                <w:szCs w:val="21"/>
                <w:highlight w:val="none"/>
                <w:u w:val="none"/>
                <w:lang w:val="en-US" w:eastAsia="zh-CN" w:bidi="ar"/>
              </w:rPr>
              <w:t>配套资金未落实</w:t>
            </w:r>
          </w:p>
        </w:tc>
      </w:tr>
      <w:tr w14:paraId="2556F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19068">
            <w:pPr>
              <w:keepNext w:val="0"/>
              <w:keepLines w:val="0"/>
              <w:widowControl w:val="0"/>
              <w:suppressLineNumbers w:val="0"/>
              <w:adjustRightInd w:val="0"/>
              <w:snapToGrid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w:t>
            </w:r>
          </w:p>
        </w:tc>
        <w:tc>
          <w:tcPr>
            <w:tcW w:w="1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EBFFBD">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昌吉州呼图壁县、奇台县、玛纳斯县</w:t>
            </w:r>
          </w:p>
        </w:tc>
        <w:tc>
          <w:tcPr>
            <w:tcW w:w="31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0CA738">
            <w:pPr>
              <w:keepNext w:val="0"/>
              <w:keepLines w:val="0"/>
              <w:widowControl w:val="0"/>
              <w:suppressLineNumbers w:val="0"/>
              <w:adjustRightInd w:val="0"/>
              <w:snapToGrid w:val="0"/>
              <w:jc w:val="left"/>
              <w:textAlignment w:val="center"/>
              <w:rPr>
                <w:rFonts w:hint="default" w:ascii="仿宋" w:hAnsi="仿宋" w:eastAsia="仿宋" w:cs="仿宋"/>
                <w:i w:val="0"/>
                <w:iCs w:val="0"/>
                <w:color w:val="auto"/>
                <w:sz w:val="21"/>
                <w:szCs w:val="21"/>
                <w:highlight w:val="none"/>
                <w:u w:val="none"/>
              </w:rPr>
            </w:pPr>
            <w:r>
              <w:rPr>
                <w:rFonts w:hint="eastAsia" w:hAnsi="仿宋" w:cs="仿宋"/>
                <w:i w:val="0"/>
                <w:iCs w:val="0"/>
                <w:color w:val="auto"/>
                <w:kern w:val="0"/>
                <w:sz w:val="21"/>
                <w:szCs w:val="21"/>
                <w:highlight w:val="none"/>
                <w:u w:val="none"/>
                <w:lang w:val="en-US" w:eastAsia="zh-CN" w:bidi="ar"/>
              </w:rPr>
              <w:t>评估</w:t>
            </w:r>
            <w:r>
              <w:rPr>
                <w:rFonts w:hint="eastAsia" w:ascii="仿宋" w:hAnsi="仿宋" w:eastAsia="仿宋" w:cs="仿宋"/>
                <w:i w:val="0"/>
                <w:iCs w:val="0"/>
                <w:color w:val="auto"/>
                <w:kern w:val="0"/>
                <w:sz w:val="21"/>
                <w:szCs w:val="21"/>
                <w:highlight w:val="none"/>
                <w:u w:val="none"/>
                <w:lang w:val="en-US" w:eastAsia="zh-CN" w:bidi="ar"/>
              </w:rPr>
              <w:t>周期内地方配套资金</w:t>
            </w:r>
            <w:r>
              <w:rPr>
                <w:rFonts w:hint="eastAsia" w:hAnsi="仿宋" w:cs="仿宋"/>
                <w:i w:val="0"/>
                <w:iCs w:val="0"/>
                <w:color w:val="auto"/>
                <w:kern w:val="0"/>
                <w:sz w:val="21"/>
                <w:szCs w:val="21"/>
                <w:highlight w:val="none"/>
                <w:u w:val="none"/>
                <w:lang w:val="en-US" w:eastAsia="zh-CN" w:bidi="ar"/>
              </w:rPr>
              <w:t>均</w:t>
            </w:r>
            <w:r>
              <w:rPr>
                <w:rFonts w:hint="eastAsia" w:ascii="仿宋" w:hAnsi="仿宋" w:eastAsia="仿宋" w:cs="仿宋"/>
                <w:i w:val="0"/>
                <w:iCs w:val="0"/>
                <w:color w:val="auto"/>
                <w:kern w:val="0"/>
                <w:sz w:val="21"/>
                <w:szCs w:val="21"/>
                <w:highlight w:val="none"/>
                <w:u w:val="none"/>
                <w:lang w:val="en-US" w:eastAsia="zh-CN" w:bidi="ar"/>
              </w:rPr>
              <w:t>未</w:t>
            </w:r>
            <w:r>
              <w:rPr>
                <w:rFonts w:hint="eastAsia" w:hAnsi="仿宋" w:cs="仿宋"/>
                <w:i w:val="0"/>
                <w:iCs w:val="0"/>
                <w:color w:val="auto"/>
                <w:kern w:val="0"/>
                <w:sz w:val="21"/>
                <w:szCs w:val="21"/>
                <w:highlight w:val="none"/>
                <w:u w:val="none"/>
                <w:lang w:val="en-US" w:eastAsia="zh-CN" w:bidi="ar"/>
              </w:rPr>
              <w:t>落实</w:t>
            </w:r>
          </w:p>
        </w:tc>
      </w:tr>
      <w:tr w14:paraId="5CA703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12BF0">
            <w:pPr>
              <w:keepNext w:val="0"/>
              <w:keepLines w:val="0"/>
              <w:widowControl w:val="0"/>
              <w:suppressLineNumbers w:val="0"/>
              <w:adjustRightInd w:val="0"/>
              <w:snapToGrid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3</w:t>
            </w:r>
          </w:p>
        </w:tc>
        <w:tc>
          <w:tcPr>
            <w:tcW w:w="1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F5630A8">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1"/>
                <w:szCs w:val="21"/>
                <w:highlight w:val="none"/>
                <w:u w:val="none"/>
              </w:rPr>
            </w:pPr>
            <w:r>
              <w:rPr>
                <w:rFonts w:hint="eastAsia" w:hAnsi="仿宋" w:cs="仿宋"/>
                <w:i w:val="0"/>
                <w:iCs w:val="0"/>
                <w:color w:val="auto"/>
                <w:kern w:val="0"/>
                <w:sz w:val="21"/>
                <w:szCs w:val="21"/>
                <w:highlight w:val="none"/>
                <w:u w:val="none"/>
                <w:lang w:val="en-US" w:eastAsia="zh-CN" w:bidi="ar"/>
              </w:rPr>
              <w:t>喀什地区</w:t>
            </w:r>
            <w:r>
              <w:rPr>
                <w:rFonts w:hint="eastAsia" w:ascii="仿宋" w:hAnsi="仿宋" w:eastAsia="仿宋" w:cs="仿宋"/>
                <w:i w:val="0"/>
                <w:iCs w:val="0"/>
                <w:color w:val="auto"/>
                <w:kern w:val="0"/>
                <w:sz w:val="21"/>
                <w:szCs w:val="21"/>
                <w:highlight w:val="none"/>
                <w:u w:val="none"/>
                <w:lang w:val="en-US" w:eastAsia="zh-CN" w:bidi="ar"/>
              </w:rPr>
              <w:t>喀什市</w:t>
            </w:r>
          </w:p>
        </w:tc>
        <w:tc>
          <w:tcPr>
            <w:tcW w:w="31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D7127D">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1"/>
                <w:szCs w:val="21"/>
                <w:highlight w:val="none"/>
                <w:u w:val="none"/>
              </w:rPr>
            </w:pPr>
            <w:r>
              <w:rPr>
                <w:rFonts w:hint="eastAsia" w:hAnsi="仿宋" w:cs="仿宋"/>
                <w:i w:val="0"/>
                <w:iCs w:val="0"/>
                <w:color w:val="auto"/>
                <w:kern w:val="0"/>
                <w:sz w:val="21"/>
                <w:szCs w:val="21"/>
                <w:highlight w:val="none"/>
                <w:u w:val="none"/>
                <w:lang w:val="en-US" w:eastAsia="zh-CN" w:bidi="ar"/>
              </w:rPr>
              <w:t>评估</w:t>
            </w:r>
            <w:r>
              <w:rPr>
                <w:rFonts w:hint="eastAsia" w:ascii="仿宋" w:hAnsi="仿宋" w:eastAsia="仿宋" w:cs="仿宋"/>
                <w:i w:val="0"/>
                <w:iCs w:val="0"/>
                <w:color w:val="auto"/>
                <w:kern w:val="0"/>
                <w:sz w:val="21"/>
                <w:szCs w:val="21"/>
                <w:highlight w:val="none"/>
                <w:u w:val="none"/>
                <w:lang w:val="en-US" w:eastAsia="zh-CN" w:bidi="ar"/>
              </w:rPr>
              <w:t>周期内地方配套资金</w:t>
            </w:r>
            <w:r>
              <w:rPr>
                <w:rFonts w:hint="eastAsia" w:hAnsi="仿宋" w:cs="仿宋"/>
                <w:i w:val="0"/>
                <w:iCs w:val="0"/>
                <w:color w:val="auto"/>
                <w:kern w:val="0"/>
                <w:sz w:val="21"/>
                <w:szCs w:val="21"/>
                <w:highlight w:val="none"/>
                <w:u w:val="none"/>
                <w:lang w:val="en-US" w:eastAsia="zh-CN" w:bidi="ar"/>
              </w:rPr>
              <w:t>均</w:t>
            </w:r>
            <w:r>
              <w:rPr>
                <w:rFonts w:hint="eastAsia" w:ascii="仿宋" w:hAnsi="仿宋" w:eastAsia="仿宋" w:cs="仿宋"/>
                <w:i w:val="0"/>
                <w:iCs w:val="0"/>
                <w:color w:val="auto"/>
                <w:kern w:val="0"/>
                <w:sz w:val="21"/>
                <w:szCs w:val="21"/>
                <w:highlight w:val="none"/>
                <w:u w:val="none"/>
                <w:lang w:val="en-US" w:eastAsia="zh-CN" w:bidi="ar"/>
              </w:rPr>
              <w:t>未</w:t>
            </w:r>
            <w:r>
              <w:rPr>
                <w:rFonts w:hint="eastAsia" w:hAnsi="仿宋" w:cs="仿宋"/>
                <w:i w:val="0"/>
                <w:iCs w:val="0"/>
                <w:color w:val="auto"/>
                <w:kern w:val="0"/>
                <w:sz w:val="21"/>
                <w:szCs w:val="21"/>
                <w:highlight w:val="none"/>
                <w:u w:val="none"/>
                <w:lang w:val="en-US" w:eastAsia="zh-CN" w:bidi="ar"/>
              </w:rPr>
              <w:t>落实</w:t>
            </w:r>
          </w:p>
        </w:tc>
      </w:tr>
      <w:tr w14:paraId="2485F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3C527">
            <w:pPr>
              <w:keepNext w:val="0"/>
              <w:keepLines w:val="0"/>
              <w:widowControl w:val="0"/>
              <w:suppressLineNumbers w:val="0"/>
              <w:adjustRightInd w:val="0"/>
              <w:snapToGrid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4</w:t>
            </w:r>
          </w:p>
        </w:tc>
        <w:tc>
          <w:tcPr>
            <w:tcW w:w="138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AF4331">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哈密市本级</w:t>
            </w:r>
          </w:p>
        </w:tc>
        <w:tc>
          <w:tcPr>
            <w:tcW w:w="3131"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A01452">
            <w:pPr>
              <w:keepNext w:val="0"/>
              <w:keepLines w:val="0"/>
              <w:widowControl w:val="0"/>
              <w:suppressLineNumbers w:val="0"/>
              <w:adjustRightInd w:val="0"/>
              <w:snapToGrid w:val="0"/>
              <w:jc w:val="left"/>
              <w:textAlignment w:val="center"/>
              <w:rPr>
                <w:rFonts w:hint="default"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2021年度（对应</w:t>
            </w:r>
            <w:r>
              <w:rPr>
                <w:rFonts w:hint="eastAsia" w:hAnsi="仿宋" w:cs="仿宋"/>
                <w:i w:val="0"/>
                <w:iCs w:val="0"/>
                <w:color w:val="auto"/>
                <w:kern w:val="0"/>
                <w:sz w:val="21"/>
                <w:szCs w:val="21"/>
                <w:highlight w:val="none"/>
                <w:u w:val="none"/>
                <w:lang w:val="en-US" w:eastAsia="zh-CN" w:bidi="ar"/>
              </w:rPr>
              <w:t>补贴年度为</w:t>
            </w:r>
            <w:r>
              <w:rPr>
                <w:rFonts w:hint="eastAsia" w:ascii="仿宋" w:hAnsi="仿宋" w:eastAsia="仿宋" w:cs="仿宋"/>
                <w:i w:val="0"/>
                <w:iCs w:val="0"/>
                <w:color w:val="auto"/>
                <w:kern w:val="0"/>
                <w:sz w:val="21"/>
                <w:szCs w:val="21"/>
                <w:highlight w:val="none"/>
                <w:u w:val="none"/>
                <w:lang w:val="en-US" w:eastAsia="zh-CN" w:bidi="ar"/>
              </w:rPr>
              <w:t>202</w:t>
            </w:r>
            <w:r>
              <w:rPr>
                <w:rFonts w:hint="eastAsia" w:hAnsi="仿宋" w:cs="仿宋"/>
                <w:i w:val="0"/>
                <w:iCs w:val="0"/>
                <w:color w:val="auto"/>
                <w:kern w:val="0"/>
                <w:sz w:val="21"/>
                <w:szCs w:val="21"/>
                <w:highlight w:val="none"/>
                <w:u w:val="none"/>
                <w:lang w:val="en-US" w:eastAsia="zh-CN" w:bidi="ar"/>
              </w:rPr>
              <w:t>0</w:t>
            </w:r>
            <w:r>
              <w:rPr>
                <w:rFonts w:hint="eastAsia" w:ascii="仿宋" w:hAnsi="仿宋" w:eastAsia="仿宋" w:cs="仿宋"/>
                <w:i w:val="0"/>
                <w:iCs w:val="0"/>
                <w:color w:val="auto"/>
                <w:kern w:val="0"/>
                <w:sz w:val="21"/>
                <w:szCs w:val="21"/>
                <w:highlight w:val="none"/>
                <w:u w:val="none"/>
                <w:lang w:val="en-US" w:eastAsia="zh-CN" w:bidi="ar"/>
              </w:rPr>
              <w:t>）1家机构配套资金未</w:t>
            </w:r>
            <w:r>
              <w:rPr>
                <w:rFonts w:hint="eastAsia" w:hAnsi="仿宋" w:cs="仿宋"/>
                <w:i w:val="0"/>
                <w:iCs w:val="0"/>
                <w:color w:val="auto"/>
                <w:kern w:val="0"/>
                <w:sz w:val="21"/>
                <w:szCs w:val="21"/>
                <w:highlight w:val="none"/>
                <w:u w:val="none"/>
                <w:lang w:val="en-US" w:eastAsia="zh-CN" w:bidi="ar"/>
              </w:rPr>
              <w:t>落实，正在核准服务量中</w:t>
            </w:r>
          </w:p>
        </w:tc>
      </w:tr>
    </w:tbl>
    <w:p w14:paraId="6486517F">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2"/>
        <w:rPr>
          <w:rFonts w:hint="eastAsia" w:ascii="仿宋_GB2312" w:hAnsi="仿宋_GB2312" w:eastAsia="仿宋_GB2312" w:cs="仿宋_GB2312"/>
          <w:b/>
          <w:bCs/>
          <w:color w:val="auto"/>
          <w:spacing w:val="6"/>
          <w:kern w:val="30"/>
          <w:sz w:val="30"/>
          <w:szCs w:val="30"/>
          <w:highlight w:val="none"/>
          <w:lang w:val="en-US" w:eastAsia="zh-CN" w:bidi="ar"/>
        </w:rPr>
      </w:pPr>
      <w:bookmarkStart w:id="353" w:name="_Toc4555"/>
      <w:r>
        <w:rPr>
          <w:rFonts w:hint="eastAsia" w:ascii="仿宋_GB2312" w:hAnsi="仿宋_GB2312" w:eastAsia="仿宋_GB2312" w:cs="仿宋_GB2312"/>
          <w:b/>
          <w:bCs/>
          <w:color w:val="auto"/>
          <w:spacing w:val="6"/>
          <w:kern w:val="30"/>
          <w:sz w:val="30"/>
          <w:szCs w:val="30"/>
          <w:highlight w:val="none"/>
          <w:lang w:val="en-US" w:eastAsia="zh-CN" w:bidi="ar"/>
        </w:rPr>
        <w:t>3.专账核算执行存在偏差，账务处理方式不一</w:t>
      </w:r>
      <w:bookmarkEnd w:id="353"/>
    </w:p>
    <w:p w14:paraId="1873CD40">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9"/>
        <w:rPr>
          <w:rFonts w:hint="eastAsia" w:ascii="仿宋_GB2312" w:hAnsi="仿宋_GB2312" w:eastAsia="仿宋_GB2312" w:cs="仿宋_GB2312"/>
          <w:color w:val="auto"/>
          <w:spacing w:val="6"/>
          <w:kern w:val="30"/>
          <w:sz w:val="30"/>
          <w:szCs w:val="30"/>
          <w:highlight w:val="none"/>
          <w:lang w:val="en-US" w:eastAsia="zh-CN" w:bidi="ar"/>
        </w:rPr>
      </w:pPr>
      <w:r>
        <w:rPr>
          <w:rFonts w:hint="eastAsia" w:ascii="仿宋_GB2312" w:hAnsi="仿宋_GB2312" w:eastAsia="仿宋_GB2312" w:cs="仿宋_GB2312"/>
          <w:color w:val="auto"/>
          <w:spacing w:val="6"/>
          <w:kern w:val="30"/>
          <w:sz w:val="30"/>
          <w:szCs w:val="30"/>
          <w:highlight w:val="none"/>
          <w:lang w:eastAsia="zh-CN" w:bidi="ar"/>
        </w:rPr>
        <w:t>《资助办法》要求受资助机构对补贴资金“单独建账、专款专用”。实地评估发现，乌鲁木齐市一家人老年公寓、乌鲁木齐市天山润品尚老年公寓、昌吉市福缘老年公寓、呼图壁县仁和养老公寓4家机构未建立专账核算。部分已建账机构在具体操作中也存在困惑，账务处理方式不一，主要</w:t>
      </w:r>
      <w:r>
        <w:rPr>
          <w:rFonts w:hint="eastAsia" w:ascii="仿宋_GB2312" w:hAnsi="仿宋_GB2312" w:eastAsia="仿宋_GB2312" w:cs="仿宋_GB2312"/>
          <w:color w:val="auto"/>
          <w:spacing w:val="6"/>
          <w:kern w:val="30"/>
          <w:sz w:val="30"/>
          <w:szCs w:val="30"/>
          <w:highlight w:val="none"/>
          <w:lang w:val="en-US" w:eastAsia="zh-CN" w:bidi="ar"/>
        </w:rPr>
        <w:t>存在</w:t>
      </w:r>
      <w:r>
        <w:rPr>
          <w:rFonts w:hint="eastAsia" w:ascii="仿宋_GB2312" w:hAnsi="仿宋_GB2312" w:eastAsia="仿宋_GB2312" w:cs="仿宋_GB2312"/>
          <w:color w:val="auto"/>
          <w:spacing w:val="6"/>
          <w:kern w:val="30"/>
          <w:sz w:val="30"/>
          <w:szCs w:val="30"/>
          <w:highlight w:val="none"/>
          <w:lang w:eastAsia="zh-CN" w:bidi="ar"/>
        </w:rPr>
        <w:t>两种</w:t>
      </w:r>
      <w:r>
        <w:rPr>
          <w:rFonts w:hint="eastAsia" w:ascii="仿宋_GB2312" w:hAnsi="仿宋_GB2312" w:eastAsia="仿宋_GB2312" w:cs="仿宋_GB2312"/>
          <w:color w:val="auto"/>
          <w:spacing w:val="6"/>
          <w:kern w:val="30"/>
          <w:sz w:val="30"/>
          <w:szCs w:val="30"/>
          <w:highlight w:val="none"/>
          <w:lang w:val="en-US" w:eastAsia="zh-CN" w:bidi="ar"/>
        </w:rPr>
        <w:t>方式，均不完善，如下表所示。</w:t>
      </w:r>
    </w:p>
    <w:p w14:paraId="16F5BB5D">
      <w:pPr>
        <w:keepNext w:val="0"/>
        <w:keepLines w:val="0"/>
        <w:pageBreakBefore w:val="0"/>
        <w:widowControl/>
        <w:numPr>
          <w:ilvl w:val="-1"/>
          <w:numId w:val="0"/>
        </w:numPr>
        <w:kinsoku/>
        <w:wordWrap/>
        <w:overflowPunct/>
        <w:topLinePunct w:val="0"/>
        <w:autoSpaceDE/>
        <w:autoSpaceDN/>
        <w:bidi w:val="0"/>
        <w:adjustRightInd w:val="0"/>
        <w:snapToGrid w:val="0"/>
        <w:spacing w:line="240" w:lineRule="auto"/>
        <w:ind w:left="0" w:firstLine="0" w:firstLineChars="0"/>
        <w:jc w:val="center"/>
        <w:textAlignment w:val="auto"/>
        <w:outlineLvl w:val="9"/>
        <w:rPr>
          <w:rFonts w:hint="eastAsia" w:ascii="黑体" w:hAnsi="黑体" w:eastAsia="黑体" w:cs="黑体"/>
          <w:color w:val="auto"/>
          <w:spacing w:val="6"/>
          <w:kern w:val="30"/>
          <w:sz w:val="24"/>
          <w:szCs w:val="21"/>
          <w:highlight w:val="none"/>
          <w:lang w:val="en-US" w:eastAsia="zh-CN" w:bidi="ar"/>
        </w:rPr>
      </w:pPr>
      <w:r>
        <w:rPr>
          <w:rFonts w:hint="eastAsia" w:ascii="黑体" w:hAnsi="黑体" w:eastAsia="黑体" w:cs="黑体"/>
          <w:color w:val="auto"/>
          <w:spacing w:val="6"/>
          <w:kern w:val="30"/>
          <w:sz w:val="24"/>
          <w:szCs w:val="21"/>
          <w:highlight w:val="none"/>
          <w:lang w:val="en-US" w:eastAsia="zh-CN" w:bidi="ar"/>
        </w:rPr>
        <w:t>养老机构账务处理方式优缺点分析表</w:t>
      </w:r>
    </w:p>
    <w:tbl>
      <w:tblPr>
        <w:tblStyle w:val="18"/>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27"/>
        <w:gridCol w:w="3049"/>
        <w:gridCol w:w="1859"/>
        <w:gridCol w:w="3120"/>
      </w:tblGrid>
      <w:tr w14:paraId="23D28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blHeader/>
        </w:trPr>
        <w:tc>
          <w:tcPr>
            <w:tcW w:w="5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C5B64C">
            <w:pPr>
              <w:keepNext w:val="0"/>
              <w:keepLines w:val="0"/>
              <w:widowControl w:val="0"/>
              <w:suppressLineNumbers w:val="0"/>
              <w:adjustRightInd w:val="0"/>
              <w:snapToGrid w:val="0"/>
              <w:jc w:val="center"/>
              <w:textAlignment w:val="center"/>
              <w:rPr>
                <w:rFonts w:hint="eastAsia" w:ascii="仿宋" w:hAnsi="仿宋" w:eastAsia="仿宋" w:cs="仿宋"/>
                <w:b/>
                <w:bCs/>
                <w:i w:val="0"/>
                <w:iCs w:val="0"/>
                <w:color w:val="auto"/>
                <w:sz w:val="21"/>
                <w:szCs w:val="21"/>
                <w:highlight w:val="none"/>
                <w:u w:val="none"/>
              </w:rPr>
            </w:pPr>
            <w:r>
              <w:rPr>
                <w:rFonts w:hint="eastAsia" w:hAnsi="仿宋" w:cs="仿宋"/>
                <w:b/>
                <w:bCs/>
                <w:i w:val="0"/>
                <w:iCs w:val="0"/>
                <w:color w:val="auto"/>
                <w:kern w:val="0"/>
                <w:sz w:val="21"/>
                <w:szCs w:val="21"/>
                <w:highlight w:val="none"/>
                <w:u w:val="none"/>
                <w:lang w:val="en-US" w:eastAsia="zh-CN" w:bidi="ar"/>
              </w:rPr>
              <w:t>处</w:t>
            </w:r>
            <w:r>
              <w:rPr>
                <w:rFonts w:hint="eastAsia" w:ascii="仿宋" w:hAnsi="仿宋" w:eastAsia="仿宋" w:cs="仿宋"/>
                <w:b/>
                <w:bCs/>
                <w:i w:val="0"/>
                <w:iCs w:val="0"/>
                <w:color w:val="auto"/>
                <w:kern w:val="0"/>
                <w:sz w:val="21"/>
                <w:szCs w:val="21"/>
                <w:highlight w:val="none"/>
                <w:u w:val="none"/>
                <w:lang w:val="en-US" w:eastAsia="zh-CN" w:bidi="ar"/>
              </w:rPr>
              <w:t>理方式</w:t>
            </w:r>
          </w:p>
        </w:tc>
        <w:tc>
          <w:tcPr>
            <w:tcW w:w="16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EF8266">
            <w:pPr>
              <w:keepNext w:val="0"/>
              <w:keepLines w:val="0"/>
              <w:widowControl w:val="0"/>
              <w:suppressLineNumbers w:val="0"/>
              <w:adjustRightInd w:val="0"/>
              <w:snapToGrid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会计分录</w:t>
            </w:r>
          </w:p>
        </w:tc>
        <w:tc>
          <w:tcPr>
            <w:tcW w:w="10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175AB3">
            <w:pPr>
              <w:keepNext w:val="0"/>
              <w:keepLines w:val="0"/>
              <w:widowControl w:val="0"/>
              <w:suppressLineNumbers w:val="0"/>
              <w:adjustRightInd w:val="0"/>
              <w:snapToGrid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优点</w:t>
            </w:r>
          </w:p>
        </w:tc>
        <w:tc>
          <w:tcPr>
            <w:tcW w:w="17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3810C5">
            <w:pPr>
              <w:keepNext w:val="0"/>
              <w:keepLines w:val="0"/>
              <w:widowControl w:val="0"/>
              <w:suppressLineNumbers w:val="0"/>
              <w:adjustRightInd w:val="0"/>
              <w:snapToGrid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缺陷</w:t>
            </w:r>
          </w:p>
        </w:tc>
      </w:tr>
      <w:tr w14:paraId="64BE0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5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C38F20">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方式一</w:t>
            </w:r>
          </w:p>
        </w:tc>
        <w:tc>
          <w:tcPr>
            <w:tcW w:w="16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FBEEEF">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收到补贴时：借“银行存款”，贷“财政补贴收入”；支出时按正常费用列支</w:t>
            </w:r>
          </w:p>
        </w:tc>
        <w:tc>
          <w:tcPr>
            <w:tcW w:w="10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BCC075">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可清</w:t>
            </w:r>
            <w:r>
              <w:rPr>
                <w:rFonts w:hint="eastAsia" w:hAnsi="仿宋" w:cs="仿宋"/>
                <w:i w:val="0"/>
                <w:iCs w:val="0"/>
                <w:color w:val="auto"/>
                <w:kern w:val="0"/>
                <w:sz w:val="21"/>
                <w:szCs w:val="21"/>
                <w:highlight w:val="none"/>
                <w:u w:val="none"/>
                <w:lang w:val="en-US" w:eastAsia="zh-CN" w:bidi="ar"/>
              </w:rPr>
              <w:t>晰地</w:t>
            </w:r>
            <w:r>
              <w:rPr>
                <w:rFonts w:hint="eastAsia" w:ascii="仿宋" w:hAnsi="仿宋" w:eastAsia="仿宋" w:cs="仿宋"/>
                <w:i w:val="0"/>
                <w:iCs w:val="0"/>
                <w:color w:val="auto"/>
                <w:kern w:val="0"/>
                <w:sz w:val="21"/>
                <w:szCs w:val="21"/>
                <w:highlight w:val="none"/>
                <w:u w:val="none"/>
                <w:lang w:val="en-US" w:eastAsia="zh-CN" w:bidi="ar"/>
              </w:rPr>
              <w:t>体现资金来源为财政补贴</w:t>
            </w:r>
          </w:p>
        </w:tc>
        <w:tc>
          <w:tcPr>
            <w:tcW w:w="17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246260">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无法在科目层面区分支出是否使用了该项资金</w:t>
            </w:r>
          </w:p>
        </w:tc>
      </w:tr>
      <w:tr w14:paraId="0ABA3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2" w:hRule="atLeast"/>
        </w:trPr>
        <w:tc>
          <w:tcPr>
            <w:tcW w:w="56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225911">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方式二</w:t>
            </w:r>
          </w:p>
        </w:tc>
        <w:tc>
          <w:tcPr>
            <w:tcW w:w="168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5AB0EC">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收到补贴时：借“银行存款”，贷“其他专项应付款”；支出时：借“其他专项应付款”，贷“银行存款”</w:t>
            </w:r>
          </w:p>
        </w:tc>
        <w:tc>
          <w:tcPr>
            <w:tcW w:w="10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9C0013">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可清晰追踪资金流向</w:t>
            </w:r>
          </w:p>
        </w:tc>
        <w:tc>
          <w:tcPr>
            <w:tcW w:w="172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F1C5C5">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无法从账面上直接识别资金来源为财政补贴，易被误认为机构自有资金</w:t>
            </w:r>
          </w:p>
        </w:tc>
      </w:tr>
    </w:tbl>
    <w:p w14:paraId="35BF10A0">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9"/>
        <w:rPr>
          <w:rFonts w:hint="eastAsia" w:ascii="仿宋_GB2312" w:hAnsi="仿宋_GB2312" w:eastAsia="仿宋_GB2312" w:cs="仿宋_GB2312"/>
          <w:color w:val="auto"/>
          <w:spacing w:val="6"/>
          <w:kern w:val="30"/>
          <w:sz w:val="30"/>
          <w:szCs w:val="30"/>
          <w:highlight w:val="none"/>
          <w:lang w:eastAsia="zh-CN" w:bidi="ar"/>
        </w:rPr>
      </w:pPr>
      <w:r>
        <w:rPr>
          <w:rFonts w:hint="eastAsia" w:ascii="仿宋_GB2312" w:hAnsi="仿宋_GB2312" w:eastAsia="仿宋_GB2312" w:cs="仿宋_GB2312"/>
          <w:color w:val="auto"/>
          <w:spacing w:val="6"/>
          <w:kern w:val="30"/>
          <w:sz w:val="30"/>
          <w:szCs w:val="30"/>
          <w:highlight w:val="none"/>
          <w:lang w:eastAsia="zh-CN" w:bidi="ar"/>
        </w:rPr>
        <w:t>两种方式均</w:t>
      </w:r>
      <w:r>
        <w:rPr>
          <w:rFonts w:hint="eastAsia" w:ascii="仿宋_GB2312" w:hAnsi="仿宋_GB2312" w:eastAsia="仿宋_GB2312" w:cs="仿宋_GB2312"/>
          <w:color w:val="auto"/>
          <w:spacing w:val="6"/>
          <w:kern w:val="30"/>
          <w:sz w:val="30"/>
          <w:szCs w:val="30"/>
          <w:highlight w:val="none"/>
          <w:lang w:val="en-US" w:eastAsia="zh-CN" w:bidi="ar"/>
        </w:rPr>
        <w:t>无法</w:t>
      </w:r>
      <w:r>
        <w:rPr>
          <w:rFonts w:hint="eastAsia" w:ascii="仿宋_GB2312" w:hAnsi="仿宋_GB2312" w:eastAsia="仿宋_GB2312" w:cs="仿宋_GB2312"/>
          <w:color w:val="auto"/>
          <w:spacing w:val="6"/>
          <w:kern w:val="30"/>
          <w:sz w:val="30"/>
          <w:szCs w:val="30"/>
          <w:highlight w:val="none"/>
          <w:lang w:eastAsia="zh-CN" w:bidi="ar"/>
        </w:rPr>
        <w:t>“专款专用”的可追溯、可核验目标。</w:t>
      </w:r>
    </w:p>
    <w:p w14:paraId="0B39DA12">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9"/>
        <w:rPr>
          <w:rFonts w:hint="eastAsia" w:ascii="仿宋_GB2312" w:hAnsi="仿宋_GB2312" w:eastAsia="仿宋_GB2312" w:cs="仿宋_GB2312"/>
          <w:color w:val="auto"/>
          <w:spacing w:val="6"/>
          <w:kern w:val="30"/>
          <w:sz w:val="30"/>
          <w:szCs w:val="30"/>
          <w:highlight w:val="none"/>
          <w:lang w:eastAsia="zh-CN" w:bidi="ar"/>
        </w:rPr>
      </w:pPr>
      <w:r>
        <w:rPr>
          <w:rFonts w:hint="eastAsia" w:ascii="仿宋_GB2312" w:hAnsi="仿宋_GB2312" w:eastAsia="仿宋_GB2312" w:cs="仿宋_GB2312"/>
          <w:color w:val="auto"/>
          <w:spacing w:val="6"/>
          <w:kern w:val="30"/>
          <w:sz w:val="30"/>
          <w:szCs w:val="30"/>
          <w:highlight w:val="none"/>
          <w:lang w:val="en-US" w:eastAsia="zh-CN" w:bidi="ar"/>
        </w:rPr>
        <w:t>此外，评估发现，乌鲁木齐市、哈密市部分养老机构在收到财政补贴资金后，向税务局领用增值税普通发票，开具免税发票作为入账凭证提交至民政部门。但财政专项补贴不属于增值税应税范围，</w:t>
      </w:r>
      <w:r>
        <w:rPr>
          <w:rFonts w:hint="eastAsia" w:ascii="仿宋_GB2312" w:hAnsi="仿宋_GB2312" w:eastAsia="仿宋_GB2312" w:cs="仿宋_GB2312"/>
          <w:color w:val="auto"/>
          <w:spacing w:val="6"/>
          <w:szCs w:val="30"/>
          <w:highlight w:val="none"/>
          <w:lang w:bidi="ar"/>
        </w:rPr>
        <w:t>不</w:t>
      </w:r>
      <w:r>
        <w:rPr>
          <w:rFonts w:hint="eastAsia" w:ascii="仿宋_GB2312" w:hAnsi="仿宋_GB2312" w:eastAsia="仿宋_GB2312" w:cs="仿宋_GB2312"/>
          <w:color w:val="auto"/>
          <w:spacing w:val="6"/>
          <w:szCs w:val="30"/>
          <w:highlight w:val="none"/>
          <w:lang w:val="en-US" w:eastAsia="zh-CN" w:bidi="ar"/>
        </w:rPr>
        <w:t>能比照</w:t>
      </w:r>
      <w:r>
        <w:rPr>
          <w:rFonts w:hint="eastAsia" w:ascii="仿宋_GB2312" w:hAnsi="仿宋_GB2312" w:eastAsia="仿宋_GB2312" w:cs="仿宋_GB2312"/>
          <w:color w:val="auto"/>
          <w:spacing w:val="6"/>
          <w:szCs w:val="30"/>
          <w:highlight w:val="none"/>
          <w:lang w:bidi="ar"/>
        </w:rPr>
        <w:t>经营性服务开具免税发票</w:t>
      </w:r>
      <w:r>
        <w:rPr>
          <w:rFonts w:hint="eastAsia" w:ascii="仿宋_GB2312" w:hAnsi="仿宋_GB2312" w:eastAsia="仿宋_GB2312" w:cs="仿宋_GB2312"/>
          <w:color w:val="auto"/>
          <w:spacing w:val="6"/>
          <w:kern w:val="30"/>
          <w:sz w:val="30"/>
          <w:szCs w:val="30"/>
          <w:highlight w:val="none"/>
          <w:lang w:val="en-US" w:eastAsia="zh-CN" w:bidi="ar"/>
        </w:rPr>
        <w:t>，上述机构将非应税财政补助视同应税业务进行处理，依据不足。同时部分民政部门将此类发票作为资金拨付、财务入账凭证，造成入账佐证</w:t>
      </w:r>
      <w:r>
        <w:rPr>
          <w:rFonts w:hint="eastAsia" w:ascii="仿宋_GB2312" w:hAnsi="仿宋_GB2312" w:eastAsia="仿宋_GB2312" w:cs="仿宋_GB2312"/>
          <w:color w:val="auto"/>
          <w:spacing w:val="6"/>
          <w:szCs w:val="30"/>
          <w:highlight w:val="none"/>
          <w:lang w:bidi="ar"/>
        </w:rPr>
        <w:t>材料不</w:t>
      </w:r>
      <w:r>
        <w:rPr>
          <w:rFonts w:hint="eastAsia" w:ascii="仿宋_GB2312" w:hAnsi="仿宋_GB2312" w:eastAsia="仿宋_GB2312" w:cs="仿宋_GB2312"/>
          <w:color w:val="auto"/>
          <w:spacing w:val="6"/>
          <w:szCs w:val="30"/>
          <w:highlight w:val="none"/>
          <w:lang w:val="en-US" w:eastAsia="zh-CN" w:bidi="ar"/>
        </w:rPr>
        <w:t>合规</w:t>
      </w:r>
      <w:r>
        <w:rPr>
          <w:rFonts w:hint="eastAsia" w:ascii="仿宋_GB2312" w:hAnsi="仿宋_GB2312" w:eastAsia="仿宋_GB2312" w:cs="仿宋_GB2312"/>
          <w:color w:val="auto"/>
          <w:spacing w:val="6"/>
          <w:kern w:val="30"/>
          <w:sz w:val="30"/>
          <w:szCs w:val="30"/>
          <w:highlight w:val="none"/>
          <w:lang w:val="en-US" w:eastAsia="zh-CN" w:bidi="ar"/>
        </w:rPr>
        <w:t>。</w:t>
      </w:r>
    </w:p>
    <w:p w14:paraId="76F78171">
      <w:pPr>
        <w:keepNext w:val="0"/>
        <w:keepLines w:val="0"/>
        <w:pageBreakBefore w:val="0"/>
        <w:widowControl w:val="0"/>
        <w:kinsoku/>
        <w:wordWrap/>
        <w:overflowPunct/>
        <w:topLinePunct w:val="0"/>
        <w:autoSpaceDE/>
        <w:autoSpaceDN/>
        <w:bidi w:val="0"/>
        <w:adjustRightInd/>
        <w:snapToGrid/>
        <w:spacing w:line="590" w:lineRule="exact"/>
        <w:ind w:left="0" w:firstLineChars="200"/>
        <w:jc w:val="both"/>
        <w:textAlignment w:val="auto"/>
        <w:outlineLvl w:val="1"/>
        <w:rPr>
          <w:rFonts w:hint="eastAsia" w:ascii="楷体_GB2312" w:hAnsi="楷体_GB2312" w:eastAsia="楷体_GB2312" w:cs="楷体_GB2312"/>
          <w:color w:val="auto"/>
          <w:spacing w:val="0"/>
          <w:kern w:val="30"/>
          <w:sz w:val="30"/>
          <w:szCs w:val="30"/>
          <w:highlight w:val="none"/>
          <w:lang w:eastAsia="zh-CN" w:bidi="ar"/>
        </w:rPr>
      </w:pPr>
      <w:bookmarkStart w:id="354" w:name="_Toc23414"/>
      <w:bookmarkStart w:id="355" w:name="_Toc9512"/>
      <w:bookmarkStart w:id="356" w:name="_Toc11128"/>
      <w:bookmarkStart w:id="357" w:name="_Toc15520"/>
      <w:bookmarkStart w:id="358" w:name="_Toc875"/>
      <w:bookmarkStart w:id="359" w:name="_Toc23976"/>
      <w:bookmarkStart w:id="360" w:name="_Toc28492"/>
      <w:bookmarkStart w:id="361" w:name="_Toc225"/>
      <w:bookmarkStart w:id="362" w:name="_Toc25674"/>
      <w:r>
        <w:rPr>
          <w:rFonts w:hint="eastAsia" w:ascii="楷体_GB2312" w:hAnsi="楷体_GB2312" w:eastAsia="楷体_GB2312" w:cs="楷体_GB2312"/>
          <w:color w:val="auto"/>
          <w:spacing w:val="0"/>
          <w:kern w:val="30"/>
          <w:sz w:val="30"/>
          <w:szCs w:val="30"/>
          <w:highlight w:val="none"/>
          <w:lang w:eastAsia="zh-CN" w:bidi="ar"/>
        </w:rPr>
        <w:t>（二）审核监管类问题</w:t>
      </w:r>
      <w:bookmarkEnd w:id="354"/>
      <w:bookmarkEnd w:id="355"/>
      <w:bookmarkEnd w:id="356"/>
      <w:bookmarkEnd w:id="357"/>
      <w:bookmarkEnd w:id="358"/>
      <w:bookmarkEnd w:id="359"/>
      <w:bookmarkEnd w:id="360"/>
      <w:bookmarkEnd w:id="361"/>
      <w:bookmarkEnd w:id="362"/>
    </w:p>
    <w:p w14:paraId="51016E13">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2"/>
        <w:rPr>
          <w:rFonts w:hint="eastAsia" w:ascii="仿宋_GB2312" w:hAnsi="仿宋_GB2312" w:eastAsia="仿宋_GB2312" w:cs="仿宋_GB2312"/>
          <w:b/>
          <w:bCs/>
          <w:color w:val="auto"/>
          <w:spacing w:val="6"/>
          <w:kern w:val="30"/>
          <w:sz w:val="30"/>
          <w:szCs w:val="30"/>
          <w:highlight w:val="none"/>
          <w:lang w:val="en-US" w:eastAsia="zh-CN" w:bidi="ar"/>
        </w:rPr>
      </w:pPr>
      <w:bookmarkStart w:id="363" w:name="_Toc20322"/>
      <w:r>
        <w:rPr>
          <w:rFonts w:hint="eastAsia" w:ascii="仿宋_GB2312" w:hAnsi="仿宋_GB2312" w:eastAsia="仿宋_GB2312" w:cs="仿宋_GB2312"/>
          <w:b/>
          <w:bCs/>
          <w:color w:val="auto"/>
          <w:spacing w:val="6"/>
          <w:kern w:val="30"/>
          <w:sz w:val="30"/>
          <w:szCs w:val="30"/>
          <w:highlight w:val="none"/>
          <w:lang w:val="en-US" w:eastAsia="zh-CN" w:bidi="ar"/>
        </w:rPr>
        <w:t>1.</w:t>
      </w:r>
      <w:r>
        <w:rPr>
          <w:rFonts w:hint="eastAsia" w:ascii="仿宋_GB2312" w:hAnsi="仿宋_GB2312" w:eastAsia="仿宋_GB2312" w:cs="仿宋_GB2312"/>
          <w:b/>
          <w:bCs/>
          <w:color w:val="auto"/>
          <w:spacing w:val="6"/>
          <w:kern w:val="30"/>
          <w:sz w:val="30"/>
          <w:szCs w:val="30"/>
          <w:highlight w:val="none"/>
          <w:lang w:eastAsia="zh-CN" w:bidi="ar"/>
        </w:rPr>
        <w:t>审核职责边界模糊，</w:t>
      </w:r>
      <w:r>
        <w:rPr>
          <w:rFonts w:hint="eastAsia" w:ascii="仿宋_GB2312" w:hAnsi="仿宋_GB2312" w:eastAsia="仿宋_GB2312" w:cs="仿宋_GB2312"/>
          <w:b/>
          <w:bCs/>
          <w:color w:val="auto"/>
          <w:spacing w:val="6"/>
          <w:kern w:val="30"/>
          <w:sz w:val="30"/>
          <w:szCs w:val="30"/>
          <w:highlight w:val="none"/>
          <w:lang w:val="en-US" w:eastAsia="zh-CN" w:bidi="ar"/>
        </w:rPr>
        <w:t>导致各级责任虚化</w:t>
      </w:r>
      <w:bookmarkEnd w:id="363"/>
    </w:p>
    <w:p w14:paraId="05D10D42">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9"/>
        <w:rPr>
          <w:rFonts w:hint="eastAsia" w:ascii="仿宋_GB2312" w:hAnsi="仿宋_GB2312" w:eastAsia="仿宋_GB2312" w:cs="仿宋_GB2312"/>
          <w:color w:val="auto"/>
          <w:spacing w:val="6"/>
          <w:kern w:val="30"/>
          <w:sz w:val="30"/>
          <w:szCs w:val="30"/>
          <w:highlight w:val="none"/>
          <w:lang w:eastAsia="zh-CN" w:bidi="ar"/>
        </w:rPr>
      </w:pPr>
      <w:r>
        <w:rPr>
          <w:rFonts w:hint="eastAsia" w:ascii="仿宋_GB2312" w:hAnsi="仿宋_GB2312" w:eastAsia="仿宋_GB2312" w:cs="仿宋_GB2312"/>
          <w:color w:val="auto"/>
          <w:spacing w:val="6"/>
          <w:kern w:val="30"/>
          <w:sz w:val="30"/>
          <w:szCs w:val="30"/>
          <w:highlight w:val="none"/>
          <w:lang w:val="en-US" w:eastAsia="zh-CN" w:bidi="ar"/>
        </w:rPr>
        <w:t>根据</w:t>
      </w:r>
      <w:r>
        <w:rPr>
          <w:rFonts w:hint="eastAsia" w:ascii="仿宋_GB2312" w:hAnsi="仿宋_GB2312" w:eastAsia="仿宋_GB2312" w:cs="仿宋_GB2312"/>
          <w:color w:val="auto"/>
          <w:spacing w:val="6"/>
          <w:kern w:val="30"/>
          <w:sz w:val="30"/>
          <w:szCs w:val="30"/>
          <w:highlight w:val="none"/>
          <w:lang w:eastAsia="zh-CN" w:bidi="ar"/>
        </w:rPr>
        <w:t>《资助办法》规定，养老机构向县（市、区）民政局提出运营补贴的书面申请；县级“审核”后报送地州，地州“审查”后报送自治区，但未明确界定两级审核各自的责任边界、审核标准和具体内容。职责划分的制度性空白，</w:t>
      </w:r>
      <w:r>
        <w:rPr>
          <w:rFonts w:hint="eastAsia" w:ascii="仿宋_GB2312" w:hAnsi="仿宋_GB2312" w:eastAsia="仿宋_GB2312" w:cs="仿宋_GB2312"/>
          <w:color w:val="auto"/>
          <w:spacing w:val="6"/>
          <w:kern w:val="30"/>
          <w:sz w:val="30"/>
          <w:szCs w:val="30"/>
          <w:highlight w:val="none"/>
          <w:lang w:val="en-US" w:eastAsia="zh-CN" w:bidi="ar"/>
        </w:rPr>
        <w:t>容易</w:t>
      </w:r>
      <w:r>
        <w:rPr>
          <w:rFonts w:hint="eastAsia" w:ascii="仿宋_GB2312" w:hAnsi="仿宋_GB2312" w:eastAsia="仿宋_GB2312" w:cs="仿宋_GB2312"/>
          <w:color w:val="auto"/>
          <w:spacing w:val="6"/>
          <w:kern w:val="30"/>
          <w:sz w:val="30"/>
          <w:szCs w:val="30"/>
          <w:highlight w:val="none"/>
          <w:lang w:eastAsia="zh-CN" w:bidi="ar"/>
        </w:rPr>
        <w:t>导致审核链条中事实上无人承担实质性核查责任</w:t>
      </w:r>
      <w:r>
        <w:rPr>
          <w:rFonts w:hint="eastAsia" w:ascii="仿宋_GB2312" w:hAnsi="仿宋_GB2312" w:eastAsia="仿宋_GB2312" w:cs="仿宋_GB2312"/>
          <w:color w:val="auto"/>
          <w:spacing w:val="6"/>
          <w:kern w:val="30"/>
          <w:sz w:val="30"/>
          <w:szCs w:val="30"/>
          <w:highlight w:val="none"/>
          <w:lang w:val="en-US" w:eastAsia="zh-CN" w:bidi="ar"/>
        </w:rPr>
        <w:t>风险</w:t>
      </w:r>
      <w:r>
        <w:rPr>
          <w:rFonts w:hint="eastAsia" w:ascii="仿宋_GB2312" w:hAnsi="仿宋_GB2312" w:eastAsia="仿宋_GB2312" w:cs="仿宋_GB2312"/>
          <w:color w:val="auto"/>
          <w:spacing w:val="6"/>
          <w:kern w:val="30"/>
          <w:sz w:val="30"/>
          <w:szCs w:val="30"/>
          <w:highlight w:val="none"/>
          <w:lang w:eastAsia="zh-CN" w:bidi="ar"/>
        </w:rPr>
        <w:t>。评估发现，喀什市民政局未按申报通知要求对其下辖机构申报材料进行实质性审核，喀什市亲情缘养老院2024年</w:t>
      </w:r>
      <w:r>
        <w:rPr>
          <w:rFonts w:hint="eastAsia" w:ascii="仿宋_GB2312" w:hAnsi="仿宋_GB2312" w:eastAsia="仿宋_GB2312" w:cs="仿宋_GB2312"/>
          <w:color w:val="auto"/>
          <w:spacing w:val="6"/>
          <w:kern w:val="30"/>
          <w:sz w:val="30"/>
          <w:szCs w:val="30"/>
          <w:highlight w:val="none"/>
          <w:lang w:val="en-US" w:eastAsia="zh-CN" w:bidi="ar"/>
        </w:rPr>
        <w:t>度补贴申报资料中</w:t>
      </w:r>
      <w:r>
        <w:rPr>
          <w:rFonts w:hint="eastAsia" w:ascii="仿宋_GB2312" w:hAnsi="仿宋_GB2312" w:eastAsia="仿宋_GB2312" w:cs="仿宋_GB2312"/>
          <w:color w:val="auto"/>
          <w:spacing w:val="6"/>
          <w:kern w:val="30"/>
          <w:sz w:val="30"/>
          <w:szCs w:val="30"/>
          <w:highlight w:val="none"/>
          <w:lang w:eastAsia="zh-CN" w:bidi="ar"/>
        </w:rPr>
        <w:t>入住率61%</w:t>
      </w:r>
      <w:r>
        <w:rPr>
          <w:rFonts w:hint="eastAsia" w:ascii="仿宋_GB2312" w:hAnsi="仿宋_GB2312" w:eastAsia="仿宋_GB2312" w:cs="仿宋_GB2312"/>
          <w:color w:val="auto"/>
          <w:spacing w:val="6"/>
          <w:kern w:val="30"/>
          <w:sz w:val="30"/>
          <w:szCs w:val="30"/>
          <w:highlight w:val="none"/>
          <w:lang w:val="en-US" w:eastAsia="zh-CN" w:bidi="ar"/>
        </w:rPr>
        <w:t>的取数方式及</w:t>
      </w:r>
      <w:r>
        <w:rPr>
          <w:rFonts w:hint="eastAsia" w:ascii="仿宋_GB2312" w:hAnsi="仿宋_GB2312" w:eastAsia="仿宋_GB2312" w:cs="仿宋_GB2312"/>
          <w:color w:val="auto"/>
          <w:spacing w:val="6"/>
          <w:kern w:val="30"/>
          <w:sz w:val="30"/>
          <w:szCs w:val="30"/>
          <w:highlight w:val="none"/>
          <w:lang w:eastAsia="zh-CN" w:bidi="ar"/>
        </w:rPr>
        <w:t>计算口径</w:t>
      </w:r>
      <w:r>
        <w:rPr>
          <w:rFonts w:hint="eastAsia" w:ascii="仿宋_GB2312" w:hAnsi="仿宋_GB2312" w:eastAsia="仿宋_GB2312" w:cs="仿宋_GB2312"/>
          <w:color w:val="auto"/>
          <w:spacing w:val="6"/>
          <w:kern w:val="30"/>
          <w:sz w:val="30"/>
          <w:szCs w:val="30"/>
          <w:highlight w:val="none"/>
          <w:lang w:val="en-US" w:eastAsia="zh-CN" w:bidi="ar"/>
        </w:rPr>
        <w:t>无法明确</w:t>
      </w:r>
      <w:r>
        <w:rPr>
          <w:rFonts w:hint="eastAsia" w:ascii="仿宋_GB2312" w:hAnsi="仿宋_GB2312" w:eastAsia="仿宋_GB2312" w:cs="仿宋_GB2312"/>
          <w:color w:val="auto"/>
          <w:spacing w:val="6"/>
          <w:kern w:val="30"/>
          <w:sz w:val="30"/>
          <w:szCs w:val="30"/>
          <w:highlight w:val="none"/>
          <w:lang w:eastAsia="zh-CN" w:bidi="ar"/>
        </w:rPr>
        <w:t>，2020至2024年度申报资料不全，</w:t>
      </w:r>
      <w:r>
        <w:rPr>
          <w:rFonts w:hint="eastAsia" w:ascii="仿宋_GB2312" w:hAnsi="仿宋_GB2312" w:eastAsia="仿宋_GB2312" w:cs="仿宋_GB2312"/>
          <w:color w:val="auto"/>
          <w:spacing w:val="6"/>
          <w:kern w:val="30"/>
          <w:sz w:val="30"/>
          <w:szCs w:val="30"/>
          <w:highlight w:val="none"/>
          <w:lang w:val="en-US" w:eastAsia="zh-CN" w:bidi="ar"/>
        </w:rPr>
        <w:t>缺少如《自治区养老机构资助资金使用承诺书》、养老机构重大风险隐患检查28项指标检查情况等资料</w:t>
      </w:r>
      <w:r>
        <w:rPr>
          <w:rFonts w:hint="eastAsia" w:ascii="仿宋_GB2312" w:hAnsi="仿宋_GB2312" w:eastAsia="仿宋_GB2312" w:cs="仿宋_GB2312"/>
          <w:color w:val="auto"/>
          <w:spacing w:val="6"/>
          <w:kern w:val="30"/>
          <w:sz w:val="30"/>
          <w:szCs w:val="30"/>
          <w:highlight w:val="none"/>
          <w:lang w:eastAsia="zh-CN" w:bidi="ar"/>
        </w:rPr>
        <w:t>，却连年获得补贴；疏勒县康乐园老年护养院备案床位数200张，</w:t>
      </w:r>
      <w:r>
        <w:rPr>
          <w:rFonts w:hint="eastAsia" w:ascii="仿宋_GB2312" w:hAnsi="仿宋_GB2312" w:eastAsia="仿宋_GB2312" w:cs="仿宋_GB2312"/>
          <w:color w:val="auto"/>
          <w:spacing w:val="6"/>
          <w:kern w:val="30"/>
          <w:sz w:val="30"/>
          <w:szCs w:val="30"/>
          <w:highlight w:val="none"/>
          <w:lang w:val="en-US" w:eastAsia="zh-CN" w:bidi="ar"/>
        </w:rPr>
        <w:t>填写“</w:t>
      </w:r>
      <w:r>
        <w:rPr>
          <w:rFonts w:hint="eastAsia" w:ascii="仿宋_GB2312" w:hAnsi="仿宋_GB2312" w:eastAsia="仿宋_GB2312" w:cs="仿宋_GB2312"/>
          <w:color w:val="auto"/>
          <w:spacing w:val="6"/>
          <w:kern w:val="30"/>
          <w:sz w:val="30"/>
          <w:szCs w:val="30"/>
          <w:highlight w:val="none"/>
          <w:lang w:eastAsia="zh-CN" w:bidi="ar"/>
        </w:rPr>
        <w:t>使用床位数”120张，填报入住率56%，实际应</w:t>
      </w:r>
      <w:r>
        <w:rPr>
          <w:rFonts w:hint="eastAsia" w:ascii="仿宋_GB2312" w:hAnsi="仿宋_GB2312" w:eastAsia="仿宋_GB2312" w:cs="仿宋_GB2312"/>
          <w:color w:val="auto"/>
          <w:spacing w:val="6"/>
          <w:kern w:val="30"/>
          <w:sz w:val="30"/>
          <w:szCs w:val="30"/>
          <w:highlight w:val="none"/>
          <w:lang w:val="en-US" w:eastAsia="zh-CN" w:bidi="ar"/>
        </w:rPr>
        <w:t>计算得</w:t>
      </w:r>
      <w:r>
        <w:rPr>
          <w:rFonts w:hint="eastAsia" w:ascii="仿宋_GB2312" w:hAnsi="仿宋_GB2312" w:eastAsia="仿宋_GB2312" w:cs="仿宋_GB2312"/>
          <w:color w:val="auto"/>
          <w:spacing w:val="6"/>
          <w:kern w:val="30"/>
          <w:sz w:val="30"/>
          <w:szCs w:val="30"/>
          <w:highlight w:val="none"/>
          <w:lang w:eastAsia="zh-CN" w:bidi="ar"/>
        </w:rPr>
        <w:t>60%，计算错误明显。上述问题在县级审核与地州复核环节均未被发现。</w:t>
      </w:r>
    </w:p>
    <w:p w14:paraId="638E23A6">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2"/>
        <w:rPr>
          <w:rFonts w:hint="eastAsia" w:ascii="仿宋_GB2312" w:hAnsi="仿宋_GB2312" w:eastAsia="仿宋_GB2312" w:cs="仿宋_GB2312"/>
          <w:b/>
          <w:bCs/>
          <w:color w:val="auto"/>
          <w:spacing w:val="6"/>
          <w:kern w:val="30"/>
          <w:sz w:val="30"/>
          <w:szCs w:val="30"/>
          <w:highlight w:val="none"/>
          <w:lang w:eastAsia="zh-CN" w:bidi="ar"/>
        </w:rPr>
      </w:pPr>
      <w:bookmarkStart w:id="364" w:name="_Toc4147"/>
      <w:r>
        <w:rPr>
          <w:rFonts w:hint="eastAsia" w:ascii="仿宋_GB2312" w:hAnsi="仿宋_GB2312" w:eastAsia="仿宋_GB2312" w:cs="仿宋_GB2312"/>
          <w:b/>
          <w:bCs/>
          <w:color w:val="auto"/>
          <w:spacing w:val="6"/>
          <w:kern w:val="30"/>
          <w:sz w:val="30"/>
          <w:szCs w:val="30"/>
          <w:highlight w:val="none"/>
          <w:lang w:val="en-US" w:eastAsia="zh-CN" w:bidi="ar"/>
        </w:rPr>
        <w:t>2.</w:t>
      </w:r>
      <w:r>
        <w:rPr>
          <w:rFonts w:hint="eastAsia" w:ascii="仿宋_GB2312" w:hAnsi="仿宋_GB2312" w:eastAsia="仿宋_GB2312" w:cs="仿宋_GB2312"/>
          <w:b/>
          <w:bCs/>
          <w:color w:val="auto"/>
          <w:spacing w:val="6"/>
          <w:kern w:val="30"/>
          <w:sz w:val="30"/>
          <w:szCs w:val="30"/>
          <w:highlight w:val="none"/>
          <w:lang w:eastAsia="zh-CN" w:bidi="ar"/>
        </w:rPr>
        <w:t>实地核查缺乏操作规范，核查工作流于形式</w:t>
      </w:r>
      <w:bookmarkEnd w:id="364"/>
    </w:p>
    <w:p w14:paraId="1B1F03EC">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9"/>
        <w:rPr>
          <w:rFonts w:hint="eastAsia" w:ascii="仿宋_GB2312" w:hAnsi="仿宋_GB2312" w:eastAsia="仿宋_GB2312" w:cs="仿宋_GB2312"/>
          <w:color w:val="auto"/>
          <w:spacing w:val="6"/>
          <w:kern w:val="30"/>
          <w:sz w:val="30"/>
          <w:szCs w:val="30"/>
          <w:highlight w:val="none"/>
          <w:lang w:eastAsia="zh-CN" w:bidi="ar"/>
        </w:rPr>
      </w:pPr>
      <w:r>
        <w:rPr>
          <w:rFonts w:hint="eastAsia" w:ascii="仿宋_GB2312" w:hAnsi="仿宋_GB2312" w:eastAsia="仿宋_GB2312" w:cs="仿宋_GB2312"/>
          <w:color w:val="auto"/>
          <w:spacing w:val="6"/>
          <w:kern w:val="30"/>
          <w:sz w:val="30"/>
          <w:szCs w:val="30"/>
          <w:highlight w:val="none"/>
          <w:lang w:eastAsia="zh-CN" w:bidi="ar"/>
        </w:rPr>
        <w:t>《资助办法》对实地核查仅作原则性规定：“实地核查，核实年度服务量”，未明确核查的具体内容、标准和记录要求。2020至2021年因特殊情况明文禁止实地核查，2022年后核查工作与安全生产检查合并进行，核查重心偏向安全事项，未形成可追溯的核查记录。以喀什地区</w:t>
      </w:r>
      <w:r>
        <w:rPr>
          <w:rFonts w:hint="eastAsia" w:ascii="仿宋_GB2312" w:hAnsi="仿宋_GB2312" w:eastAsia="仿宋_GB2312" w:cs="仿宋_GB2312"/>
          <w:color w:val="auto"/>
          <w:spacing w:val="6"/>
          <w:kern w:val="30"/>
          <w:sz w:val="30"/>
          <w:szCs w:val="30"/>
          <w:highlight w:val="none"/>
          <w:lang w:val="en-US" w:eastAsia="zh-CN" w:bidi="ar"/>
        </w:rPr>
        <w:t>疏勒县老年公寓</w:t>
      </w:r>
      <w:r>
        <w:rPr>
          <w:rFonts w:hint="eastAsia" w:ascii="仿宋_GB2312" w:hAnsi="仿宋_GB2312" w:eastAsia="仿宋_GB2312" w:cs="仿宋_GB2312"/>
          <w:color w:val="auto"/>
          <w:spacing w:val="6"/>
          <w:kern w:val="30"/>
          <w:sz w:val="30"/>
          <w:szCs w:val="30"/>
          <w:highlight w:val="none"/>
          <w:lang w:eastAsia="zh-CN" w:bidi="ar"/>
        </w:rPr>
        <w:t>为例，疏勒县老年公寓2021年—2023年（补贴年度2020-2022年度）运营补贴</w:t>
      </w:r>
      <w:r>
        <w:rPr>
          <w:rFonts w:hint="eastAsia" w:ascii="仿宋_GB2312" w:hAnsi="仿宋_GB2312" w:eastAsia="仿宋_GB2312" w:cs="仿宋_GB2312"/>
          <w:color w:val="auto"/>
          <w:spacing w:val="6"/>
          <w:kern w:val="30"/>
          <w:sz w:val="30"/>
          <w:szCs w:val="30"/>
          <w:highlight w:val="none"/>
          <w:lang w:val="en-US" w:eastAsia="zh-CN" w:bidi="ar"/>
        </w:rPr>
        <w:t>统计名单</w:t>
      </w:r>
      <w:r>
        <w:rPr>
          <w:rFonts w:hint="eastAsia" w:ascii="仿宋_GB2312" w:hAnsi="仿宋_GB2312" w:eastAsia="仿宋_GB2312" w:cs="仿宋_GB2312"/>
          <w:color w:val="auto"/>
          <w:spacing w:val="6"/>
          <w:kern w:val="30"/>
          <w:sz w:val="30"/>
          <w:szCs w:val="30"/>
          <w:highlight w:val="none"/>
          <w:lang w:eastAsia="zh-CN" w:bidi="ar"/>
        </w:rPr>
        <w:t>出现重复、</w:t>
      </w:r>
      <w:r>
        <w:rPr>
          <w:rFonts w:hint="eastAsia" w:ascii="仿宋_GB2312" w:hAnsi="仿宋_GB2312" w:eastAsia="仿宋_GB2312" w:cs="仿宋_GB2312"/>
          <w:color w:val="auto"/>
          <w:spacing w:val="6"/>
          <w:kern w:val="30"/>
          <w:sz w:val="30"/>
          <w:szCs w:val="30"/>
          <w:highlight w:val="none"/>
          <w:lang w:val="en-US" w:eastAsia="zh-CN" w:bidi="ar"/>
        </w:rPr>
        <w:t>未</w:t>
      </w:r>
      <w:r>
        <w:rPr>
          <w:rFonts w:hint="eastAsia" w:ascii="仿宋_GB2312" w:hAnsi="仿宋_GB2312" w:eastAsia="仿宋_GB2312" w:cs="仿宋_GB2312"/>
          <w:color w:val="auto"/>
          <w:spacing w:val="6"/>
          <w:kern w:val="30"/>
          <w:sz w:val="30"/>
          <w:szCs w:val="30"/>
          <w:highlight w:val="none"/>
          <w:lang w:eastAsia="zh-CN" w:bidi="ar"/>
        </w:rPr>
        <w:t>真实</w:t>
      </w:r>
      <w:r>
        <w:rPr>
          <w:rFonts w:hint="eastAsia" w:ascii="仿宋_GB2312" w:hAnsi="仿宋_GB2312" w:eastAsia="仿宋_GB2312" w:cs="仿宋_GB2312"/>
          <w:color w:val="auto"/>
          <w:spacing w:val="6"/>
          <w:kern w:val="30"/>
          <w:sz w:val="30"/>
          <w:szCs w:val="30"/>
          <w:highlight w:val="none"/>
          <w:lang w:val="en-US" w:eastAsia="zh-CN" w:bidi="ar"/>
        </w:rPr>
        <w:t>入住</w:t>
      </w:r>
      <w:r>
        <w:rPr>
          <w:rFonts w:hint="eastAsia" w:ascii="仿宋_GB2312" w:hAnsi="仿宋_GB2312" w:eastAsia="仿宋_GB2312" w:cs="仿宋_GB2312"/>
          <w:color w:val="auto"/>
          <w:spacing w:val="6"/>
          <w:kern w:val="30"/>
          <w:sz w:val="30"/>
          <w:szCs w:val="30"/>
          <w:highlight w:val="none"/>
          <w:lang w:eastAsia="zh-CN" w:bidi="ar"/>
        </w:rPr>
        <w:t>等问题</w:t>
      </w:r>
      <w:r>
        <w:rPr>
          <w:rStyle w:val="25"/>
          <w:rFonts w:hint="eastAsia" w:ascii="仿宋_GB2312" w:hAnsi="仿宋_GB2312" w:eastAsia="仿宋_GB2312" w:cs="仿宋_GB2312"/>
          <w:color w:val="auto"/>
          <w:spacing w:val="6"/>
          <w:kern w:val="30"/>
          <w:sz w:val="30"/>
          <w:szCs w:val="30"/>
          <w:highlight w:val="none"/>
          <w:lang w:eastAsia="zh-CN" w:bidi="ar"/>
        </w:rPr>
        <w:footnoteReference w:id="2"/>
      </w:r>
      <w:r>
        <w:rPr>
          <w:rFonts w:hint="eastAsia" w:ascii="仿宋_GB2312" w:hAnsi="仿宋_GB2312" w:eastAsia="仿宋_GB2312" w:cs="仿宋_GB2312"/>
          <w:color w:val="auto"/>
          <w:spacing w:val="6"/>
          <w:kern w:val="30"/>
          <w:sz w:val="30"/>
          <w:szCs w:val="30"/>
          <w:highlight w:val="none"/>
          <w:lang w:eastAsia="zh-CN" w:bidi="ar"/>
        </w:rPr>
        <w:t>，</w:t>
      </w:r>
      <w:r>
        <w:rPr>
          <w:rFonts w:hint="eastAsia" w:ascii="仿宋_GB2312" w:hAnsi="仿宋_GB2312" w:eastAsia="仿宋_GB2312" w:cs="仿宋_GB2312"/>
          <w:color w:val="auto"/>
          <w:spacing w:val="6"/>
          <w:kern w:val="30"/>
          <w:sz w:val="30"/>
          <w:szCs w:val="30"/>
          <w:highlight w:val="none"/>
          <w:lang w:val="en-US" w:eastAsia="zh-CN" w:bidi="ar"/>
        </w:rPr>
        <w:t>实地核查工作执行不到位</w:t>
      </w:r>
      <w:r>
        <w:rPr>
          <w:rFonts w:hint="eastAsia" w:ascii="仿宋_GB2312" w:hAnsi="仿宋_GB2312" w:eastAsia="仿宋_GB2312" w:cs="仿宋_GB2312"/>
          <w:color w:val="auto"/>
          <w:spacing w:val="6"/>
          <w:kern w:val="30"/>
          <w:sz w:val="30"/>
          <w:szCs w:val="30"/>
          <w:highlight w:val="none"/>
          <w:lang w:eastAsia="zh-CN" w:bidi="ar"/>
        </w:rPr>
        <w:t>，数据异常未被察觉。</w:t>
      </w:r>
    </w:p>
    <w:p w14:paraId="52CB7A20">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2"/>
        <w:rPr>
          <w:rFonts w:hint="eastAsia" w:ascii="仿宋_GB2312" w:hAnsi="仿宋_GB2312" w:eastAsia="仿宋_GB2312" w:cs="仿宋_GB2312"/>
          <w:b/>
          <w:bCs/>
          <w:color w:val="auto"/>
          <w:spacing w:val="6"/>
          <w:kern w:val="30"/>
          <w:sz w:val="30"/>
          <w:szCs w:val="30"/>
          <w:highlight w:val="none"/>
          <w:lang w:eastAsia="zh-CN" w:bidi="ar"/>
        </w:rPr>
      </w:pPr>
      <w:bookmarkStart w:id="365" w:name="_Toc2548"/>
      <w:r>
        <w:rPr>
          <w:rFonts w:hint="eastAsia" w:ascii="仿宋_GB2312" w:hAnsi="仿宋_GB2312" w:eastAsia="仿宋_GB2312" w:cs="仿宋_GB2312"/>
          <w:b/>
          <w:bCs/>
          <w:color w:val="auto"/>
          <w:spacing w:val="6"/>
          <w:kern w:val="30"/>
          <w:sz w:val="30"/>
          <w:szCs w:val="30"/>
          <w:highlight w:val="none"/>
          <w:lang w:val="en-US" w:eastAsia="zh-CN" w:bidi="ar"/>
        </w:rPr>
        <w:t>3.</w:t>
      </w:r>
      <w:r>
        <w:rPr>
          <w:rFonts w:hint="eastAsia" w:ascii="仿宋_GB2312" w:hAnsi="仿宋_GB2312" w:eastAsia="仿宋_GB2312" w:cs="仿宋_GB2312"/>
          <w:b/>
          <w:bCs/>
          <w:color w:val="auto"/>
          <w:spacing w:val="6"/>
          <w:kern w:val="30"/>
          <w:sz w:val="30"/>
          <w:szCs w:val="30"/>
          <w:highlight w:val="none"/>
          <w:lang w:eastAsia="zh-CN" w:bidi="ar"/>
        </w:rPr>
        <w:t>申报审核拨付流程繁琐，资金拨付不及时</w:t>
      </w:r>
      <w:bookmarkEnd w:id="365"/>
    </w:p>
    <w:p w14:paraId="41590F3B">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9"/>
        <w:rPr>
          <w:rFonts w:hint="eastAsia" w:ascii="仿宋_GB2312" w:hAnsi="仿宋_GB2312" w:eastAsia="仿宋_GB2312" w:cs="仿宋_GB2312"/>
          <w:color w:val="auto"/>
          <w:spacing w:val="6"/>
          <w:kern w:val="30"/>
          <w:sz w:val="30"/>
          <w:szCs w:val="30"/>
          <w:highlight w:val="none"/>
          <w:lang w:eastAsia="zh-CN" w:bidi="ar"/>
        </w:rPr>
      </w:pPr>
      <w:r>
        <w:rPr>
          <w:rFonts w:hint="eastAsia" w:ascii="仿宋_GB2312" w:hAnsi="仿宋_GB2312" w:eastAsia="仿宋_GB2312" w:cs="仿宋_GB2312"/>
          <w:color w:val="auto"/>
          <w:spacing w:val="6"/>
          <w:kern w:val="30"/>
          <w:sz w:val="30"/>
          <w:szCs w:val="30"/>
          <w:highlight w:val="none"/>
          <w:lang w:eastAsia="zh-CN" w:bidi="ar"/>
        </w:rPr>
        <w:t>申报审批流程和资金拨付效率是机构感知最为直接的环节。问卷调查显示，仅30%的养老机构认为申报流程“非常便捷”或“比较便捷”，仅32%认为资金拨付“非常及时”或“比较及时”，负面评价占比接近三成。基层民政部门反映的问题中，61.07%的受访者认为流程复杂、效率有待提高，40.94%反映基层审核压力大，31.54%指出信息共享不畅、审核依赖手工报表，28.19%认为缺乏有效的动态监管手段，仅17.45%表示未遇到明显问题。申报与拨付流程的效率问题已成为政策落地的核心堵点之一，直接影响机构的政策获得感和资金使用效率。</w:t>
      </w:r>
    </w:p>
    <w:p w14:paraId="616AE4EC">
      <w:pPr>
        <w:keepNext w:val="0"/>
        <w:keepLines w:val="0"/>
        <w:pageBreakBefore w:val="0"/>
        <w:widowControl w:val="0"/>
        <w:kinsoku/>
        <w:wordWrap/>
        <w:overflowPunct/>
        <w:topLinePunct w:val="0"/>
        <w:autoSpaceDE/>
        <w:autoSpaceDN/>
        <w:bidi w:val="0"/>
        <w:adjustRightInd/>
        <w:snapToGrid/>
        <w:spacing w:line="590" w:lineRule="exact"/>
        <w:ind w:left="0" w:firstLineChars="200"/>
        <w:jc w:val="both"/>
        <w:textAlignment w:val="auto"/>
        <w:outlineLvl w:val="1"/>
        <w:rPr>
          <w:rFonts w:hint="eastAsia" w:ascii="楷体_GB2312" w:hAnsi="楷体_GB2312" w:eastAsia="楷体_GB2312" w:cs="楷体_GB2312"/>
          <w:color w:val="auto"/>
          <w:spacing w:val="0"/>
          <w:kern w:val="30"/>
          <w:sz w:val="30"/>
          <w:szCs w:val="30"/>
          <w:highlight w:val="none"/>
          <w:lang w:eastAsia="zh-CN" w:bidi="ar"/>
        </w:rPr>
      </w:pPr>
      <w:bookmarkStart w:id="366" w:name="_Toc14342"/>
      <w:bookmarkStart w:id="367" w:name="_Toc12863"/>
      <w:bookmarkStart w:id="368" w:name="_Toc19385"/>
      <w:bookmarkStart w:id="369" w:name="_Toc4646"/>
      <w:bookmarkStart w:id="370" w:name="_Toc28622"/>
      <w:bookmarkStart w:id="371" w:name="_Toc12973"/>
      <w:bookmarkStart w:id="372" w:name="_Toc15155"/>
      <w:bookmarkStart w:id="373" w:name="_Toc16411"/>
      <w:bookmarkStart w:id="374" w:name="_Toc14686"/>
      <w:r>
        <w:rPr>
          <w:rFonts w:hint="eastAsia" w:ascii="楷体_GB2312" w:hAnsi="楷体_GB2312" w:eastAsia="楷体_GB2312" w:cs="楷体_GB2312"/>
          <w:color w:val="auto"/>
          <w:spacing w:val="0"/>
          <w:kern w:val="30"/>
          <w:sz w:val="30"/>
          <w:szCs w:val="30"/>
          <w:highlight w:val="none"/>
          <w:lang w:eastAsia="zh-CN" w:bidi="ar"/>
        </w:rPr>
        <w:t>（三）申报材料与程序类问题</w:t>
      </w:r>
      <w:bookmarkEnd w:id="366"/>
      <w:bookmarkEnd w:id="367"/>
      <w:bookmarkEnd w:id="368"/>
      <w:bookmarkEnd w:id="369"/>
      <w:bookmarkEnd w:id="370"/>
      <w:bookmarkEnd w:id="371"/>
      <w:bookmarkEnd w:id="372"/>
      <w:bookmarkEnd w:id="373"/>
      <w:bookmarkEnd w:id="374"/>
    </w:p>
    <w:p w14:paraId="66E3A9F1">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2"/>
        <w:rPr>
          <w:rFonts w:hint="eastAsia" w:ascii="仿宋_GB2312" w:hAnsi="仿宋_GB2312" w:eastAsia="仿宋_GB2312" w:cs="仿宋_GB2312"/>
          <w:b/>
          <w:bCs/>
          <w:color w:val="auto"/>
          <w:spacing w:val="6"/>
          <w:kern w:val="30"/>
          <w:sz w:val="30"/>
          <w:szCs w:val="30"/>
          <w:highlight w:val="none"/>
          <w:lang w:eastAsia="zh-CN" w:bidi="ar"/>
        </w:rPr>
      </w:pPr>
      <w:bookmarkStart w:id="375" w:name="_Toc11261"/>
      <w:r>
        <w:rPr>
          <w:rFonts w:hint="eastAsia" w:ascii="仿宋_GB2312" w:hAnsi="仿宋_GB2312" w:eastAsia="仿宋_GB2312" w:cs="仿宋_GB2312"/>
          <w:b/>
          <w:bCs/>
          <w:color w:val="auto"/>
          <w:spacing w:val="6"/>
          <w:kern w:val="30"/>
          <w:sz w:val="30"/>
          <w:szCs w:val="30"/>
          <w:highlight w:val="none"/>
          <w:lang w:val="en-US" w:eastAsia="zh-CN" w:bidi="ar"/>
        </w:rPr>
        <w:t>1.部分</w:t>
      </w:r>
      <w:r>
        <w:rPr>
          <w:rFonts w:hint="eastAsia" w:ascii="仿宋_GB2312" w:hAnsi="仿宋_GB2312" w:eastAsia="仿宋_GB2312" w:cs="仿宋_GB2312"/>
          <w:b/>
          <w:bCs/>
          <w:color w:val="auto"/>
          <w:spacing w:val="6"/>
          <w:kern w:val="30"/>
          <w:sz w:val="30"/>
          <w:szCs w:val="30"/>
          <w:highlight w:val="none"/>
          <w:lang w:eastAsia="zh-CN" w:bidi="ar"/>
        </w:rPr>
        <w:t>前置</w:t>
      </w:r>
      <w:r>
        <w:rPr>
          <w:rFonts w:hint="eastAsia" w:ascii="仿宋_GB2312" w:hAnsi="仿宋_GB2312" w:eastAsia="仿宋_GB2312" w:cs="仿宋_GB2312"/>
          <w:b/>
          <w:bCs/>
          <w:color w:val="auto"/>
          <w:spacing w:val="6"/>
          <w:kern w:val="30"/>
          <w:sz w:val="30"/>
          <w:szCs w:val="30"/>
          <w:highlight w:val="none"/>
          <w:lang w:val="en-US" w:eastAsia="zh-CN" w:bidi="ar"/>
        </w:rPr>
        <w:t>资格</w:t>
      </w:r>
      <w:r>
        <w:rPr>
          <w:rFonts w:hint="eastAsia" w:ascii="仿宋_GB2312" w:hAnsi="仿宋_GB2312" w:eastAsia="仿宋_GB2312" w:cs="仿宋_GB2312"/>
          <w:b/>
          <w:bCs/>
          <w:color w:val="auto"/>
          <w:spacing w:val="6"/>
          <w:kern w:val="30"/>
          <w:sz w:val="30"/>
          <w:szCs w:val="30"/>
          <w:highlight w:val="none"/>
          <w:lang w:eastAsia="zh-CN" w:bidi="ar"/>
        </w:rPr>
        <w:t>条件缺乏佐证要求，形成制度性缺口</w:t>
      </w:r>
      <w:bookmarkEnd w:id="375"/>
    </w:p>
    <w:p w14:paraId="019A4A58">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9"/>
        <w:rPr>
          <w:rFonts w:hint="eastAsia" w:ascii="仿宋_GB2312" w:hAnsi="仿宋_GB2312" w:eastAsia="仿宋_GB2312" w:cs="仿宋_GB2312"/>
          <w:color w:val="auto"/>
          <w:spacing w:val="6"/>
          <w:kern w:val="30"/>
          <w:sz w:val="30"/>
          <w:szCs w:val="30"/>
          <w:highlight w:val="none"/>
          <w:lang w:eastAsia="zh-CN" w:bidi="ar"/>
        </w:rPr>
      </w:pPr>
      <w:r>
        <w:rPr>
          <w:rFonts w:hint="eastAsia" w:ascii="仿宋_GB2312" w:hAnsi="仿宋_GB2312" w:eastAsia="仿宋_GB2312" w:cs="仿宋_GB2312"/>
          <w:color w:val="auto"/>
          <w:spacing w:val="6"/>
          <w:kern w:val="30"/>
          <w:sz w:val="30"/>
          <w:szCs w:val="30"/>
          <w:highlight w:val="none"/>
          <w:lang w:eastAsia="zh-CN" w:bidi="ar"/>
        </w:rPr>
        <w:t>《资助办法》第三条第（五）款将“入住老人及亲属满意率达80%以上”列为资助的前置条件；在不予资助的情形中同样明确“管理服务质量差，入住老人及亲属满意率达不到80%”不予资助。但申报材料清单及历年申报通知均未要求提交满意度调查问卷、汇总表等原始佐证资料，属于“有要求、无材料”的制度性缺口。直接后果是：喀什地区喀什市、疏勒县，乌鲁木齐市水磨沟区、沙依巴克区审核</w:t>
      </w:r>
      <w:r>
        <w:rPr>
          <w:rFonts w:hint="eastAsia" w:ascii="仿宋_GB2312" w:hAnsi="仿宋_GB2312" w:eastAsia="仿宋_GB2312" w:cs="仿宋_GB2312"/>
          <w:color w:val="auto"/>
          <w:spacing w:val="6"/>
          <w:kern w:val="30"/>
          <w:sz w:val="30"/>
          <w:szCs w:val="30"/>
          <w:highlight w:val="none"/>
          <w:lang w:val="en-US" w:eastAsia="zh-CN" w:bidi="ar"/>
        </w:rPr>
        <w:t>中实际未要求养老机构针对</w:t>
      </w:r>
      <w:r>
        <w:rPr>
          <w:rFonts w:hint="eastAsia" w:ascii="仿宋_GB2312" w:hAnsi="仿宋_GB2312" w:eastAsia="仿宋_GB2312" w:cs="仿宋_GB2312"/>
          <w:color w:val="auto"/>
          <w:spacing w:val="6"/>
          <w:kern w:val="30"/>
          <w:sz w:val="30"/>
          <w:szCs w:val="30"/>
          <w:highlight w:val="none"/>
          <w:lang w:eastAsia="zh-CN" w:bidi="ar"/>
        </w:rPr>
        <w:t>此项条款</w:t>
      </w:r>
      <w:r>
        <w:rPr>
          <w:rFonts w:hint="eastAsia" w:ascii="仿宋_GB2312" w:hAnsi="仿宋_GB2312" w:eastAsia="仿宋_GB2312" w:cs="仿宋_GB2312"/>
          <w:color w:val="auto"/>
          <w:spacing w:val="6"/>
          <w:kern w:val="30"/>
          <w:sz w:val="30"/>
          <w:szCs w:val="30"/>
          <w:highlight w:val="none"/>
          <w:lang w:val="en-US" w:eastAsia="zh-CN" w:bidi="ar"/>
        </w:rPr>
        <w:t>提供材料以供审查</w:t>
      </w:r>
      <w:r>
        <w:rPr>
          <w:rFonts w:hint="eastAsia" w:ascii="仿宋_GB2312" w:hAnsi="仿宋_GB2312" w:eastAsia="仿宋_GB2312" w:cs="仿宋_GB2312"/>
          <w:color w:val="auto"/>
          <w:spacing w:val="6"/>
          <w:kern w:val="30"/>
          <w:sz w:val="30"/>
          <w:szCs w:val="30"/>
          <w:highlight w:val="none"/>
          <w:lang w:eastAsia="zh-CN" w:bidi="ar"/>
        </w:rPr>
        <w:t>，该</w:t>
      </w:r>
      <w:r>
        <w:rPr>
          <w:rFonts w:hint="eastAsia" w:ascii="仿宋_GB2312" w:hAnsi="仿宋_GB2312" w:eastAsia="仿宋_GB2312" w:cs="仿宋_GB2312"/>
          <w:color w:val="auto"/>
          <w:spacing w:val="6"/>
          <w:kern w:val="30"/>
          <w:sz w:val="30"/>
          <w:szCs w:val="30"/>
          <w:highlight w:val="none"/>
          <w:lang w:val="en-US" w:eastAsia="zh-CN" w:bidi="ar"/>
        </w:rPr>
        <w:t>条款</w:t>
      </w:r>
      <w:r>
        <w:rPr>
          <w:rFonts w:hint="eastAsia" w:ascii="仿宋_GB2312" w:hAnsi="仿宋_GB2312" w:eastAsia="仿宋_GB2312" w:cs="仿宋_GB2312"/>
          <w:color w:val="auto"/>
          <w:spacing w:val="6"/>
          <w:kern w:val="30"/>
          <w:sz w:val="30"/>
          <w:szCs w:val="30"/>
          <w:highlight w:val="none"/>
          <w:lang w:eastAsia="zh-CN" w:bidi="ar"/>
        </w:rPr>
        <w:t>事实上被空置。问卷调查显示入住老人及亲属对养老机构服务的总体满意度高达95%以上，各服务维度满意度均值均超过4.5分（满分5分）。说明机构服务质量本身具备较高的满意度基础，但现行制度设计未能将</w:t>
      </w:r>
      <w:r>
        <w:rPr>
          <w:rFonts w:hint="eastAsia" w:ascii="仿宋_GB2312" w:hAnsi="仿宋_GB2312" w:eastAsia="仿宋_GB2312" w:cs="仿宋_GB2312"/>
          <w:color w:val="auto"/>
          <w:spacing w:val="6"/>
          <w:kern w:val="30"/>
          <w:sz w:val="30"/>
          <w:szCs w:val="30"/>
          <w:highlight w:val="none"/>
          <w:lang w:val="en-US" w:eastAsia="zh-CN" w:bidi="ar"/>
        </w:rPr>
        <w:t>资料要求</w:t>
      </w:r>
      <w:r>
        <w:rPr>
          <w:rFonts w:hint="eastAsia" w:ascii="仿宋_GB2312" w:hAnsi="仿宋_GB2312" w:eastAsia="仿宋_GB2312" w:cs="仿宋_GB2312"/>
          <w:color w:val="auto"/>
          <w:spacing w:val="6"/>
          <w:kern w:val="30"/>
          <w:sz w:val="30"/>
          <w:szCs w:val="30"/>
          <w:highlight w:val="none"/>
          <w:lang w:eastAsia="zh-CN" w:bidi="ar"/>
        </w:rPr>
        <w:t>纳入</w:t>
      </w:r>
      <w:r>
        <w:rPr>
          <w:rFonts w:hint="eastAsia" w:ascii="仿宋_GB2312" w:hAnsi="仿宋_GB2312" w:eastAsia="仿宋_GB2312" w:cs="仿宋_GB2312"/>
          <w:color w:val="auto"/>
          <w:spacing w:val="6"/>
          <w:kern w:val="30"/>
          <w:sz w:val="30"/>
          <w:szCs w:val="30"/>
          <w:highlight w:val="none"/>
          <w:lang w:val="en-US" w:eastAsia="zh-CN" w:bidi="ar"/>
        </w:rPr>
        <w:t>资料清单</w:t>
      </w:r>
      <w:r>
        <w:rPr>
          <w:rFonts w:hint="eastAsia" w:ascii="仿宋_GB2312" w:hAnsi="仿宋_GB2312" w:eastAsia="仿宋_GB2312" w:cs="仿宋_GB2312"/>
          <w:color w:val="auto"/>
          <w:spacing w:val="6"/>
          <w:kern w:val="30"/>
          <w:sz w:val="30"/>
          <w:szCs w:val="30"/>
          <w:highlight w:val="none"/>
          <w:lang w:eastAsia="zh-CN" w:bidi="ar"/>
        </w:rPr>
        <w:t>，使得政策条款与实际监管之间存在断层。</w:t>
      </w:r>
    </w:p>
    <w:p w14:paraId="1649F6C6">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2"/>
        <w:rPr>
          <w:rFonts w:hint="eastAsia" w:ascii="仿宋_GB2312" w:hAnsi="仿宋_GB2312" w:eastAsia="仿宋_GB2312" w:cs="仿宋_GB2312"/>
          <w:b/>
          <w:bCs/>
          <w:color w:val="auto"/>
          <w:spacing w:val="6"/>
          <w:kern w:val="30"/>
          <w:sz w:val="30"/>
          <w:szCs w:val="30"/>
          <w:highlight w:val="none"/>
          <w:lang w:eastAsia="zh-CN" w:bidi="ar"/>
        </w:rPr>
      </w:pPr>
      <w:bookmarkStart w:id="376" w:name="_Toc9473"/>
      <w:r>
        <w:rPr>
          <w:rFonts w:hint="eastAsia" w:ascii="仿宋_GB2312" w:hAnsi="仿宋_GB2312" w:eastAsia="仿宋_GB2312" w:cs="仿宋_GB2312"/>
          <w:b/>
          <w:bCs/>
          <w:color w:val="auto"/>
          <w:spacing w:val="6"/>
          <w:kern w:val="30"/>
          <w:sz w:val="30"/>
          <w:szCs w:val="30"/>
          <w:highlight w:val="none"/>
          <w:lang w:val="en-US" w:eastAsia="zh-CN" w:bidi="ar"/>
        </w:rPr>
        <w:t>2.</w:t>
      </w:r>
      <w:r>
        <w:rPr>
          <w:rFonts w:hint="eastAsia" w:ascii="仿宋_GB2312" w:hAnsi="仿宋_GB2312" w:eastAsia="仿宋_GB2312" w:cs="仿宋_GB2312"/>
          <w:b/>
          <w:bCs/>
          <w:color w:val="auto"/>
          <w:spacing w:val="6"/>
          <w:kern w:val="30"/>
          <w:sz w:val="30"/>
          <w:szCs w:val="30"/>
          <w:highlight w:val="none"/>
          <w:lang w:eastAsia="zh-CN" w:bidi="ar"/>
        </w:rPr>
        <w:t>申报材料要求年度通知与《资助办法》脱节，执行层面无所适从</w:t>
      </w:r>
      <w:bookmarkEnd w:id="376"/>
    </w:p>
    <w:p w14:paraId="1C557058">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9"/>
        <w:rPr>
          <w:rFonts w:hint="eastAsia" w:ascii="仿宋_GB2312" w:hAnsi="仿宋_GB2312" w:eastAsia="仿宋_GB2312" w:cs="仿宋_GB2312"/>
          <w:color w:val="auto"/>
          <w:spacing w:val="6"/>
          <w:kern w:val="30"/>
          <w:sz w:val="30"/>
          <w:szCs w:val="30"/>
          <w:highlight w:val="none"/>
          <w:lang w:eastAsia="zh-CN" w:bidi="ar"/>
        </w:rPr>
      </w:pPr>
      <w:r>
        <w:rPr>
          <w:rFonts w:hint="eastAsia" w:ascii="仿宋_GB2312" w:hAnsi="仿宋_GB2312" w:eastAsia="仿宋_GB2312" w:cs="仿宋_GB2312"/>
          <w:color w:val="auto"/>
          <w:spacing w:val="6"/>
          <w:kern w:val="30"/>
          <w:sz w:val="30"/>
          <w:szCs w:val="30"/>
          <w:highlight w:val="none"/>
          <w:lang w:val="en-US" w:eastAsia="zh-CN" w:bidi="ar"/>
        </w:rPr>
        <w:t>一是申报材料要求年度通知与《资助办法》脱节。</w:t>
      </w:r>
      <w:r>
        <w:rPr>
          <w:rFonts w:hint="eastAsia" w:ascii="仿宋_GB2312" w:hAnsi="仿宋_GB2312" w:eastAsia="仿宋_GB2312" w:cs="仿宋_GB2312"/>
          <w:color w:val="auto"/>
          <w:spacing w:val="6"/>
          <w:kern w:val="30"/>
          <w:sz w:val="30"/>
          <w:szCs w:val="30"/>
          <w:highlight w:val="none"/>
          <w:lang w:eastAsia="zh-CN" w:bidi="ar"/>
        </w:rPr>
        <w:t>《资助办法》作为正式规范性文件，其规定的申报材料要求持续有效，机构申报时仍应按政策要求完整提供。然而，各年度申报通知作为具体执行文件，在细化年度工作要求时未逐项罗列《资助办法》规定的全部材料，导致各地误认为未列明事项不再需要提交，大量申报材料系统性缺失。喀什市仅提交入住名册，未提交月统计表及承诺书等关键材料；乌鲁木齐市水磨沟区、沙依巴克区2020至2023年度未按月提交月统计表，部分机构仅有1至2个月</w:t>
      </w:r>
      <w:r>
        <w:rPr>
          <w:rFonts w:hint="eastAsia" w:ascii="仿宋_GB2312" w:hAnsi="仿宋_GB2312" w:eastAsia="仿宋_GB2312" w:cs="仿宋_GB2312"/>
          <w:color w:val="auto"/>
          <w:spacing w:val="6"/>
          <w:kern w:val="30"/>
          <w:sz w:val="30"/>
          <w:szCs w:val="30"/>
          <w:highlight w:val="none"/>
          <w:lang w:val="en-US" w:eastAsia="zh-CN" w:bidi="ar"/>
        </w:rPr>
        <w:t>的统计表</w:t>
      </w:r>
      <w:r>
        <w:rPr>
          <w:rFonts w:hint="eastAsia" w:ascii="仿宋_GB2312" w:hAnsi="仿宋_GB2312" w:eastAsia="仿宋_GB2312" w:cs="仿宋_GB2312"/>
          <w:color w:val="auto"/>
          <w:spacing w:val="6"/>
          <w:kern w:val="30"/>
          <w:sz w:val="30"/>
          <w:szCs w:val="30"/>
          <w:highlight w:val="none"/>
          <w:lang w:eastAsia="zh-CN" w:bidi="ar"/>
        </w:rPr>
        <w:t>。</w:t>
      </w:r>
      <w:r>
        <w:rPr>
          <w:rFonts w:hint="eastAsia" w:ascii="仿宋_GB2312" w:hAnsi="仿宋_GB2312" w:eastAsia="仿宋_GB2312" w:cs="仿宋_GB2312"/>
          <w:color w:val="auto"/>
          <w:spacing w:val="6"/>
          <w:kern w:val="30"/>
          <w:sz w:val="30"/>
          <w:szCs w:val="30"/>
          <w:highlight w:val="none"/>
          <w:lang w:val="en-US" w:eastAsia="zh-CN" w:bidi="ar"/>
        </w:rPr>
        <w:t>二是</w:t>
      </w:r>
      <w:r>
        <w:rPr>
          <w:rFonts w:hint="eastAsia" w:ascii="仿宋_GB2312" w:hAnsi="仿宋_GB2312" w:eastAsia="仿宋_GB2312" w:cs="仿宋_GB2312"/>
          <w:color w:val="auto"/>
          <w:spacing w:val="6"/>
          <w:kern w:val="30"/>
          <w:sz w:val="30"/>
          <w:szCs w:val="30"/>
          <w:highlight w:val="none"/>
          <w:lang w:eastAsia="zh-CN" w:bidi="ar"/>
        </w:rPr>
        <w:t>申请材料及时归档备查</w:t>
      </w:r>
      <w:r>
        <w:rPr>
          <w:rFonts w:hint="eastAsia" w:ascii="仿宋_GB2312" w:hAnsi="仿宋_GB2312" w:eastAsia="仿宋_GB2312" w:cs="仿宋_GB2312"/>
          <w:color w:val="auto"/>
          <w:spacing w:val="6"/>
          <w:kern w:val="30"/>
          <w:sz w:val="30"/>
          <w:szCs w:val="30"/>
          <w:highlight w:val="none"/>
          <w:lang w:val="en-US" w:eastAsia="zh-CN" w:bidi="ar"/>
        </w:rPr>
        <w:t>要求执行不严。如喀什地区</w:t>
      </w:r>
      <w:r>
        <w:rPr>
          <w:rFonts w:hint="eastAsia" w:ascii="仿宋_GB2312" w:hAnsi="仿宋_GB2312" w:eastAsia="仿宋_GB2312" w:cs="仿宋_GB2312"/>
          <w:color w:val="auto"/>
          <w:spacing w:val="6"/>
          <w:kern w:val="30"/>
          <w:sz w:val="30"/>
          <w:szCs w:val="30"/>
          <w:highlight w:val="none"/>
          <w:lang w:eastAsia="zh-CN" w:bidi="ar"/>
        </w:rPr>
        <w:t>疏勒县部分年度申报资料</w:t>
      </w:r>
      <w:r>
        <w:rPr>
          <w:rFonts w:hint="eastAsia" w:ascii="仿宋_GB2312" w:hAnsi="仿宋_GB2312" w:eastAsia="仿宋_GB2312" w:cs="仿宋_GB2312"/>
          <w:color w:val="auto"/>
          <w:spacing w:val="6"/>
          <w:kern w:val="30"/>
          <w:sz w:val="30"/>
          <w:szCs w:val="30"/>
          <w:highlight w:val="none"/>
          <w:lang w:val="en-US" w:eastAsia="zh-CN" w:bidi="ar"/>
        </w:rPr>
        <w:t>在</w:t>
      </w:r>
      <w:r>
        <w:rPr>
          <w:rFonts w:hint="eastAsia" w:ascii="仿宋_GB2312" w:hAnsi="仿宋_GB2312" w:eastAsia="仿宋_GB2312" w:cs="仿宋_GB2312"/>
          <w:color w:val="auto"/>
          <w:spacing w:val="6"/>
          <w:kern w:val="30"/>
          <w:sz w:val="30"/>
          <w:szCs w:val="30"/>
          <w:highlight w:val="none"/>
          <w:lang w:eastAsia="zh-CN" w:bidi="ar"/>
        </w:rPr>
        <w:t>现场</w:t>
      </w:r>
      <w:r>
        <w:rPr>
          <w:rFonts w:hint="eastAsia" w:ascii="仿宋_GB2312" w:hAnsi="仿宋_GB2312" w:eastAsia="仿宋_GB2312" w:cs="仿宋_GB2312"/>
          <w:color w:val="auto"/>
          <w:spacing w:val="6"/>
          <w:kern w:val="30"/>
          <w:sz w:val="30"/>
          <w:szCs w:val="30"/>
          <w:highlight w:val="none"/>
          <w:lang w:val="en-US" w:eastAsia="zh-CN" w:bidi="ar"/>
        </w:rPr>
        <w:t>评估时已缺失</w:t>
      </w:r>
      <w:r>
        <w:rPr>
          <w:rFonts w:hint="eastAsia" w:ascii="仿宋_GB2312" w:hAnsi="仿宋_GB2312" w:eastAsia="仿宋_GB2312" w:cs="仿宋_GB2312"/>
          <w:color w:val="auto"/>
          <w:spacing w:val="6"/>
          <w:kern w:val="30"/>
          <w:sz w:val="30"/>
          <w:szCs w:val="30"/>
          <w:highlight w:val="none"/>
          <w:lang w:eastAsia="zh-CN" w:bidi="ar"/>
        </w:rPr>
        <w:t>。</w:t>
      </w:r>
      <w:r>
        <w:rPr>
          <w:rFonts w:hint="eastAsia" w:ascii="仿宋_GB2312" w:hAnsi="仿宋_GB2312" w:eastAsia="仿宋_GB2312" w:cs="仿宋_GB2312"/>
          <w:color w:val="auto"/>
          <w:spacing w:val="6"/>
          <w:kern w:val="30"/>
          <w:sz w:val="30"/>
          <w:szCs w:val="30"/>
          <w:highlight w:val="none"/>
          <w:lang w:val="en-US" w:eastAsia="zh-CN" w:bidi="ar"/>
        </w:rPr>
        <w:t>三是</w:t>
      </w:r>
      <w:r>
        <w:rPr>
          <w:rFonts w:hint="eastAsia" w:ascii="仿宋_GB2312" w:hAnsi="仿宋_GB2312" w:eastAsia="仿宋_GB2312" w:cs="仿宋_GB2312"/>
          <w:color w:val="auto"/>
          <w:spacing w:val="6"/>
          <w:kern w:val="30"/>
          <w:sz w:val="30"/>
          <w:szCs w:val="30"/>
          <w:highlight w:val="none"/>
          <w:lang w:eastAsia="zh-CN" w:bidi="ar"/>
        </w:rPr>
        <w:t>制度更新在基层落地存在滞后。年度通知已将资质材料要求调整为备案制，但和硕县2024年、伊宁市2023年的办事指南仍沿用已废止的《社会福利机构设置批准证书》。</w:t>
      </w:r>
      <w:r>
        <w:rPr>
          <w:rFonts w:hint="eastAsia" w:ascii="仿宋_GB2312" w:hAnsi="仿宋_GB2312" w:eastAsia="仿宋_GB2312" w:cs="仿宋_GB2312"/>
          <w:color w:val="auto"/>
          <w:spacing w:val="6"/>
          <w:kern w:val="30"/>
          <w:sz w:val="30"/>
          <w:szCs w:val="30"/>
          <w:highlight w:val="none"/>
          <w:lang w:val="en-US" w:eastAsia="zh-CN" w:bidi="ar"/>
        </w:rPr>
        <w:t>根据</w:t>
      </w:r>
      <w:r>
        <w:rPr>
          <w:rFonts w:hint="eastAsia" w:ascii="仿宋_GB2312" w:hAnsi="仿宋_GB2312" w:eastAsia="仿宋_GB2312" w:cs="仿宋_GB2312"/>
          <w:color w:val="auto"/>
          <w:spacing w:val="6"/>
          <w:kern w:val="30"/>
          <w:sz w:val="30"/>
          <w:szCs w:val="30"/>
          <w:highlight w:val="none"/>
          <w:lang w:eastAsia="zh-CN" w:bidi="ar"/>
        </w:rPr>
        <w:t>问卷调查显示，未获得资助的机构中，“不了解政策、不清楚如何申报”是仅次于入住率未达标的核心原因，说明政策信息传递存在明显的“最后一公里”梗阻，47.4</w:t>
      </w:r>
      <w:r>
        <w:rPr>
          <w:rFonts w:hint="eastAsia" w:ascii="仿宋_GB2312" w:hAnsi="仿宋_GB2312" w:eastAsia="仿宋_GB2312" w:cs="仿宋_GB2312"/>
          <w:color w:val="auto"/>
          <w:spacing w:val="6"/>
          <w:kern w:val="30"/>
          <w:sz w:val="30"/>
          <w:szCs w:val="30"/>
          <w:highlight w:val="none"/>
          <w:lang w:val="en-US" w:eastAsia="zh-CN" w:bidi="ar"/>
        </w:rPr>
        <w:t>0</w:t>
      </w:r>
      <w:r>
        <w:rPr>
          <w:rFonts w:hint="eastAsia" w:ascii="仿宋_GB2312" w:hAnsi="仿宋_GB2312" w:eastAsia="仿宋_GB2312" w:cs="仿宋_GB2312"/>
          <w:color w:val="auto"/>
          <w:spacing w:val="6"/>
          <w:kern w:val="30"/>
          <w:sz w:val="30"/>
          <w:szCs w:val="30"/>
          <w:highlight w:val="none"/>
          <w:lang w:eastAsia="zh-CN" w:bidi="ar"/>
        </w:rPr>
        <w:t>%的机构建议加强政策宣传和申报辅导，进一步印证了这一判断。</w:t>
      </w:r>
    </w:p>
    <w:p w14:paraId="3286F26C">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2"/>
        <w:rPr>
          <w:rFonts w:hint="eastAsia" w:ascii="仿宋_GB2312" w:hAnsi="仿宋_GB2312" w:eastAsia="仿宋_GB2312" w:cs="仿宋_GB2312"/>
          <w:b/>
          <w:bCs/>
          <w:color w:val="auto"/>
          <w:spacing w:val="6"/>
          <w:kern w:val="30"/>
          <w:sz w:val="30"/>
          <w:szCs w:val="30"/>
          <w:highlight w:val="none"/>
          <w:lang w:val="en-US" w:eastAsia="zh-CN" w:bidi="ar"/>
        </w:rPr>
      </w:pPr>
      <w:bookmarkStart w:id="377" w:name="_Toc3307"/>
      <w:r>
        <w:rPr>
          <w:rFonts w:hint="eastAsia" w:ascii="仿宋_GB2312" w:hAnsi="仿宋_GB2312" w:eastAsia="仿宋_GB2312" w:cs="仿宋_GB2312"/>
          <w:b/>
          <w:bCs/>
          <w:color w:val="auto"/>
          <w:spacing w:val="6"/>
          <w:kern w:val="30"/>
          <w:sz w:val="30"/>
          <w:szCs w:val="30"/>
          <w:highlight w:val="none"/>
          <w:lang w:val="en-US" w:eastAsia="zh-CN" w:bidi="ar"/>
        </w:rPr>
        <w:t>3.</w:t>
      </w:r>
      <w:r>
        <w:rPr>
          <w:rFonts w:hint="eastAsia" w:ascii="仿宋_GB2312" w:hAnsi="仿宋_GB2312" w:eastAsia="仿宋_GB2312" w:cs="仿宋_GB2312"/>
          <w:b/>
          <w:bCs/>
          <w:color w:val="auto"/>
          <w:spacing w:val="6"/>
          <w:kern w:val="30"/>
          <w:sz w:val="30"/>
          <w:szCs w:val="30"/>
          <w:highlight w:val="none"/>
          <w:lang w:eastAsia="zh-CN" w:bidi="ar"/>
        </w:rPr>
        <w:t>申报预测尺度约束</w:t>
      </w:r>
      <w:r>
        <w:rPr>
          <w:rFonts w:hint="eastAsia" w:ascii="仿宋_GB2312" w:hAnsi="仿宋_GB2312" w:eastAsia="仿宋_GB2312" w:cs="仿宋_GB2312"/>
          <w:b/>
          <w:bCs/>
          <w:color w:val="auto"/>
          <w:spacing w:val="6"/>
          <w:kern w:val="30"/>
          <w:sz w:val="30"/>
          <w:szCs w:val="30"/>
          <w:highlight w:val="none"/>
          <w:lang w:val="en-US" w:eastAsia="zh-CN" w:bidi="ar"/>
        </w:rPr>
        <w:t>不强</w:t>
      </w:r>
      <w:r>
        <w:rPr>
          <w:rFonts w:hint="eastAsia" w:ascii="仿宋_GB2312" w:hAnsi="仿宋_GB2312" w:eastAsia="仿宋_GB2312" w:cs="仿宋_GB2312"/>
          <w:b/>
          <w:bCs/>
          <w:color w:val="auto"/>
          <w:spacing w:val="6"/>
          <w:kern w:val="30"/>
          <w:sz w:val="30"/>
          <w:szCs w:val="30"/>
          <w:highlight w:val="none"/>
          <w:lang w:eastAsia="zh-CN" w:bidi="ar"/>
        </w:rPr>
        <w:t>，部分机构预估与实际情况偏离</w:t>
      </w:r>
      <w:r>
        <w:rPr>
          <w:rFonts w:hint="eastAsia" w:ascii="仿宋_GB2312" w:hAnsi="仿宋_GB2312" w:eastAsia="仿宋_GB2312" w:cs="仿宋_GB2312"/>
          <w:b/>
          <w:bCs/>
          <w:color w:val="auto"/>
          <w:spacing w:val="6"/>
          <w:kern w:val="30"/>
          <w:sz w:val="30"/>
          <w:szCs w:val="30"/>
          <w:highlight w:val="none"/>
          <w:lang w:val="en-US" w:eastAsia="zh-CN" w:bidi="ar"/>
        </w:rPr>
        <w:t>较大</w:t>
      </w:r>
      <w:bookmarkEnd w:id="377"/>
    </w:p>
    <w:p w14:paraId="0AC03150">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9"/>
        <w:rPr>
          <w:rFonts w:hint="eastAsia" w:ascii="仿宋_GB2312" w:hAnsi="仿宋_GB2312" w:eastAsia="仿宋_GB2312" w:cs="仿宋_GB2312"/>
          <w:color w:val="auto"/>
          <w:spacing w:val="6"/>
          <w:kern w:val="30"/>
          <w:sz w:val="30"/>
          <w:szCs w:val="30"/>
          <w:highlight w:val="none"/>
          <w:lang w:eastAsia="zh-CN" w:bidi="ar"/>
        </w:rPr>
      </w:pPr>
      <w:r>
        <w:rPr>
          <w:rFonts w:hint="eastAsia" w:ascii="仿宋_GB2312" w:hAnsi="仿宋_GB2312" w:eastAsia="仿宋_GB2312" w:cs="仿宋_GB2312"/>
          <w:color w:val="auto"/>
          <w:spacing w:val="6"/>
          <w:kern w:val="30"/>
          <w:sz w:val="30"/>
          <w:szCs w:val="30"/>
          <w:highlight w:val="none"/>
          <w:lang w:eastAsia="zh-CN" w:bidi="ar"/>
        </w:rPr>
        <w:t>根据自治区民政厅发布的各年度补贴申报工作通知，其中附件《民办养老机构工作报告书》模板对预测部分有相应安排。但实际执行中，预测环节存在以下问题：</w:t>
      </w:r>
    </w:p>
    <w:p w14:paraId="6A31E0CB">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9"/>
        <w:rPr>
          <w:rFonts w:hint="eastAsia" w:ascii="仿宋_GB2312" w:hAnsi="仿宋_GB2312" w:eastAsia="仿宋_GB2312" w:cs="仿宋_GB2312"/>
          <w:color w:val="auto"/>
          <w:spacing w:val="6"/>
          <w:kern w:val="30"/>
          <w:sz w:val="30"/>
          <w:szCs w:val="30"/>
          <w:highlight w:val="none"/>
          <w:lang w:eastAsia="zh-CN" w:bidi="ar"/>
        </w:rPr>
      </w:pPr>
      <w:r>
        <w:rPr>
          <w:rFonts w:hint="eastAsia" w:ascii="仿宋_GB2312" w:hAnsi="仿宋_GB2312" w:eastAsia="仿宋_GB2312" w:cs="仿宋_GB2312"/>
          <w:color w:val="auto"/>
          <w:spacing w:val="6"/>
          <w:kern w:val="30"/>
          <w:sz w:val="30"/>
          <w:szCs w:val="30"/>
          <w:highlight w:val="none"/>
          <w:lang w:eastAsia="zh-CN" w:bidi="ar"/>
        </w:rPr>
        <w:t>一是</w:t>
      </w:r>
      <w:r>
        <w:rPr>
          <w:rFonts w:hint="eastAsia" w:ascii="仿宋_GB2312" w:hAnsi="仿宋_GB2312" w:eastAsia="仿宋_GB2312" w:cs="仿宋_GB2312"/>
          <w:color w:val="auto"/>
          <w:spacing w:val="6"/>
          <w:kern w:val="30"/>
          <w:sz w:val="30"/>
          <w:szCs w:val="30"/>
          <w:highlight w:val="none"/>
          <w:lang w:val="en-US" w:eastAsia="zh-CN" w:bidi="ar"/>
        </w:rPr>
        <w:t>部分年度</w:t>
      </w:r>
      <w:r>
        <w:rPr>
          <w:rFonts w:hint="eastAsia" w:ascii="仿宋_GB2312" w:hAnsi="仿宋_GB2312" w:eastAsia="仿宋_GB2312" w:cs="仿宋_GB2312"/>
          <w:color w:val="auto"/>
          <w:spacing w:val="6"/>
          <w:kern w:val="30"/>
          <w:sz w:val="30"/>
          <w:szCs w:val="30"/>
          <w:highlight w:val="none"/>
          <w:lang w:eastAsia="zh-CN" w:bidi="ar"/>
        </w:rPr>
        <w:t>预测月份范围与申报时间错位。以《关于开展2020年度民办非营利养老机构补贴申报工作的通知》中附件《民办养老机构工作报告书（2020年度）》模板为例，模板中标注可预估入住人数的月份为10至12月。但各地实际申报工作普遍于8至9月启动，导致8至12月均需进行预估，预估月份范围明显超出模板设定，模板设计与实际执行脱节，此后年度已结合申报工作实际调整为8—12月均可预估。</w:t>
      </w:r>
    </w:p>
    <w:p w14:paraId="1D74ABB3">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9"/>
        <w:rPr>
          <w:rFonts w:hint="eastAsia" w:ascii="仿宋_GB2312" w:hAnsi="仿宋_GB2312" w:eastAsia="仿宋_GB2312" w:cs="仿宋_GB2312"/>
          <w:color w:val="auto"/>
          <w:spacing w:val="6"/>
          <w:kern w:val="30"/>
          <w:sz w:val="30"/>
          <w:szCs w:val="30"/>
          <w:highlight w:val="none"/>
          <w:lang w:val="en-US" w:eastAsia="zh-CN" w:bidi="ar"/>
        </w:rPr>
      </w:pPr>
      <w:r>
        <w:rPr>
          <w:rFonts w:hint="eastAsia" w:ascii="仿宋_GB2312" w:hAnsi="仿宋_GB2312" w:eastAsia="仿宋_GB2312" w:cs="仿宋_GB2312"/>
          <w:color w:val="auto"/>
          <w:spacing w:val="6"/>
          <w:kern w:val="30"/>
          <w:sz w:val="30"/>
          <w:szCs w:val="30"/>
          <w:highlight w:val="none"/>
          <w:lang w:eastAsia="zh-CN" w:bidi="ar"/>
        </w:rPr>
        <w:t>二是预测方式缺乏统一规则。模板要求以已确定月份入住人数的平均值测算预估月份人数，但各地执行中出现了多种不同方式，部分机构的预估方法明显偏离实际趋势。具体如下</w:t>
      </w:r>
      <w:r>
        <w:rPr>
          <w:rFonts w:hint="eastAsia" w:ascii="仿宋_GB2312" w:hAnsi="仿宋_GB2312" w:eastAsia="仿宋_GB2312" w:cs="仿宋_GB2312"/>
          <w:color w:val="auto"/>
          <w:spacing w:val="6"/>
          <w:kern w:val="30"/>
          <w:sz w:val="30"/>
          <w:szCs w:val="30"/>
          <w:highlight w:val="none"/>
          <w:lang w:val="en-US" w:eastAsia="zh-CN" w:bidi="ar"/>
        </w:rPr>
        <w:t>表所示。</w:t>
      </w:r>
    </w:p>
    <w:p w14:paraId="43C3C147">
      <w:pPr>
        <w:keepNext w:val="0"/>
        <w:keepLines w:val="0"/>
        <w:pageBreakBefore w:val="0"/>
        <w:widowControl/>
        <w:numPr>
          <w:ilvl w:val="-1"/>
          <w:numId w:val="0"/>
        </w:numPr>
        <w:kinsoku/>
        <w:wordWrap/>
        <w:overflowPunct/>
        <w:topLinePunct w:val="0"/>
        <w:autoSpaceDE/>
        <w:autoSpaceDN/>
        <w:bidi w:val="0"/>
        <w:adjustRightInd w:val="0"/>
        <w:snapToGrid w:val="0"/>
        <w:spacing w:line="240" w:lineRule="auto"/>
        <w:ind w:left="0" w:firstLine="0" w:firstLineChars="0"/>
        <w:jc w:val="center"/>
        <w:textAlignment w:val="auto"/>
        <w:outlineLvl w:val="9"/>
        <w:rPr>
          <w:rFonts w:hint="eastAsia" w:ascii="黑体" w:hAnsi="黑体" w:eastAsia="黑体" w:cs="黑体"/>
          <w:color w:val="auto"/>
          <w:spacing w:val="6"/>
          <w:kern w:val="30"/>
          <w:sz w:val="24"/>
          <w:szCs w:val="21"/>
          <w:highlight w:val="none"/>
          <w:lang w:val="en-US" w:eastAsia="zh-CN" w:bidi="ar"/>
        </w:rPr>
      </w:pPr>
      <w:r>
        <w:rPr>
          <w:rFonts w:hint="eastAsia" w:ascii="黑体" w:hAnsi="黑体" w:eastAsia="黑体" w:cs="黑体"/>
          <w:color w:val="auto"/>
          <w:spacing w:val="6"/>
          <w:kern w:val="30"/>
          <w:sz w:val="24"/>
          <w:szCs w:val="21"/>
          <w:highlight w:val="none"/>
          <w:lang w:val="en-US" w:eastAsia="zh-CN" w:bidi="ar"/>
        </w:rPr>
        <w:t>其余预估方式统计表</w:t>
      </w:r>
    </w:p>
    <w:tbl>
      <w:tblPr>
        <w:tblStyle w:val="18"/>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6"/>
        <w:gridCol w:w="1825"/>
        <w:gridCol w:w="5965"/>
      </w:tblGrid>
      <w:tr w14:paraId="3AD41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blHeader/>
        </w:trPr>
        <w:tc>
          <w:tcPr>
            <w:tcW w:w="6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05A4C7">
            <w:pPr>
              <w:keepNext w:val="0"/>
              <w:keepLines w:val="0"/>
              <w:widowControl w:val="0"/>
              <w:suppressLineNumbers w:val="0"/>
              <w:adjustRightInd w:val="0"/>
              <w:snapToGrid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地区</w:t>
            </w:r>
          </w:p>
        </w:tc>
        <w:tc>
          <w:tcPr>
            <w:tcW w:w="10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738DD0">
            <w:pPr>
              <w:keepNext w:val="0"/>
              <w:keepLines w:val="0"/>
              <w:widowControl w:val="0"/>
              <w:suppressLineNumbers w:val="0"/>
              <w:adjustRightInd w:val="0"/>
              <w:snapToGrid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预估方式</w:t>
            </w:r>
          </w:p>
        </w:tc>
        <w:tc>
          <w:tcPr>
            <w:tcW w:w="32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6C3D7F">
            <w:pPr>
              <w:keepNext w:val="0"/>
              <w:keepLines w:val="0"/>
              <w:widowControl w:val="0"/>
              <w:suppressLineNumbers w:val="0"/>
              <w:adjustRightInd w:val="0"/>
              <w:snapToGrid w:val="0"/>
              <w:jc w:val="center"/>
              <w:textAlignment w:val="center"/>
              <w:rPr>
                <w:rFonts w:hint="default" w:ascii="仿宋" w:hAnsi="仿宋" w:eastAsia="仿宋" w:cs="仿宋"/>
                <w:b/>
                <w:bCs/>
                <w:i w:val="0"/>
                <w:iCs w:val="0"/>
                <w:color w:val="auto"/>
                <w:sz w:val="21"/>
                <w:szCs w:val="21"/>
                <w:highlight w:val="none"/>
                <w:u w:val="none"/>
                <w:lang w:val="en-US"/>
              </w:rPr>
            </w:pPr>
            <w:r>
              <w:rPr>
                <w:rFonts w:hint="eastAsia" w:hAnsi="仿宋" w:cs="仿宋"/>
                <w:b/>
                <w:bCs/>
                <w:i w:val="0"/>
                <w:iCs w:val="0"/>
                <w:color w:val="auto"/>
                <w:kern w:val="0"/>
                <w:sz w:val="21"/>
                <w:szCs w:val="21"/>
                <w:highlight w:val="none"/>
                <w:u w:val="none"/>
                <w:lang w:val="en-US" w:eastAsia="zh-CN" w:bidi="ar"/>
              </w:rPr>
              <w:t>具体情况</w:t>
            </w:r>
          </w:p>
        </w:tc>
      </w:tr>
      <w:tr w14:paraId="4B55F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083D1A">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乌鲁木齐市沙区惠民寿康老年公寓</w:t>
            </w:r>
          </w:p>
        </w:tc>
        <w:tc>
          <w:tcPr>
            <w:tcW w:w="10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6D4275">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无明显规律</w:t>
            </w:r>
          </w:p>
        </w:tc>
        <w:tc>
          <w:tcPr>
            <w:tcW w:w="32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49C0D3">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2020年度1至8月实际入住人数呈明显下降趋势，但预估补贴人次明显高于平均数，且无明显规律可循</w:t>
            </w:r>
          </w:p>
        </w:tc>
      </w:tr>
      <w:tr w14:paraId="6A424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475548">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乌鲁木齐市康惠老年公寓</w:t>
            </w:r>
          </w:p>
        </w:tc>
        <w:tc>
          <w:tcPr>
            <w:tcW w:w="10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0E5284">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无明显规律</w:t>
            </w:r>
          </w:p>
        </w:tc>
        <w:tc>
          <w:tcPr>
            <w:tcW w:w="32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80919A">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2020年度1至8月实际入住人数呈明显下降趋势，但预估补贴人次明显高于平均数，且无明显规律可循</w:t>
            </w:r>
          </w:p>
        </w:tc>
      </w:tr>
      <w:tr w14:paraId="793FD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5FFE83">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哈密市伊州区老年康复中心</w:t>
            </w:r>
          </w:p>
        </w:tc>
        <w:tc>
          <w:tcPr>
            <w:tcW w:w="10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C0239C">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按最后一个月实际入住人数预估</w:t>
            </w:r>
          </w:p>
        </w:tc>
        <w:tc>
          <w:tcPr>
            <w:tcW w:w="32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1C7841">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机构全年入住人数呈下降趋势，该预估方式下预测值低于平均值，较为保守</w:t>
            </w:r>
          </w:p>
        </w:tc>
      </w:tr>
      <w:tr w14:paraId="3CB91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6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1F66BB">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哈密市宝石花吐哈医院</w:t>
            </w:r>
          </w:p>
        </w:tc>
        <w:tc>
          <w:tcPr>
            <w:tcW w:w="10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DB0699">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按实际情况灵活预估</w:t>
            </w:r>
          </w:p>
        </w:tc>
        <w:tc>
          <w:tcPr>
            <w:tcW w:w="32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76997B">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2022年度预估低于平均值，2023年度预估高于平均值；2023年度核准后实发自治区资金2.35万元、市本级资金2.505万元，自治区预拨资金小于实际需补贴资金</w:t>
            </w:r>
          </w:p>
        </w:tc>
      </w:tr>
      <w:tr w14:paraId="56092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9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416B1B">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喀什地区喀什市亲情缘养老机构</w:t>
            </w:r>
          </w:p>
        </w:tc>
        <w:tc>
          <w:tcPr>
            <w:tcW w:w="1007"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1BCCE8">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无明显规律</w:t>
            </w:r>
          </w:p>
        </w:tc>
        <w:tc>
          <w:tcPr>
            <w:tcW w:w="329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D2D3B2">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预估波动无规律可循</w:t>
            </w:r>
          </w:p>
        </w:tc>
      </w:tr>
    </w:tbl>
    <w:p w14:paraId="24DD56D9">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9"/>
        <w:rPr>
          <w:rFonts w:hint="eastAsia" w:ascii="仿宋_GB2312" w:hAnsi="仿宋_GB2312" w:eastAsia="仿宋_GB2312" w:cs="仿宋_GB2312"/>
          <w:color w:val="auto"/>
          <w:spacing w:val="6"/>
          <w:kern w:val="30"/>
          <w:sz w:val="30"/>
          <w:szCs w:val="30"/>
          <w:highlight w:val="none"/>
          <w:lang w:eastAsia="zh-CN" w:bidi="ar"/>
        </w:rPr>
      </w:pPr>
      <w:r>
        <w:rPr>
          <w:rFonts w:hint="eastAsia" w:ascii="仿宋_GB2312" w:hAnsi="仿宋_GB2312" w:eastAsia="仿宋_GB2312" w:cs="仿宋_GB2312"/>
          <w:color w:val="auto"/>
          <w:spacing w:val="6"/>
          <w:kern w:val="30"/>
          <w:sz w:val="30"/>
          <w:szCs w:val="30"/>
          <w:highlight w:val="none"/>
          <w:lang w:val="en-US" w:eastAsia="zh-CN" w:bidi="ar"/>
        </w:rPr>
        <w:t>若补贴年度结束后能严格按照实际服务量进行据实清算，对预拨资金多退少补，则预测偏高的机构最终仍需退回多拨资金，预测偏低者亦可获得补足。清算机制的缺失，使得预测环节的偏差无法在事后得到校正，客观上形成了“预测越高、预拨越多、多占资金无需承担后果”的现象，削弱了补贴资金分配的准确性和公平性。</w:t>
      </w:r>
    </w:p>
    <w:p w14:paraId="5DE9A359">
      <w:pPr>
        <w:keepNext w:val="0"/>
        <w:keepLines w:val="0"/>
        <w:pageBreakBefore w:val="0"/>
        <w:widowControl w:val="0"/>
        <w:kinsoku/>
        <w:wordWrap/>
        <w:overflowPunct/>
        <w:topLinePunct w:val="0"/>
        <w:autoSpaceDE/>
        <w:autoSpaceDN/>
        <w:bidi w:val="0"/>
        <w:adjustRightInd/>
        <w:snapToGrid/>
        <w:spacing w:line="590" w:lineRule="exact"/>
        <w:ind w:left="0" w:firstLineChars="200"/>
        <w:jc w:val="both"/>
        <w:textAlignment w:val="auto"/>
        <w:outlineLvl w:val="1"/>
        <w:rPr>
          <w:rFonts w:hint="eastAsia" w:ascii="楷体_GB2312" w:hAnsi="楷体_GB2312" w:eastAsia="楷体_GB2312" w:cs="楷体_GB2312"/>
          <w:color w:val="auto"/>
          <w:spacing w:val="0"/>
          <w:kern w:val="30"/>
          <w:sz w:val="30"/>
          <w:szCs w:val="30"/>
          <w:highlight w:val="none"/>
          <w:lang w:eastAsia="zh-CN" w:bidi="ar"/>
        </w:rPr>
      </w:pPr>
      <w:bookmarkStart w:id="378" w:name="_Toc4009"/>
      <w:bookmarkStart w:id="379" w:name="_Toc31764"/>
      <w:bookmarkStart w:id="380" w:name="_Toc21446"/>
      <w:bookmarkStart w:id="381" w:name="_Toc14579"/>
      <w:bookmarkStart w:id="382" w:name="_Toc3902"/>
      <w:bookmarkStart w:id="383" w:name="_Toc19701"/>
      <w:bookmarkStart w:id="384" w:name="_Toc30091"/>
      <w:bookmarkStart w:id="385" w:name="_Toc27600"/>
      <w:bookmarkStart w:id="386" w:name="_Toc10043"/>
      <w:r>
        <w:rPr>
          <w:rFonts w:hint="eastAsia" w:ascii="楷体_GB2312" w:hAnsi="楷体_GB2312" w:eastAsia="楷体_GB2312" w:cs="楷体_GB2312"/>
          <w:color w:val="auto"/>
          <w:spacing w:val="0"/>
          <w:kern w:val="30"/>
          <w:sz w:val="30"/>
          <w:szCs w:val="30"/>
          <w:highlight w:val="none"/>
          <w:lang w:eastAsia="zh-CN" w:bidi="ar"/>
        </w:rPr>
        <w:t>（四）政策设计与概念界定类问题</w:t>
      </w:r>
      <w:bookmarkEnd w:id="378"/>
      <w:bookmarkEnd w:id="379"/>
      <w:bookmarkEnd w:id="380"/>
      <w:bookmarkEnd w:id="381"/>
      <w:bookmarkEnd w:id="382"/>
      <w:bookmarkEnd w:id="383"/>
      <w:bookmarkEnd w:id="384"/>
      <w:bookmarkEnd w:id="385"/>
      <w:bookmarkEnd w:id="386"/>
    </w:p>
    <w:p w14:paraId="7D86FFFC">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2"/>
        <w:rPr>
          <w:rFonts w:hint="eastAsia" w:ascii="仿宋_GB2312" w:hAnsi="仿宋_GB2312" w:eastAsia="仿宋_GB2312" w:cs="仿宋_GB2312"/>
          <w:b/>
          <w:bCs/>
          <w:color w:val="auto"/>
          <w:spacing w:val="6"/>
          <w:kern w:val="30"/>
          <w:sz w:val="30"/>
          <w:szCs w:val="30"/>
          <w:highlight w:val="none"/>
          <w:lang w:eastAsia="zh-CN" w:bidi="ar"/>
        </w:rPr>
      </w:pPr>
      <w:bookmarkStart w:id="387" w:name="_Toc16722"/>
      <w:r>
        <w:rPr>
          <w:rFonts w:hint="eastAsia" w:ascii="仿宋_GB2312" w:hAnsi="仿宋_GB2312" w:eastAsia="仿宋_GB2312" w:cs="仿宋_GB2312"/>
          <w:b/>
          <w:bCs/>
          <w:color w:val="auto"/>
          <w:spacing w:val="6"/>
          <w:kern w:val="30"/>
          <w:sz w:val="30"/>
          <w:szCs w:val="30"/>
          <w:highlight w:val="none"/>
          <w:lang w:val="en-US" w:eastAsia="zh-CN" w:bidi="ar"/>
        </w:rPr>
        <w:t>1.</w:t>
      </w:r>
      <w:r>
        <w:rPr>
          <w:rFonts w:hint="eastAsia" w:ascii="仿宋_GB2312" w:hAnsi="仿宋_GB2312" w:eastAsia="仿宋_GB2312" w:cs="仿宋_GB2312"/>
          <w:b/>
          <w:bCs/>
          <w:color w:val="auto"/>
          <w:spacing w:val="6"/>
          <w:kern w:val="30"/>
          <w:sz w:val="30"/>
          <w:szCs w:val="30"/>
          <w:highlight w:val="none"/>
          <w:lang w:eastAsia="zh-CN" w:bidi="ar"/>
        </w:rPr>
        <w:t>核心概念定义缺失，执行口径各行其是</w:t>
      </w:r>
      <w:bookmarkEnd w:id="387"/>
    </w:p>
    <w:p w14:paraId="0CA01BCC">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9"/>
        <w:rPr>
          <w:rFonts w:hint="eastAsia" w:ascii="仿宋_GB2312" w:hAnsi="仿宋_GB2312" w:eastAsia="仿宋_GB2312" w:cs="仿宋_GB2312"/>
          <w:color w:val="auto"/>
          <w:spacing w:val="6"/>
          <w:kern w:val="30"/>
          <w:sz w:val="30"/>
          <w:szCs w:val="30"/>
          <w:highlight w:val="none"/>
          <w:lang w:eastAsia="zh-CN" w:bidi="ar"/>
        </w:rPr>
      </w:pPr>
      <w:r>
        <w:rPr>
          <w:rFonts w:hint="eastAsia" w:ascii="仿宋_GB2312" w:hAnsi="仿宋_GB2312" w:eastAsia="仿宋_GB2312" w:cs="仿宋_GB2312"/>
          <w:color w:val="auto"/>
          <w:spacing w:val="6"/>
          <w:kern w:val="30"/>
          <w:sz w:val="30"/>
          <w:szCs w:val="30"/>
          <w:highlight w:val="none"/>
          <w:lang w:eastAsia="zh-CN" w:bidi="ar"/>
        </w:rPr>
        <w:t>《资助办法》中多项关键概念缺乏明确定义，直接导致各地执行标准不一、数据不可比、审核</w:t>
      </w:r>
      <w:r>
        <w:rPr>
          <w:rFonts w:hint="eastAsia" w:ascii="仿宋_GB2312" w:hAnsi="仿宋_GB2312" w:eastAsia="仿宋_GB2312" w:cs="仿宋_GB2312"/>
          <w:color w:val="auto"/>
          <w:spacing w:val="6"/>
          <w:kern w:val="30"/>
          <w:sz w:val="30"/>
          <w:szCs w:val="30"/>
          <w:highlight w:val="none"/>
          <w:lang w:val="en-US" w:eastAsia="zh-CN" w:bidi="ar"/>
        </w:rPr>
        <w:t>随意性强</w:t>
      </w:r>
      <w:r>
        <w:rPr>
          <w:rFonts w:hint="eastAsia" w:ascii="仿宋_GB2312" w:hAnsi="仿宋_GB2312" w:eastAsia="仿宋_GB2312" w:cs="仿宋_GB2312"/>
          <w:color w:val="auto"/>
          <w:spacing w:val="6"/>
          <w:kern w:val="30"/>
          <w:sz w:val="30"/>
          <w:szCs w:val="30"/>
          <w:highlight w:val="none"/>
          <w:lang w:eastAsia="zh-CN" w:bidi="ar"/>
        </w:rPr>
        <w:t>：</w:t>
      </w:r>
    </w:p>
    <w:p w14:paraId="559AEF54">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9"/>
        <w:rPr>
          <w:rFonts w:hint="default" w:ascii="仿宋_GB2312" w:hAnsi="仿宋_GB2312" w:eastAsia="仿宋_GB2312" w:cs="仿宋_GB2312"/>
          <w:color w:val="auto"/>
          <w:spacing w:val="6"/>
          <w:kern w:val="30"/>
          <w:sz w:val="30"/>
          <w:szCs w:val="30"/>
          <w:highlight w:val="none"/>
          <w:lang w:val="en-US" w:eastAsia="zh-CN" w:bidi="ar"/>
        </w:rPr>
      </w:pPr>
      <w:r>
        <w:rPr>
          <w:rFonts w:hint="eastAsia" w:ascii="仿宋_GB2312" w:hAnsi="仿宋_GB2312" w:eastAsia="仿宋_GB2312" w:cs="仿宋_GB2312"/>
          <w:color w:val="auto"/>
          <w:spacing w:val="6"/>
          <w:kern w:val="30"/>
          <w:sz w:val="30"/>
          <w:szCs w:val="30"/>
          <w:highlight w:val="none"/>
          <w:lang w:val="en-US" w:eastAsia="zh-CN" w:bidi="ar"/>
        </w:rPr>
        <w:t>（1）</w:t>
      </w:r>
      <w:r>
        <w:rPr>
          <w:rFonts w:hint="eastAsia" w:ascii="仿宋_GB2312" w:hAnsi="仿宋_GB2312" w:eastAsia="仿宋_GB2312" w:cs="仿宋_GB2312"/>
          <w:color w:val="auto"/>
          <w:spacing w:val="6"/>
          <w:kern w:val="30"/>
          <w:sz w:val="30"/>
          <w:szCs w:val="30"/>
          <w:highlight w:val="none"/>
          <w:lang w:eastAsia="zh-CN" w:bidi="ar"/>
        </w:rPr>
        <w:t>入住率计算规则全空白。《资助办法》第三条第（四）款仅规定“入住率达到50%以上”方可申请资助，按行业通行口径，“入住率=实际入住人数÷核定床位数×100%”，但计算周期、“实际入住人数”取数方式均未明确。评估发现，计算周期存在三种不同口径：月均入住率、年度平均入住率、申报当月入住率。“实际入住人数”的取数方式在各地执行中差异显著，基层审核人员对于入住未满月老人是否计入、如何计入入住率缺乏统一的执行标准，存在以下四种口径：一是按当月实际在院人数计算，入住即计入；二是按当月住满一个月的人数计算，剔除未住满月老人；三是将不同老人未住满月的零散天数拼凑折算，满30天视为1人次；四是</w:t>
      </w:r>
      <w:r>
        <w:rPr>
          <w:rFonts w:hint="eastAsia" w:ascii="仿宋_GB2312" w:hAnsi="仿宋_GB2312" w:eastAsia="仿宋_GB2312" w:cs="仿宋_GB2312"/>
          <w:color w:val="auto"/>
          <w:spacing w:val="6"/>
          <w:kern w:val="30"/>
          <w:sz w:val="30"/>
          <w:szCs w:val="30"/>
          <w:highlight w:val="none"/>
          <w:lang w:val="en-US" w:eastAsia="zh-CN" w:bidi="ar"/>
        </w:rPr>
        <w:t>取</w:t>
      </w:r>
      <w:r>
        <w:rPr>
          <w:rFonts w:hint="eastAsia" w:ascii="仿宋_GB2312" w:hAnsi="仿宋_GB2312" w:eastAsia="仿宋_GB2312" w:cs="仿宋_GB2312"/>
          <w:color w:val="auto"/>
          <w:spacing w:val="6"/>
          <w:kern w:val="30"/>
          <w:sz w:val="30"/>
          <w:szCs w:val="30"/>
          <w:highlight w:val="none"/>
          <w:lang w:eastAsia="zh-CN" w:bidi="ar"/>
        </w:rPr>
        <w:t>“启用床位数”</w:t>
      </w:r>
      <w:r>
        <w:rPr>
          <w:rStyle w:val="25"/>
          <w:rFonts w:hint="eastAsia" w:ascii="仿宋_GB2312" w:hAnsi="仿宋_GB2312" w:eastAsia="仿宋_GB2312" w:cs="仿宋_GB2312"/>
          <w:color w:val="auto"/>
          <w:spacing w:val="6"/>
          <w:kern w:val="30"/>
          <w:sz w:val="30"/>
          <w:szCs w:val="30"/>
          <w:highlight w:val="none"/>
          <w:lang w:eastAsia="zh-CN" w:bidi="ar"/>
        </w:rPr>
        <w:footnoteReference w:id="3"/>
      </w:r>
      <w:r>
        <w:rPr>
          <w:rFonts w:hint="eastAsia" w:ascii="仿宋_GB2312" w:hAnsi="仿宋_GB2312" w:eastAsia="仿宋_GB2312" w:cs="仿宋_GB2312"/>
          <w:color w:val="auto"/>
          <w:spacing w:val="6"/>
          <w:kern w:val="30"/>
          <w:sz w:val="30"/>
          <w:szCs w:val="30"/>
          <w:highlight w:val="none"/>
          <w:lang w:val="en-US" w:eastAsia="zh-CN" w:bidi="ar"/>
        </w:rPr>
        <w:t>替代实际入住人数</w:t>
      </w:r>
      <w:r>
        <w:rPr>
          <w:rFonts w:hint="eastAsia" w:ascii="仿宋_GB2312" w:hAnsi="仿宋_GB2312" w:eastAsia="仿宋_GB2312" w:cs="仿宋_GB2312"/>
          <w:color w:val="auto"/>
          <w:spacing w:val="6"/>
          <w:kern w:val="30"/>
          <w:sz w:val="30"/>
          <w:szCs w:val="30"/>
          <w:highlight w:val="none"/>
          <w:lang w:eastAsia="zh-CN" w:bidi="ar"/>
        </w:rPr>
        <w:t>。同一机构在不同口径下可能得出从“达标”到“不达标”的截然不同结论。各地执行差异具体</w:t>
      </w:r>
      <w:r>
        <w:rPr>
          <w:rFonts w:hint="eastAsia" w:ascii="仿宋_GB2312" w:hAnsi="仿宋_GB2312" w:eastAsia="仿宋_GB2312" w:cs="仿宋_GB2312"/>
          <w:color w:val="auto"/>
          <w:spacing w:val="6"/>
          <w:kern w:val="30"/>
          <w:sz w:val="30"/>
          <w:szCs w:val="30"/>
          <w:highlight w:val="none"/>
          <w:lang w:val="en-US" w:eastAsia="zh-CN" w:bidi="ar"/>
        </w:rPr>
        <w:t>如下表所示。</w:t>
      </w:r>
    </w:p>
    <w:p w14:paraId="71340A66">
      <w:pPr>
        <w:keepNext w:val="0"/>
        <w:keepLines w:val="0"/>
        <w:pageBreakBefore w:val="0"/>
        <w:widowControl/>
        <w:numPr>
          <w:ilvl w:val="-1"/>
          <w:numId w:val="0"/>
        </w:numPr>
        <w:kinsoku/>
        <w:wordWrap/>
        <w:overflowPunct/>
        <w:topLinePunct w:val="0"/>
        <w:autoSpaceDE/>
        <w:autoSpaceDN/>
        <w:bidi w:val="0"/>
        <w:adjustRightInd w:val="0"/>
        <w:snapToGrid w:val="0"/>
        <w:spacing w:line="240" w:lineRule="auto"/>
        <w:ind w:left="0" w:firstLine="0" w:firstLineChars="0"/>
        <w:jc w:val="center"/>
        <w:textAlignment w:val="auto"/>
        <w:outlineLvl w:val="9"/>
        <w:rPr>
          <w:rFonts w:hint="eastAsia" w:ascii="黑体" w:hAnsi="黑体" w:eastAsia="黑体" w:cs="黑体"/>
          <w:color w:val="auto"/>
          <w:spacing w:val="6"/>
          <w:kern w:val="30"/>
          <w:sz w:val="24"/>
          <w:szCs w:val="21"/>
          <w:highlight w:val="none"/>
          <w:lang w:val="en-US" w:eastAsia="zh-CN" w:bidi="ar"/>
        </w:rPr>
      </w:pPr>
      <w:r>
        <w:rPr>
          <w:rFonts w:hint="eastAsia" w:ascii="黑体" w:hAnsi="黑体" w:eastAsia="黑体" w:cs="黑体"/>
          <w:color w:val="auto"/>
          <w:spacing w:val="6"/>
          <w:kern w:val="30"/>
          <w:sz w:val="24"/>
          <w:szCs w:val="21"/>
          <w:highlight w:val="none"/>
          <w:lang w:val="en-US" w:eastAsia="zh-CN" w:bidi="ar"/>
        </w:rPr>
        <w:t>抽样点入住率计算方式统计表</w:t>
      </w:r>
    </w:p>
    <w:tbl>
      <w:tblPr>
        <w:tblStyle w:val="18"/>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68"/>
        <w:gridCol w:w="1822"/>
        <w:gridCol w:w="2255"/>
        <w:gridCol w:w="3710"/>
      </w:tblGrid>
      <w:tr w14:paraId="3B5DC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blHeader/>
        </w:trPr>
        <w:tc>
          <w:tcPr>
            <w:tcW w:w="7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C9C70A">
            <w:pPr>
              <w:keepNext w:val="0"/>
              <w:keepLines w:val="0"/>
              <w:widowControl w:val="0"/>
              <w:suppressLineNumbers w:val="0"/>
              <w:adjustRightInd w:val="0"/>
              <w:snapToGrid w:val="0"/>
              <w:jc w:val="center"/>
              <w:textAlignment w:val="center"/>
              <w:rPr>
                <w:rFonts w:hint="eastAsia" w:ascii="仿宋" w:hAnsi="仿宋" w:eastAsia="仿宋" w:cs="仿宋"/>
                <w:b/>
                <w:bCs/>
                <w:i w:val="0"/>
                <w:iCs w:val="0"/>
                <w:color w:val="auto"/>
                <w:sz w:val="22"/>
                <w:szCs w:val="22"/>
                <w:highlight w:val="none"/>
                <w:u w:val="none"/>
              </w:rPr>
            </w:pPr>
            <w:r>
              <w:rPr>
                <w:rFonts w:hint="eastAsia" w:ascii="仿宋" w:hAnsi="仿宋" w:eastAsia="仿宋" w:cs="仿宋"/>
                <w:b/>
                <w:bCs/>
                <w:i w:val="0"/>
                <w:iCs w:val="0"/>
                <w:color w:val="auto"/>
                <w:kern w:val="0"/>
                <w:sz w:val="22"/>
                <w:szCs w:val="22"/>
                <w:highlight w:val="none"/>
                <w:u w:val="none"/>
                <w:lang w:val="en-US" w:eastAsia="zh-CN" w:bidi="ar"/>
              </w:rPr>
              <w:t>地区</w:t>
            </w:r>
          </w:p>
        </w:tc>
        <w:tc>
          <w:tcPr>
            <w:tcW w:w="10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DD0240">
            <w:pPr>
              <w:keepNext w:val="0"/>
              <w:keepLines w:val="0"/>
              <w:widowControl w:val="0"/>
              <w:suppressLineNumbers w:val="0"/>
              <w:adjustRightInd w:val="0"/>
              <w:snapToGrid w:val="0"/>
              <w:jc w:val="center"/>
              <w:textAlignment w:val="center"/>
              <w:rPr>
                <w:rFonts w:hint="eastAsia" w:ascii="仿宋" w:hAnsi="仿宋" w:eastAsia="仿宋" w:cs="仿宋"/>
                <w:b/>
                <w:bCs/>
                <w:i w:val="0"/>
                <w:iCs w:val="0"/>
                <w:color w:val="auto"/>
                <w:sz w:val="22"/>
                <w:szCs w:val="22"/>
                <w:highlight w:val="none"/>
                <w:u w:val="none"/>
              </w:rPr>
            </w:pPr>
            <w:r>
              <w:rPr>
                <w:rFonts w:hint="eastAsia" w:ascii="仿宋" w:hAnsi="仿宋" w:eastAsia="仿宋" w:cs="仿宋"/>
                <w:b/>
                <w:bCs/>
                <w:i w:val="0"/>
                <w:iCs w:val="0"/>
                <w:color w:val="auto"/>
                <w:kern w:val="0"/>
                <w:sz w:val="22"/>
                <w:szCs w:val="22"/>
                <w:highlight w:val="none"/>
                <w:u w:val="none"/>
                <w:lang w:val="en-US" w:eastAsia="zh-CN" w:bidi="ar"/>
              </w:rPr>
              <w:t>计算周期</w:t>
            </w: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19A88B">
            <w:pPr>
              <w:keepNext w:val="0"/>
              <w:keepLines w:val="0"/>
              <w:widowControl w:val="0"/>
              <w:suppressLineNumbers w:val="0"/>
              <w:adjustRightInd w:val="0"/>
              <w:snapToGrid w:val="0"/>
              <w:jc w:val="center"/>
              <w:textAlignment w:val="center"/>
              <w:rPr>
                <w:rFonts w:hint="eastAsia" w:ascii="仿宋" w:hAnsi="仿宋" w:eastAsia="仿宋" w:cs="仿宋"/>
                <w:b/>
                <w:bCs/>
                <w:i w:val="0"/>
                <w:iCs w:val="0"/>
                <w:color w:val="auto"/>
                <w:sz w:val="22"/>
                <w:szCs w:val="22"/>
                <w:highlight w:val="none"/>
                <w:u w:val="none"/>
              </w:rPr>
            </w:pPr>
            <w:r>
              <w:rPr>
                <w:rFonts w:hint="eastAsia" w:ascii="仿宋" w:hAnsi="仿宋" w:eastAsia="仿宋" w:cs="仿宋"/>
                <w:b/>
                <w:bCs/>
                <w:i w:val="0"/>
                <w:iCs w:val="0"/>
                <w:color w:val="auto"/>
                <w:kern w:val="0"/>
                <w:sz w:val="22"/>
                <w:szCs w:val="22"/>
                <w:highlight w:val="none"/>
                <w:u w:val="none"/>
                <w:lang w:val="en-US" w:eastAsia="zh-CN" w:bidi="ar"/>
              </w:rPr>
              <w:t>实际入住人数取数口径</w:t>
            </w:r>
          </w:p>
        </w:tc>
        <w:tc>
          <w:tcPr>
            <w:tcW w:w="20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38CBEE">
            <w:pPr>
              <w:keepNext w:val="0"/>
              <w:keepLines w:val="0"/>
              <w:widowControl w:val="0"/>
              <w:suppressLineNumbers w:val="0"/>
              <w:adjustRightInd w:val="0"/>
              <w:snapToGrid w:val="0"/>
              <w:jc w:val="center"/>
              <w:textAlignment w:val="center"/>
              <w:rPr>
                <w:rFonts w:hint="eastAsia" w:ascii="仿宋" w:hAnsi="仿宋" w:eastAsia="仿宋" w:cs="仿宋"/>
                <w:b/>
                <w:bCs/>
                <w:i w:val="0"/>
                <w:iCs w:val="0"/>
                <w:color w:val="auto"/>
                <w:sz w:val="22"/>
                <w:szCs w:val="22"/>
                <w:highlight w:val="none"/>
                <w:u w:val="none"/>
              </w:rPr>
            </w:pPr>
            <w:r>
              <w:rPr>
                <w:rFonts w:hint="eastAsia" w:ascii="仿宋" w:hAnsi="仿宋" w:eastAsia="仿宋" w:cs="仿宋"/>
                <w:b/>
                <w:bCs/>
                <w:i w:val="0"/>
                <w:iCs w:val="0"/>
                <w:color w:val="auto"/>
                <w:kern w:val="0"/>
                <w:sz w:val="22"/>
                <w:szCs w:val="22"/>
                <w:highlight w:val="none"/>
                <w:u w:val="none"/>
                <w:lang w:val="en-US" w:eastAsia="zh-CN" w:bidi="ar"/>
              </w:rPr>
              <w:t>备注</w:t>
            </w:r>
          </w:p>
        </w:tc>
      </w:tr>
      <w:tr w14:paraId="1776F3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7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DFA487">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乌鲁木齐市</w:t>
            </w:r>
          </w:p>
        </w:tc>
        <w:tc>
          <w:tcPr>
            <w:tcW w:w="10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4667A5">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申报当月入住率</w:t>
            </w: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4D9AFD">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住满月人数</w:t>
            </w:r>
          </w:p>
        </w:tc>
        <w:tc>
          <w:tcPr>
            <w:tcW w:w="20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10CC33">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2020至2023年度部分机构未剔除未住满月人次，如水磨沟区以在院人数直接申报</w:t>
            </w:r>
          </w:p>
        </w:tc>
      </w:tr>
      <w:tr w14:paraId="69C5C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 w:hRule="atLeast"/>
        </w:trPr>
        <w:tc>
          <w:tcPr>
            <w:tcW w:w="7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F05023">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昌吉州</w:t>
            </w:r>
          </w:p>
        </w:tc>
        <w:tc>
          <w:tcPr>
            <w:tcW w:w="10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40AF16">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年均入住率</w:t>
            </w: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DD766B">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住满月人数</w:t>
            </w:r>
          </w:p>
        </w:tc>
        <w:tc>
          <w:tcPr>
            <w:tcW w:w="20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4287F5">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2"/>
                <w:szCs w:val="22"/>
                <w:highlight w:val="none"/>
                <w:u w:val="none"/>
              </w:rPr>
            </w:pPr>
          </w:p>
        </w:tc>
      </w:tr>
      <w:tr w14:paraId="03FE8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8" w:hRule="atLeast"/>
        </w:trPr>
        <w:tc>
          <w:tcPr>
            <w:tcW w:w="7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84D79E">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哈密市本级</w:t>
            </w:r>
          </w:p>
        </w:tc>
        <w:tc>
          <w:tcPr>
            <w:tcW w:w="10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A2CED3">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年均入住率</w:t>
            </w: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D33BE4">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住满月人数+零散天数拼凑折算，满30天视为1人次</w:t>
            </w:r>
          </w:p>
        </w:tc>
        <w:tc>
          <w:tcPr>
            <w:tcW w:w="20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507640">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2"/>
                <w:szCs w:val="22"/>
                <w:highlight w:val="none"/>
                <w:u w:val="none"/>
              </w:rPr>
            </w:pPr>
          </w:p>
        </w:tc>
      </w:tr>
      <w:tr w14:paraId="00529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4" w:hRule="atLeast"/>
        </w:trPr>
        <w:tc>
          <w:tcPr>
            <w:tcW w:w="7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FEFABB">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哈密市伊州区</w:t>
            </w:r>
          </w:p>
        </w:tc>
        <w:tc>
          <w:tcPr>
            <w:tcW w:w="10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2918BD">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年均入住率</w:t>
            </w: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9DEF13">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住满月人数</w:t>
            </w:r>
          </w:p>
        </w:tc>
        <w:tc>
          <w:tcPr>
            <w:tcW w:w="20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4CD368">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3"/>
                <w:szCs w:val="23"/>
                <w:highlight w:val="none"/>
                <w:u w:val="none"/>
              </w:rPr>
            </w:pPr>
            <w:r>
              <w:rPr>
                <w:rFonts w:hint="eastAsia" w:ascii="仿宋" w:hAnsi="仿宋" w:eastAsia="仿宋" w:cs="仿宋"/>
                <w:i w:val="0"/>
                <w:iCs w:val="0"/>
                <w:color w:val="auto"/>
                <w:kern w:val="0"/>
                <w:sz w:val="23"/>
                <w:szCs w:val="23"/>
                <w:highlight w:val="none"/>
                <w:u w:val="none"/>
                <w:lang w:val="en-US" w:eastAsia="zh-CN" w:bidi="ar"/>
              </w:rPr>
              <w:t>2023</w:t>
            </w:r>
            <w:r>
              <w:rPr>
                <w:rStyle w:val="42"/>
                <w:rFonts w:ascii="仿宋" w:hAnsi="仿宋" w:eastAsia="仿宋" w:cs="仿宋"/>
                <w:color w:val="auto"/>
                <w:highlight w:val="none"/>
                <w:lang w:val="en-US" w:eastAsia="zh-CN" w:bidi="ar"/>
              </w:rPr>
              <w:t>年度因年中涉及核定床位数变动，</w:t>
            </w:r>
            <w:r>
              <w:rPr>
                <w:rStyle w:val="43"/>
                <w:rFonts w:hint="eastAsia" w:ascii="仿宋" w:hAnsi="仿宋" w:eastAsia="仿宋" w:cs="仿宋"/>
                <w:color w:val="auto"/>
                <w:highlight w:val="none"/>
                <w:lang w:val="en-US" w:eastAsia="zh-CN" w:bidi="ar"/>
              </w:rPr>
              <w:t>2023</w:t>
            </w:r>
            <w:r>
              <w:rPr>
                <w:rStyle w:val="42"/>
                <w:rFonts w:ascii="仿宋" w:hAnsi="仿宋" w:eastAsia="仿宋" w:cs="仿宋"/>
                <w:color w:val="auto"/>
                <w:highlight w:val="none"/>
                <w:lang w:val="en-US" w:eastAsia="zh-CN" w:bidi="ar"/>
              </w:rPr>
              <w:t>年度逐月计算月入住率，月入住率未达标准者取消当月申报资格</w:t>
            </w:r>
          </w:p>
        </w:tc>
      </w:tr>
      <w:tr w14:paraId="6A375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 w:hRule="atLeast"/>
        </w:trPr>
        <w:tc>
          <w:tcPr>
            <w:tcW w:w="7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D18071">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2"/>
                <w:szCs w:val="22"/>
                <w:highlight w:val="none"/>
                <w:u w:val="none"/>
              </w:rPr>
            </w:pPr>
            <w:r>
              <w:rPr>
                <w:rFonts w:hint="eastAsia" w:hAnsi="仿宋" w:cs="仿宋"/>
                <w:i w:val="0"/>
                <w:iCs w:val="0"/>
                <w:color w:val="auto"/>
                <w:kern w:val="0"/>
                <w:sz w:val="22"/>
                <w:szCs w:val="22"/>
                <w:highlight w:val="none"/>
                <w:u w:val="none"/>
                <w:lang w:val="en-US" w:eastAsia="zh-CN" w:bidi="ar"/>
              </w:rPr>
              <w:t>喀什地区</w:t>
            </w:r>
            <w:r>
              <w:rPr>
                <w:rFonts w:hint="eastAsia" w:ascii="仿宋" w:hAnsi="仿宋" w:eastAsia="仿宋" w:cs="仿宋"/>
                <w:i w:val="0"/>
                <w:iCs w:val="0"/>
                <w:color w:val="auto"/>
                <w:kern w:val="0"/>
                <w:sz w:val="22"/>
                <w:szCs w:val="22"/>
                <w:highlight w:val="none"/>
                <w:u w:val="none"/>
                <w:lang w:val="en-US" w:eastAsia="zh-CN" w:bidi="ar"/>
              </w:rPr>
              <w:t>喀什市</w:t>
            </w:r>
          </w:p>
        </w:tc>
        <w:tc>
          <w:tcPr>
            <w:tcW w:w="10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314796">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年均入住率</w:t>
            </w: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8A385D">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实际在院人数</w:t>
            </w:r>
          </w:p>
        </w:tc>
        <w:tc>
          <w:tcPr>
            <w:tcW w:w="20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1BF800">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2"/>
                <w:szCs w:val="22"/>
                <w:highlight w:val="none"/>
                <w:u w:val="none"/>
              </w:rPr>
            </w:pPr>
          </w:p>
        </w:tc>
      </w:tr>
      <w:tr w14:paraId="7C1EC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70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6A071F">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2"/>
                <w:szCs w:val="22"/>
                <w:highlight w:val="none"/>
                <w:u w:val="none"/>
              </w:rPr>
            </w:pPr>
            <w:r>
              <w:rPr>
                <w:rFonts w:hint="eastAsia" w:hAnsi="仿宋" w:cs="仿宋"/>
                <w:i w:val="0"/>
                <w:iCs w:val="0"/>
                <w:color w:val="auto"/>
                <w:kern w:val="0"/>
                <w:sz w:val="22"/>
                <w:szCs w:val="22"/>
                <w:highlight w:val="none"/>
                <w:u w:val="none"/>
                <w:lang w:val="en-US" w:eastAsia="zh-CN" w:bidi="ar"/>
              </w:rPr>
              <w:t>喀什地区</w:t>
            </w:r>
            <w:r>
              <w:rPr>
                <w:rFonts w:hint="eastAsia" w:ascii="仿宋" w:hAnsi="仿宋" w:eastAsia="仿宋" w:cs="仿宋"/>
                <w:i w:val="0"/>
                <w:iCs w:val="0"/>
                <w:color w:val="auto"/>
                <w:kern w:val="0"/>
                <w:sz w:val="22"/>
                <w:szCs w:val="22"/>
                <w:highlight w:val="none"/>
                <w:u w:val="none"/>
                <w:lang w:val="en-US" w:eastAsia="zh-CN" w:bidi="ar"/>
              </w:rPr>
              <w:t>疏勒县</w:t>
            </w:r>
          </w:p>
        </w:tc>
        <w:tc>
          <w:tcPr>
            <w:tcW w:w="10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13DCF3">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年均入住率</w:t>
            </w:r>
          </w:p>
        </w:tc>
        <w:tc>
          <w:tcPr>
            <w:tcW w:w="1245"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71E078">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2"/>
                <w:szCs w:val="22"/>
                <w:highlight w:val="none"/>
                <w:u w:val="none"/>
              </w:rPr>
            </w:pPr>
            <w:r>
              <w:rPr>
                <w:rFonts w:hint="eastAsia" w:ascii="仿宋" w:hAnsi="仿宋" w:eastAsia="仿宋" w:cs="仿宋"/>
                <w:i w:val="0"/>
                <w:iCs w:val="0"/>
                <w:color w:val="auto"/>
                <w:kern w:val="0"/>
                <w:sz w:val="22"/>
                <w:szCs w:val="22"/>
                <w:highlight w:val="none"/>
                <w:u w:val="none"/>
                <w:lang w:val="en-US" w:eastAsia="zh-CN" w:bidi="ar"/>
              </w:rPr>
              <w:t>启用床位数</w:t>
            </w:r>
          </w:p>
        </w:tc>
        <w:tc>
          <w:tcPr>
            <w:tcW w:w="204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956A35">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3"/>
                <w:szCs w:val="23"/>
                <w:highlight w:val="none"/>
                <w:u w:val="none"/>
              </w:rPr>
            </w:pPr>
            <w:r>
              <w:rPr>
                <w:rFonts w:hint="eastAsia" w:ascii="仿宋" w:hAnsi="仿宋" w:eastAsia="仿宋" w:cs="仿宋"/>
                <w:i w:val="0"/>
                <w:iCs w:val="0"/>
                <w:color w:val="auto"/>
                <w:kern w:val="0"/>
                <w:sz w:val="23"/>
                <w:szCs w:val="23"/>
                <w:highlight w:val="none"/>
                <w:u w:val="none"/>
                <w:lang w:val="en-US" w:eastAsia="zh-CN" w:bidi="ar"/>
              </w:rPr>
              <w:t>指疏勒县康乐园老年护养院</w:t>
            </w:r>
          </w:p>
        </w:tc>
      </w:tr>
    </w:tbl>
    <w:p w14:paraId="476B54BA">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9"/>
        <w:rPr>
          <w:rFonts w:hint="eastAsia" w:ascii="仿宋_GB2312" w:hAnsi="仿宋_GB2312" w:eastAsia="仿宋_GB2312" w:cs="仿宋_GB2312"/>
          <w:color w:val="auto"/>
          <w:spacing w:val="6"/>
          <w:kern w:val="30"/>
          <w:sz w:val="30"/>
          <w:szCs w:val="30"/>
          <w:highlight w:val="none"/>
          <w:lang w:eastAsia="zh-CN" w:bidi="ar"/>
        </w:rPr>
      </w:pPr>
      <w:r>
        <w:rPr>
          <w:rFonts w:hint="eastAsia" w:ascii="仿宋_GB2312" w:hAnsi="仿宋_GB2312" w:eastAsia="仿宋_GB2312" w:cs="仿宋_GB2312"/>
          <w:color w:val="auto"/>
          <w:spacing w:val="6"/>
          <w:kern w:val="30"/>
          <w:sz w:val="30"/>
          <w:szCs w:val="30"/>
          <w:highlight w:val="none"/>
          <w:lang w:eastAsia="zh-CN" w:bidi="ar"/>
        </w:rPr>
        <w:t>（</w:t>
      </w:r>
      <w:r>
        <w:rPr>
          <w:rFonts w:hint="eastAsia" w:ascii="仿宋_GB2312" w:hAnsi="仿宋_GB2312" w:eastAsia="仿宋_GB2312" w:cs="仿宋_GB2312"/>
          <w:color w:val="auto"/>
          <w:spacing w:val="6"/>
          <w:kern w:val="30"/>
          <w:sz w:val="30"/>
          <w:szCs w:val="30"/>
          <w:highlight w:val="none"/>
          <w:lang w:val="en-US" w:eastAsia="zh-CN" w:bidi="ar"/>
        </w:rPr>
        <w:t>2</w:t>
      </w:r>
      <w:r>
        <w:rPr>
          <w:rFonts w:hint="eastAsia" w:ascii="仿宋_GB2312" w:hAnsi="仿宋_GB2312" w:eastAsia="仿宋_GB2312" w:cs="仿宋_GB2312"/>
          <w:color w:val="auto"/>
          <w:spacing w:val="6"/>
          <w:kern w:val="30"/>
          <w:sz w:val="30"/>
          <w:szCs w:val="30"/>
          <w:highlight w:val="none"/>
          <w:lang w:eastAsia="zh-CN" w:bidi="ar"/>
        </w:rPr>
        <w:t>）</w:t>
      </w:r>
      <w:r>
        <w:rPr>
          <w:rFonts w:hint="eastAsia" w:ascii="仿宋_GB2312" w:hAnsi="仿宋_GB2312" w:eastAsia="仿宋_GB2312" w:cs="仿宋_GB2312"/>
          <w:color w:val="auto"/>
          <w:spacing w:val="6"/>
          <w:kern w:val="30"/>
          <w:sz w:val="30"/>
          <w:szCs w:val="30"/>
          <w:highlight w:val="none"/>
          <w:lang w:val="en-US" w:eastAsia="zh-CN" w:bidi="ar"/>
        </w:rPr>
        <w:t>运营补贴基数</w:t>
      </w:r>
      <w:r>
        <w:rPr>
          <w:rFonts w:hint="eastAsia" w:ascii="仿宋_GB2312" w:hAnsi="仿宋_GB2312" w:eastAsia="仿宋_GB2312" w:cs="仿宋_GB2312"/>
          <w:color w:val="auto"/>
          <w:spacing w:val="6"/>
          <w:kern w:val="30"/>
          <w:sz w:val="30"/>
          <w:szCs w:val="30"/>
          <w:highlight w:val="none"/>
          <w:lang w:eastAsia="zh-CN" w:bidi="ar"/>
        </w:rPr>
        <w:t>存跨期统计困境。《资助办法》第四条规定“根据养老机构在院住满一个月（含）以上的老年人实际占用床位数”计算运营补贴，</w:t>
      </w:r>
      <w:r>
        <w:rPr>
          <w:rFonts w:hint="eastAsia" w:ascii="仿宋_GB2312" w:hAnsi="仿宋_GB2312" w:eastAsia="仿宋_GB2312" w:cs="仿宋_GB2312"/>
          <w:color w:val="auto"/>
          <w:spacing w:val="6"/>
          <w:kern w:val="30"/>
          <w:sz w:val="30"/>
          <w:szCs w:val="30"/>
          <w:highlight w:val="none"/>
          <w:lang w:val="en-US" w:eastAsia="zh-CN" w:bidi="ar"/>
        </w:rPr>
        <w:t>政策执行中</w:t>
      </w:r>
      <w:r>
        <w:rPr>
          <w:rFonts w:hint="eastAsia" w:ascii="仿宋_GB2312" w:hAnsi="仿宋_GB2312" w:eastAsia="仿宋_GB2312" w:cs="仿宋_GB2312"/>
          <w:color w:val="auto"/>
          <w:spacing w:val="6"/>
          <w:kern w:val="30"/>
          <w:sz w:val="30"/>
          <w:szCs w:val="30"/>
          <w:highlight w:val="none"/>
          <w:lang w:eastAsia="zh-CN" w:bidi="ar"/>
        </w:rPr>
        <w:t>以“</w:t>
      </w:r>
      <w:r>
        <w:rPr>
          <w:rFonts w:hint="eastAsia" w:ascii="仿宋_GB2312" w:hAnsi="仿宋_GB2312" w:eastAsia="仿宋_GB2312" w:cs="仿宋_GB2312"/>
          <w:color w:val="auto"/>
          <w:spacing w:val="6"/>
          <w:kern w:val="30"/>
          <w:sz w:val="30"/>
          <w:szCs w:val="30"/>
          <w:highlight w:val="none"/>
          <w:lang w:val="en-US" w:eastAsia="zh-CN" w:bidi="ar"/>
        </w:rPr>
        <w:t>自然</w:t>
      </w:r>
      <w:r>
        <w:rPr>
          <w:rFonts w:hint="eastAsia" w:ascii="仿宋_GB2312" w:hAnsi="仿宋_GB2312" w:eastAsia="仿宋_GB2312" w:cs="仿宋_GB2312"/>
          <w:color w:val="auto"/>
          <w:spacing w:val="6"/>
          <w:kern w:val="30"/>
          <w:sz w:val="30"/>
          <w:szCs w:val="30"/>
          <w:highlight w:val="none"/>
          <w:lang w:eastAsia="zh-CN" w:bidi="ar"/>
        </w:rPr>
        <w:t>月”为统计</w:t>
      </w:r>
      <w:r>
        <w:rPr>
          <w:rFonts w:hint="eastAsia" w:ascii="仿宋_GB2312" w:hAnsi="仿宋_GB2312" w:eastAsia="仿宋_GB2312" w:cs="仿宋_GB2312"/>
          <w:color w:val="auto"/>
          <w:spacing w:val="6"/>
          <w:kern w:val="30"/>
          <w:sz w:val="30"/>
          <w:szCs w:val="30"/>
          <w:highlight w:val="none"/>
          <w:lang w:val="en-US" w:eastAsia="zh-CN" w:bidi="ar"/>
        </w:rPr>
        <w:t>周期</w:t>
      </w:r>
      <w:r>
        <w:rPr>
          <w:rFonts w:hint="eastAsia" w:ascii="仿宋_GB2312" w:hAnsi="仿宋_GB2312" w:eastAsia="仿宋_GB2312" w:cs="仿宋_GB2312"/>
          <w:color w:val="auto"/>
          <w:spacing w:val="6"/>
          <w:kern w:val="30"/>
          <w:sz w:val="30"/>
          <w:szCs w:val="30"/>
          <w:highlight w:val="none"/>
          <w:lang w:eastAsia="zh-CN" w:bidi="ar"/>
        </w:rPr>
        <w:t>，</w:t>
      </w:r>
      <w:r>
        <w:rPr>
          <w:rFonts w:hint="eastAsia" w:ascii="仿宋_GB2312" w:hAnsi="仿宋_GB2312" w:eastAsia="仿宋_GB2312" w:cs="仿宋_GB2312"/>
          <w:color w:val="auto"/>
          <w:spacing w:val="6"/>
          <w:kern w:val="30"/>
          <w:sz w:val="30"/>
          <w:szCs w:val="30"/>
          <w:highlight w:val="none"/>
          <w:lang w:val="en-US" w:eastAsia="zh-CN" w:bidi="ar"/>
        </w:rPr>
        <w:t>但</w:t>
      </w:r>
      <w:r>
        <w:rPr>
          <w:rFonts w:hint="eastAsia" w:ascii="仿宋_GB2312" w:hAnsi="仿宋_GB2312" w:eastAsia="仿宋_GB2312" w:cs="仿宋_GB2312"/>
          <w:color w:val="auto"/>
          <w:spacing w:val="6"/>
          <w:kern w:val="30"/>
          <w:sz w:val="30"/>
          <w:szCs w:val="30"/>
          <w:highlight w:val="none"/>
          <w:lang w:eastAsia="zh-CN" w:bidi="ar"/>
        </w:rPr>
        <w:t>“住满一个月（含）以上”本身是跨期概念。例如</w:t>
      </w:r>
      <w:r>
        <w:rPr>
          <w:rFonts w:hint="eastAsia" w:ascii="仿宋_GB2312" w:hAnsi="仿宋_GB2312" w:eastAsia="仿宋_GB2312" w:cs="仿宋_GB2312"/>
          <w:color w:val="auto"/>
          <w:spacing w:val="6"/>
          <w:kern w:val="30"/>
          <w:sz w:val="30"/>
          <w:szCs w:val="30"/>
          <w:highlight w:val="none"/>
          <w:lang w:val="en-US" w:eastAsia="zh-CN" w:bidi="ar"/>
        </w:rPr>
        <w:t>一位</w:t>
      </w:r>
      <w:r>
        <w:rPr>
          <w:rFonts w:hint="eastAsia" w:ascii="仿宋_GB2312" w:hAnsi="仿宋_GB2312" w:eastAsia="仿宋_GB2312" w:cs="仿宋_GB2312"/>
          <w:color w:val="auto"/>
          <w:spacing w:val="6"/>
          <w:kern w:val="30"/>
          <w:sz w:val="30"/>
          <w:szCs w:val="30"/>
          <w:highlight w:val="none"/>
          <w:lang w:eastAsia="zh-CN" w:bidi="ar"/>
        </w:rPr>
        <w:t>老人</w:t>
      </w:r>
      <w:r>
        <w:rPr>
          <w:rFonts w:hint="eastAsia" w:ascii="仿宋_GB2312" w:hAnsi="仿宋_GB2312" w:eastAsia="仿宋_GB2312" w:cs="仿宋_GB2312"/>
          <w:color w:val="auto"/>
          <w:spacing w:val="6"/>
          <w:kern w:val="30"/>
          <w:sz w:val="30"/>
          <w:szCs w:val="30"/>
          <w:highlight w:val="none"/>
          <w:lang w:val="en-US" w:eastAsia="zh-CN" w:bidi="ar"/>
        </w:rPr>
        <w:t>1</w:t>
      </w:r>
      <w:r>
        <w:rPr>
          <w:rFonts w:hint="eastAsia" w:ascii="仿宋_GB2312" w:hAnsi="仿宋_GB2312" w:eastAsia="仿宋_GB2312" w:cs="仿宋_GB2312"/>
          <w:color w:val="auto"/>
          <w:spacing w:val="6"/>
          <w:kern w:val="30"/>
          <w:sz w:val="30"/>
          <w:szCs w:val="30"/>
          <w:highlight w:val="none"/>
          <w:lang w:eastAsia="zh-CN" w:bidi="ar"/>
        </w:rPr>
        <w:t>月入住20天、</w:t>
      </w:r>
      <w:r>
        <w:rPr>
          <w:rFonts w:hint="eastAsia" w:ascii="仿宋_GB2312" w:hAnsi="仿宋_GB2312" w:eastAsia="仿宋_GB2312" w:cs="仿宋_GB2312"/>
          <w:color w:val="auto"/>
          <w:spacing w:val="6"/>
          <w:kern w:val="30"/>
          <w:sz w:val="30"/>
          <w:szCs w:val="30"/>
          <w:highlight w:val="none"/>
          <w:lang w:val="en-US" w:eastAsia="zh-CN" w:bidi="ar"/>
        </w:rPr>
        <w:t>2</w:t>
      </w:r>
      <w:r>
        <w:rPr>
          <w:rFonts w:hint="eastAsia" w:ascii="仿宋_GB2312" w:hAnsi="仿宋_GB2312" w:eastAsia="仿宋_GB2312" w:cs="仿宋_GB2312"/>
          <w:color w:val="auto"/>
          <w:spacing w:val="6"/>
          <w:kern w:val="30"/>
          <w:sz w:val="30"/>
          <w:szCs w:val="30"/>
          <w:highlight w:val="none"/>
          <w:lang w:eastAsia="zh-CN" w:bidi="ar"/>
        </w:rPr>
        <w:t>月入住2</w:t>
      </w:r>
      <w:r>
        <w:rPr>
          <w:rFonts w:hint="eastAsia" w:ascii="仿宋_GB2312" w:hAnsi="仿宋_GB2312" w:eastAsia="仿宋_GB2312" w:cs="仿宋_GB2312"/>
          <w:color w:val="auto"/>
          <w:spacing w:val="6"/>
          <w:kern w:val="30"/>
          <w:sz w:val="30"/>
          <w:szCs w:val="30"/>
          <w:highlight w:val="none"/>
          <w:lang w:val="en-US" w:eastAsia="zh-CN" w:bidi="ar"/>
        </w:rPr>
        <w:t>0</w:t>
      </w:r>
      <w:r>
        <w:rPr>
          <w:rFonts w:hint="eastAsia" w:ascii="仿宋_GB2312" w:hAnsi="仿宋_GB2312" w:eastAsia="仿宋_GB2312" w:cs="仿宋_GB2312"/>
          <w:color w:val="auto"/>
          <w:spacing w:val="6"/>
          <w:kern w:val="30"/>
          <w:sz w:val="30"/>
          <w:szCs w:val="30"/>
          <w:highlight w:val="none"/>
          <w:lang w:eastAsia="zh-CN" w:bidi="ar"/>
        </w:rPr>
        <w:t>天，单月均未满月，</w:t>
      </w:r>
      <w:r>
        <w:rPr>
          <w:rFonts w:hint="eastAsia" w:ascii="仿宋_GB2312" w:hAnsi="仿宋_GB2312" w:eastAsia="仿宋_GB2312" w:cs="仿宋_GB2312"/>
          <w:color w:val="auto"/>
          <w:spacing w:val="6"/>
          <w:kern w:val="30"/>
          <w:sz w:val="30"/>
          <w:szCs w:val="30"/>
          <w:highlight w:val="none"/>
          <w:lang w:val="en-US" w:eastAsia="zh-CN" w:bidi="ar"/>
        </w:rPr>
        <w:t>如</w:t>
      </w:r>
      <w:r>
        <w:rPr>
          <w:rFonts w:hint="eastAsia" w:ascii="仿宋_GB2312" w:hAnsi="仿宋_GB2312" w:eastAsia="仿宋_GB2312" w:cs="仿宋_GB2312"/>
          <w:color w:val="auto"/>
          <w:spacing w:val="6"/>
          <w:kern w:val="30"/>
          <w:sz w:val="30"/>
          <w:szCs w:val="30"/>
          <w:highlight w:val="none"/>
          <w:lang w:eastAsia="zh-CN" w:bidi="ar"/>
        </w:rPr>
        <w:t>按</w:t>
      </w:r>
      <w:r>
        <w:rPr>
          <w:rFonts w:hint="eastAsia" w:ascii="仿宋_GB2312" w:hAnsi="仿宋_GB2312" w:eastAsia="仿宋_GB2312" w:cs="仿宋_GB2312"/>
          <w:color w:val="auto"/>
          <w:spacing w:val="6"/>
          <w:kern w:val="30"/>
          <w:sz w:val="30"/>
          <w:szCs w:val="30"/>
          <w:highlight w:val="none"/>
          <w:lang w:val="en-US" w:eastAsia="zh-CN" w:bidi="ar"/>
        </w:rPr>
        <w:t>自然</w:t>
      </w:r>
      <w:r>
        <w:rPr>
          <w:rFonts w:hint="eastAsia" w:ascii="仿宋_GB2312" w:hAnsi="仿宋_GB2312" w:eastAsia="仿宋_GB2312" w:cs="仿宋_GB2312"/>
          <w:color w:val="auto"/>
          <w:spacing w:val="6"/>
          <w:kern w:val="30"/>
          <w:sz w:val="30"/>
          <w:szCs w:val="30"/>
          <w:highlight w:val="none"/>
          <w:lang w:eastAsia="zh-CN" w:bidi="ar"/>
        </w:rPr>
        <w:t>月</w:t>
      </w:r>
      <w:r>
        <w:rPr>
          <w:rFonts w:hint="eastAsia" w:ascii="仿宋_GB2312" w:hAnsi="仿宋_GB2312" w:eastAsia="仿宋_GB2312" w:cs="仿宋_GB2312"/>
          <w:color w:val="auto"/>
          <w:spacing w:val="6"/>
          <w:kern w:val="30"/>
          <w:sz w:val="30"/>
          <w:szCs w:val="30"/>
          <w:highlight w:val="none"/>
          <w:lang w:val="en-US" w:eastAsia="zh-CN" w:bidi="ar"/>
        </w:rPr>
        <w:t>统计住满月的老人运营补贴基数，</w:t>
      </w:r>
      <w:r>
        <w:rPr>
          <w:rFonts w:hint="eastAsia" w:ascii="仿宋_GB2312" w:hAnsi="仿宋_GB2312" w:eastAsia="仿宋_GB2312" w:cs="仿宋_GB2312"/>
          <w:color w:val="auto"/>
          <w:spacing w:val="6"/>
          <w:kern w:val="30"/>
          <w:sz w:val="30"/>
          <w:szCs w:val="30"/>
          <w:highlight w:val="none"/>
          <w:lang w:eastAsia="zh-CN" w:bidi="ar"/>
        </w:rPr>
        <w:t>两个月都无法获得补贴，</w:t>
      </w:r>
      <w:r>
        <w:rPr>
          <w:rFonts w:hint="eastAsia" w:ascii="仿宋_GB2312" w:hAnsi="仿宋_GB2312" w:eastAsia="仿宋_GB2312" w:cs="仿宋_GB2312"/>
          <w:color w:val="auto"/>
          <w:spacing w:val="6"/>
          <w:kern w:val="30"/>
          <w:sz w:val="30"/>
          <w:szCs w:val="30"/>
          <w:highlight w:val="none"/>
          <w:lang w:val="en-US" w:eastAsia="zh-CN" w:bidi="ar"/>
        </w:rPr>
        <w:t>如在申报补贴年度内</w:t>
      </w:r>
      <w:r>
        <w:rPr>
          <w:rFonts w:hint="eastAsia" w:ascii="仿宋_GB2312" w:hAnsi="仿宋_GB2312" w:eastAsia="仿宋_GB2312" w:cs="仿宋_GB2312"/>
          <w:color w:val="auto"/>
          <w:spacing w:val="6"/>
          <w:kern w:val="30"/>
          <w:sz w:val="30"/>
          <w:szCs w:val="30"/>
          <w:highlight w:val="none"/>
          <w:lang w:eastAsia="zh-CN" w:bidi="ar"/>
        </w:rPr>
        <w:t>累计，</w:t>
      </w:r>
      <w:r>
        <w:rPr>
          <w:rFonts w:hint="eastAsia" w:ascii="仿宋_GB2312" w:hAnsi="仿宋_GB2312" w:eastAsia="仿宋_GB2312" w:cs="仿宋_GB2312"/>
          <w:color w:val="auto"/>
          <w:spacing w:val="6"/>
          <w:kern w:val="30"/>
          <w:sz w:val="30"/>
          <w:szCs w:val="30"/>
          <w:highlight w:val="none"/>
          <w:lang w:val="en-US" w:eastAsia="zh-CN" w:bidi="ar"/>
        </w:rPr>
        <w:t>该老人1-2月</w:t>
      </w:r>
      <w:r>
        <w:rPr>
          <w:rFonts w:hint="eastAsia" w:ascii="仿宋_GB2312" w:hAnsi="仿宋_GB2312" w:eastAsia="仿宋_GB2312" w:cs="仿宋_GB2312"/>
          <w:color w:val="auto"/>
          <w:spacing w:val="6"/>
          <w:kern w:val="30"/>
          <w:sz w:val="30"/>
          <w:szCs w:val="30"/>
          <w:highlight w:val="none"/>
          <w:lang w:eastAsia="zh-CN" w:bidi="ar"/>
        </w:rPr>
        <w:t>已入住40天，实际满足“住满一个月（</w:t>
      </w:r>
      <w:r>
        <w:rPr>
          <w:rFonts w:hint="eastAsia" w:ascii="仿宋_GB2312" w:hAnsi="仿宋_GB2312" w:eastAsia="仿宋_GB2312" w:cs="仿宋_GB2312"/>
          <w:color w:val="auto"/>
          <w:spacing w:val="6"/>
          <w:kern w:val="30"/>
          <w:sz w:val="30"/>
          <w:szCs w:val="30"/>
          <w:highlight w:val="none"/>
          <w:lang w:val="en-US" w:eastAsia="zh-CN" w:bidi="ar"/>
        </w:rPr>
        <w:t>含</w:t>
      </w:r>
      <w:r>
        <w:rPr>
          <w:rFonts w:hint="eastAsia" w:ascii="仿宋_GB2312" w:hAnsi="仿宋_GB2312" w:eastAsia="仿宋_GB2312" w:cs="仿宋_GB2312"/>
          <w:color w:val="auto"/>
          <w:spacing w:val="6"/>
          <w:kern w:val="30"/>
          <w:sz w:val="30"/>
          <w:szCs w:val="30"/>
          <w:highlight w:val="none"/>
          <w:lang w:eastAsia="zh-CN" w:bidi="ar"/>
        </w:rPr>
        <w:t>）以上”的条件，</w:t>
      </w:r>
      <w:r>
        <w:rPr>
          <w:rFonts w:hint="eastAsia" w:ascii="仿宋_GB2312" w:hAnsi="仿宋_GB2312" w:eastAsia="仿宋_GB2312" w:cs="仿宋_GB2312"/>
          <w:color w:val="auto"/>
          <w:spacing w:val="6"/>
          <w:kern w:val="30"/>
          <w:sz w:val="30"/>
          <w:szCs w:val="30"/>
          <w:highlight w:val="none"/>
          <w:lang w:val="en-US" w:eastAsia="zh-CN" w:bidi="ar"/>
        </w:rPr>
        <w:t>可以获得1个月运营补贴</w:t>
      </w:r>
      <w:r>
        <w:rPr>
          <w:rFonts w:hint="eastAsia" w:ascii="仿宋_GB2312" w:hAnsi="仿宋_GB2312" w:eastAsia="仿宋_GB2312" w:cs="仿宋_GB2312"/>
          <w:color w:val="auto"/>
          <w:spacing w:val="6"/>
          <w:kern w:val="30"/>
          <w:sz w:val="30"/>
          <w:szCs w:val="30"/>
          <w:highlight w:val="none"/>
          <w:lang w:eastAsia="zh-CN" w:bidi="ar"/>
        </w:rPr>
        <w:t>。</w:t>
      </w:r>
      <w:r>
        <w:rPr>
          <w:rFonts w:hint="eastAsia" w:ascii="仿宋_GB2312" w:hAnsi="仿宋_GB2312" w:eastAsia="仿宋_GB2312" w:cs="仿宋_GB2312"/>
          <w:color w:val="auto"/>
          <w:spacing w:val="6"/>
          <w:kern w:val="30"/>
          <w:sz w:val="30"/>
          <w:szCs w:val="30"/>
          <w:highlight w:val="none"/>
          <w:lang w:val="en-US" w:eastAsia="zh-CN" w:bidi="ar"/>
        </w:rPr>
        <w:t>实践中出现哈密市本级</w:t>
      </w:r>
      <w:r>
        <w:rPr>
          <w:rFonts w:hint="eastAsia" w:ascii="仿宋_GB2312" w:hAnsi="仿宋_GB2312" w:eastAsia="仿宋_GB2312" w:cs="仿宋_GB2312"/>
          <w:color w:val="auto"/>
          <w:spacing w:val="6"/>
          <w:kern w:val="30"/>
          <w:sz w:val="30"/>
          <w:szCs w:val="30"/>
          <w:highlight w:val="none"/>
          <w:lang w:eastAsia="zh-CN" w:bidi="ar"/>
        </w:rPr>
        <w:t>将未住满月的零散天数拼凑折算，满30天视为1人次</w:t>
      </w:r>
      <w:r>
        <w:rPr>
          <w:rFonts w:hint="eastAsia" w:ascii="仿宋_GB2312" w:hAnsi="仿宋_GB2312" w:eastAsia="仿宋_GB2312" w:cs="仿宋_GB2312"/>
          <w:color w:val="auto"/>
          <w:spacing w:val="6"/>
          <w:kern w:val="30"/>
          <w:sz w:val="30"/>
          <w:szCs w:val="30"/>
          <w:highlight w:val="none"/>
          <w:lang w:val="en-US" w:eastAsia="zh-CN" w:bidi="ar"/>
        </w:rPr>
        <w:t>这样的操作方式。</w:t>
      </w:r>
    </w:p>
    <w:p w14:paraId="2BAEF89D">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9"/>
        <w:rPr>
          <w:rFonts w:hint="default" w:ascii="仿宋_GB2312" w:hAnsi="仿宋_GB2312" w:eastAsia="仿宋_GB2312" w:cs="仿宋_GB2312"/>
          <w:color w:val="auto"/>
          <w:spacing w:val="6"/>
          <w:kern w:val="30"/>
          <w:sz w:val="30"/>
          <w:szCs w:val="30"/>
          <w:highlight w:val="none"/>
          <w:lang w:val="en-US" w:eastAsia="zh-CN" w:bidi="ar"/>
        </w:rPr>
      </w:pPr>
      <w:r>
        <w:rPr>
          <w:rFonts w:hint="eastAsia" w:ascii="仿宋_GB2312" w:hAnsi="仿宋_GB2312" w:eastAsia="仿宋_GB2312" w:cs="仿宋_GB2312"/>
          <w:color w:val="auto"/>
          <w:spacing w:val="6"/>
          <w:kern w:val="30"/>
          <w:sz w:val="30"/>
          <w:szCs w:val="30"/>
          <w:highlight w:val="none"/>
          <w:lang w:eastAsia="zh-CN" w:bidi="ar"/>
        </w:rPr>
        <w:t>（</w:t>
      </w:r>
      <w:r>
        <w:rPr>
          <w:rFonts w:hint="eastAsia" w:ascii="仿宋_GB2312" w:hAnsi="仿宋_GB2312" w:eastAsia="仿宋_GB2312" w:cs="仿宋_GB2312"/>
          <w:color w:val="auto"/>
          <w:spacing w:val="6"/>
          <w:kern w:val="30"/>
          <w:sz w:val="30"/>
          <w:szCs w:val="30"/>
          <w:highlight w:val="none"/>
          <w:lang w:val="en-US" w:eastAsia="zh-CN" w:bidi="ar"/>
        </w:rPr>
        <w:t>3</w:t>
      </w:r>
      <w:r>
        <w:rPr>
          <w:rFonts w:hint="eastAsia" w:ascii="仿宋_GB2312" w:hAnsi="仿宋_GB2312" w:eastAsia="仿宋_GB2312" w:cs="仿宋_GB2312"/>
          <w:color w:val="auto"/>
          <w:spacing w:val="6"/>
          <w:kern w:val="30"/>
          <w:sz w:val="30"/>
          <w:szCs w:val="30"/>
          <w:highlight w:val="none"/>
          <w:lang w:eastAsia="zh-CN" w:bidi="ar"/>
        </w:rPr>
        <w:t>）运营补贴对象指向</w:t>
      </w:r>
      <w:r>
        <w:rPr>
          <w:rFonts w:hint="eastAsia" w:ascii="仿宋_GB2312" w:hAnsi="仿宋_GB2312" w:eastAsia="仿宋_GB2312" w:cs="仿宋_GB2312"/>
          <w:color w:val="auto"/>
          <w:spacing w:val="6"/>
          <w:kern w:val="30"/>
          <w:sz w:val="30"/>
          <w:szCs w:val="30"/>
          <w:highlight w:val="none"/>
          <w:lang w:val="en-US" w:eastAsia="zh-CN" w:bidi="ar"/>
        </w:rPr>
        <w:t>存</w:t>
      </w:r>
      <w:r>
        <w:rPr>
          <w:rFonts w:hint="eastAsia" w:ascii="仿宋_GB2312" w:hAnsi="仿宋_GB2312" w:eastAsia="仿宋_GB2312" w:cs="仿宋_GB2312"/>
          <w:color w:val="auto"/>
          <w:spacing w:val="6"/>
          <w:kern w:val="30"/>
          <w:sz w:val="30"/>
          <w:szCs w:val="30"/>
          <w:highlight w:val="none"/>
          <w:lang w:eastAsia="zh-CN" w:bidi="ar"/>
        </w:rPr>
        <w:t>歧义且未</w:t>
      </w:r>
      <w:r>
        <w:rPr>
          <w:rFonts w:hint="eastAsia" w:ascii="仿宋_GB2312" w:hAnsi="仿宋_GB2312" w:eastAsia="仿宋_GB2312" w:cs="仿宋_GB2312"/>
          <w:color w:val="auto"/>
          <w:spacing w:val="6"/>
          <w:kern w:val="30"/>
          <w:sz w:val="30"/>
          <w:szCs w:val="30"/>
          <w:highlight w:val="none"/>
          <w:lang w:val="en-US" w:eastAsia="zh-CN" w:bidi="ar"/>
        </w:rPr>
        <w:t>明确</w:t>
      </w:r>
      <w:r>
        <w:rPr>
          <w:rFonts w:hint="eastAsia" w:ascii="仿宋_GB2312" w:hAnsi="仿宋_GB2312" w:eastAsia="仿宋_GB2312" w:cs="仿宋_GB2312"/>
          <w:color w:val="auto"/>
          <w:spacing w:val="6"/>
          <w:kern w:val="30"/>
          <w:sz w:val="30"/>
          <w:szCs w:val="30"/>
          <w:highlight w:val="none"/>
          <w:lang w:eastAsia="zh-CN" w:bidi="ar"/>
        </w:rPr>
        <w:t>“</w:t>
      </w:r>
      <w:r>
        <w:rPr>
          <w:rFonts w:hint="eastAsia" w:ascii="仿宋_GB2312" w:hAnsi="仿宋_GB2312" w:eastAsia="仿宋_GB2312" w:cs="仿宋_GB2312"/>
          <w:color w:val="auto"/>
          <w:spacing w:val="6"/>
          <w:kern w:val="30"/>
          <w:sz w:val="30"/>
          <w:szCs w:val="30"/>
          <w:highlight w:val="none"/>
          <w:lang w:val="en-US" w:eastAsia="zh-CN" w:bidi="ar"/>
        </w:rPr>
        <w:t>老年人</w:t>
      </w:r>
      <w:r>
        <w:rPr>
          <w:rFonts w:hint="eastAsia" w:ascii="仿宋_GB2312" w:hAnsi="仿宋_GB2312" w:eastAsia="仿宋_GB2312" w:cs="仿宋_GB2312"/>
          <w:color w:val="auto"/>
          <w:spacing w:val="6"/>
          <w:kern w:val="30"/>
          <w:sz w:val="30"/>
          <w:szCs w:val="30"/>
          <w:highlight w:val="none"/>
          <w:lang w:eastAsia="zh-CN" w:bidi="ar"/>
        </w:rPr>
        <w:t>”年龄。《资助办法》第四条表述为“根据养老机构在院住满一个月（含）以上的老年人实际占用床位数，按照每人每月100元的标准给予运营补贴”，前半句指向“实际占用床位数”即按床位，后半句以“每人每月”为计算单位即按人次。</w:t>
      </w:r>
      <w:r>
        <w:rPr>
          <w:rFonts w:hint="eastAsia" w:ascii="仿宋_GB2312" w:hAnsi="仿宋_GB2312" w:eastAsia="仿宋_GB2312" w:cs="仿宋_GB2312"/>
          <w:color w:val="auto"/>
          <w:spacing w:val="6"/>
          <w:kern w:val="30"/>
          <w:sz w:val="30"/>
          <w:szCs w:val="30"/>
          <w:highlight w:val="none"/>
          <w:lang w:val="en-US" w:eastAsia="zh-CN" w:bidi="ar"/>
        </w:rPr>
        <w:t>如</w:t>
      </w:r>
      <w:r>
        <w:rPr>
          <w:rFonts w:hint="eastAsia" w:ascii="仿宋_GB2312" w:hAnsi="仿宋_GB2312" w:eastAsia="仿宋_GB2312" w:cs="仿宋_GB2312"/>
          <w:color w:val="auto"/>
          <w:spacing w:val="6"/>
          <w:kern w:val="30"/>
          <w:sz w:val="30"/>
          <w:szCs w:val="30"/>
          <w:highlight w:val="none"/>
          <w:lang w:eastAsia="zh-CN" w:bidi="ar"/>
        </w:rPr>
        <w:t>一名老人入住双人间并缴纳两个床位费时，</w:t>
      </w:r>
      <w:r>
        <w:rPr>
          <w:rFonts w:hint="eastAsia" w:ascii="仿宋_GB2312" w:hAnsi="仿宋_GB2312" w:eastAsia="仿宋_GB2312" w:cs="仿宋_GB2312"/>
          <w:color w:val="auto"/>
          <w:spacing w:val="6"/>
          <w:kern w:val="30"/>
          <w:sz w:val="30"/>
          <w:szCs w:val="30"/>
          <w:highlight w:val="none"/>
          <w:lang w:val="en-US" w:eastAsia="zh-CN" w:bidi="ar"/>
        </w:rPr>
        <w:t>实际</w:t>
      </w:r>
      <w:r>
        <w:rPr>
          <w:rFonts w:hint="eastAsia" w:ascii="仿宋_GB2312" w:hAnsi="仿宋_GB2312" w:eastAsia="仿宋_GB2312" w:cs="仿宋_GB2312"/>
          <w:color w:val="auto"/>
          <w:spacing w:val="6"/>
          <w:kern w:val="30"/>
          <w:sz w:val="30"/>
          <w:szCs w:val="30"/>
          <w:highlight w:val="none"/>
          <w:lang w:eastAsia="zh-CN" w:bidi="ar"/>
        </w:rPr>
        <w:t>占用床位数</w:t>
      </w:r>
      <w:r>
        <w:rPr>
          <w:rFonts w:hint="eastAsia" w:ascii="仿宋_GB2312" w:hAnsi="仿宋_GB2312" w:eastAsia="仿宋_GB2312" w:cs="仿宋_GB2312"/>
          <w:color w:val="auto"/>
          <w:spacing w:val="6"/>
          <w:kern w:val="30"/>
          <w:sz w:val="30"/>
          <w:szCs w:val="30"/>
          <w:highlight w:val="none"/>
          <w:lang w:val="en-US" w:eastAsia="zh-CN" w:bidi="ar"/>
        </w:rPr>
        <w:t>为两个，</w:t>
      </w:r>
      <w:r>
        <w:rPr>
          <w:rFonts w:hint="eastAsia" w:ascii="仿宋_GB2312" w:hAnsi="仿宋_GB2312" w:eastAsia="仿宋_GB2312" w:cs="仿宋_GB2312"/>
          <w:color w:val="auto"/>
          <w:spacing w:val="6"/>
          <w:kern w:val="30"/>
          <w:sz w:val="30"/>
          <w:szCs w:val="30"/>
          <w:highlight w:val="none"/>
          <w:lang w:eastAsia="zh-CN" w:bidi="ar"/>
        </w:rPr>
        <w:t>按床位算应补贴200元，按人头算仅补贴100元。此外，政策未将运营补贴对象明确限定为60岁及以上老年人，导致实践中</w:t>
      </w:r>
      <w:r>
        <w:rPr>
          <w:rFonts w:hint="eastAsia" w:ascii="仿宋_GB2312" w:hAnsi="仿宋_GB2312" w:eastAsia="仿宋_GB2312" w:cs="仿宋_GB2312"/>
          <w:color w:val="auto"/>
          <w:spacing w:val="6"/>
          <w:kern w:val="30"/>
          <w:sz w:val="30"/>
          <w:szCs w:val="30"/>
          <w:highlight w:val="none"/>
          <w:lang w:val="en-US" w:eastAsia="zh-CN" w:bidi="ar"/>
        </w:rPr>
        <w:t>部分地区养老机构中入住机构的</w:t>
      </w:r>
      <w:r>
        <w:rPr>
          <w:rFonts w:hint="eastAsia" w:ascii="仿宋_GB2312" w:hAnsi="仿宋_GB2312" w:eastAsia="仿宋_GB2312" w:cs="仿宋_GB2312"/>
          <w:color w:val="auto"/>
          <w:spacing w:val="6"/>
          <w:kern w:val="30"/>
          <w:sz w:val="30"/>
          <w:szCs w:val="30"/>
          <w:highlight w:val="none"/>
          <w:lang w:eastAsia="zh-CN" w:bidi="ar"/>
        </w:rPr>
        <w:t>孤儿、残障人士等非老年</w:t>
      </w:r>
      <w:r>
        <w:rPr>
          <w:rFonts w:hint="eastAsia" w:ascii="仿宋_GB2312" w:hAnsi="仿宋_GB2312" w:eastAsia="仿宋_GB2312" w:cs="仿宋_GB2312"/>
          <w:color w:val="auto"/>
          <w:spacing w:val="6"/>
          <w:kern w:val="30"/>
          <w:sz w:val="30"/>
          <w:szCs w:val="30"/>
          <w:highlight w:val="none"/>
          <w:lang w:val="en-US" w:eastAsia="zh-CN" w:bidi="ar"/>
        </w:rPr>
        <w:t>人群</w:t>
      </w:r>
      <w:r>
        <w:rPr>
          <w:rFonts w:hint="eastAsia" w:ascii="仿宋_GB2312" w:hAnsi="仿宋_GB2312" w:eastAsia="仿宋_GB2312" w:cs="仿宋_GB2312"/>
          <w:color w:val="auto"/>
          <w:spacing w:val="6"/>
          <w:kern w:val="30"/>
          <w:sz w:val="30"/>
          <w:szCs w:val="30"/>
          <w:highlight w:val="none"/>
          <w:lang w:eastAsia="zh-CN" w:bidi="ar"/>
        </w:rPr>
        <w:t>亦被纳入补贴申报范围。</w:t>
      </w:r>
      <w:r>
        <w:rPr>
          <w:rFonts w:hint="eastAsia" w:ascii="仿宋_GB2312" w:hAnsi="仿宋_GB2312" w:eastAsia="仿宋_GB2312" w:cs="仿宋_GB2312"/>
          <w:color w:val="auto"/>
          <w:spacing w:val="6"/>
          <w:kern w:val="30"/>
          <w:sz w:val="30"/>
          <w:szCs w:val="30"/>
          <w:highlight w:val="none"/>
          <w:lang w:val="en-US" w:eastAsia="zh-CN" w:bidi="ar"/>
        </w:rPr>
        <w:t>如喀什地区喀什市、疏勒县。</w:t>
      </w:r>
    </w:p>
    <w:p w14:paraId="162EA60C">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9"/>
        <w:rPr>
          <w:rFonts w:hint="eastAsia" w:ascii="仿宋_GB2312" w:hAnsi="仿宋_GB2312" w:eastAsia="仿宋_GB2312" w:cs="仿宋_GB2312"/>
          <w:color w:val="auto"/>
          <w:spacing w:val="6"/>
          <w:kern w:val="30"/>
          <w:sz w:val="30"/>
          <w:szCs w:val="30"/>
          <w:highlight w:val="none"/>
          <w:lang w:eastAsia="zh-CN" w:bidi="ar"/>
        </w:rPr>
      </w:pPr>
      <w:r>
        <w:rPr>
          <w:rFonts w:hint="eastAsia" w:ascii="仿宋_GB2312" w:hAnsi="仿宋_GB2312" w:eastAsia="仿宋_GB2312" w:cs="仿宋_GB2312"/>
          <w:color w:val="auto"/>
          <w:spacing w:val="6"/>
          <w:kern w:val="30"/>
          <w:sz w:val="30"/>
          <w:szCs w:val="30"/>
          <w:highlight w:val="none"/>
          <w:lang w:eastAsia="zh-CN" w:bidi="ar"/>
        </w:rPr>
        <w:t>（</w:t>
      </w:r>
      <w:r>
        <w:rPr>
          <w:rFonts w:hint="eastAsia" w:ascii="仿宋_GB2312" w:hAnsi="仿宋_GB2312" w:eastAsia="仿宋_GB2312" w:cs="仿宋_GB2312"/>
          <w:color w:val="auto"/>
          <w:spacing w:val="6"/>
          <w:kern w:val="30"/>
          <w:sz w:val="30"/>
          <w:szCs w:val="30"/>
          <w:highlight w:val="none"/>
          <w:lang w:val="en-US" w:eastAsia="zh-CN" w:bidi="ar"/>
        </w:rPr>
        <w:t>4</w:t>
      </w:r>
      <w:r>
        <w:rPr>
          <w:rFonts w:hint="eastAsia" w:ascii="仿宋_GB2312" w:hAnsi="仿宋_GB2312" w:eastAsia="仿宋_GB2312" w:cs="仿宋_GB2312"/>
          <w:color w:val="auto"/>
          <w:spacing w:val="6"/>
          <w:kern w:val="30"/>
          <w:sz w:val="30"/>
          <w:szCs w:val="30"/>
          <w:highlight w:val="none"/>
          <w:lang w:eastAsia="zh-CN" w:bidi="ar"/>
        </w:rPr>
        <w:t>）核定床位数确定标准缺失。《资助办法》</w:t>
      </w:r>
      <w:r>
        <w:rPr>
          <w:rFonts w:hint="eastAsia" w:ascii="仿宋_GB2312" w:hAnsi="仿宋_GB2312" w:eastAsia="仿宋_GB2312" w:cs="仿宋_GB2312"/>
          <w:color w:val="auto"/>
          <w:spacing w:val="6"/>
          <w:kern w:val="30"/>
          <w:sz w:val="30"/>
          <w:szCs w:val="30"/>
          <w:highlight w:val="none"/>
          <w:lang w:val="en-US" w:eastAsia="zh-CN" w:bidi="ar"/>
        </w:rPr>
        <w:t>中</w:t>
      </w:r>
      <w:r>
        <w:rPr>
          <w:rFonts w:hint="eastAsia" w:ascii="仿宋_GB2312" w:hAnsi="仿宋_GB2312" w:eastAsia="仿宋_GB2312" w:cs="仿宋_GB2312"/>
          <w:color w:val="auto"/>
          <w:spacing w:val="6"/>
          <w:kern w:val="30"/>
          <w:sz w:val="30"/>
          <w:szCs w:val="30"/>
          <w:highlight w:val="none"/>
          <w:lang w:eastAsia="zh-CN" w:bidi="ar"/>
        </w:rPr>
        <w:t>“核定床位”是一次性建设补贴的测算基数，也是入住率计算的</w:t>
      </w:r>
      <w:r>
        <w:rPr>
          <w:rFonts w:hint="eastAsia" w:ascii="仿宋_GB2312" w:hAnsi="仿宋_GB2312" w:eastAsia="仿宋_GB2312" w:cs="仿宋_GB2312"/>
          <w:color w:val="auto"/>
          <w:spacing w:val="6"/>
          <w:kern w:val="30"/>
          <w:sz w:val="30"/>
          <w:szCs w:val="30"/>
          <w:highlight w:val="none"/>
          <w:lang w:val="en-US" w:eastAsia="zh-CN" w:bidi="ar"/>
        </w:rPr>
        <w:t>分母</w:t>
      </w:r>
      <w:r>
        <w:rPr>
          <w:rFonts w:hint="eastAsia" w:ascii="仿宋_GB2312" w:hAnsi="仿宋_GB2312" w:eastAsia="仿宋_GB2312" w:cs="仿宋_GB2312"/>
          <w:color w:val="auto"/>
          <w:spacing w:val="6"/>
          <w:kern w:val="30"/>
          <w:sz w:val="30"/>
          <w:szCs w:val="30"/>
          <w:highlight w:val="none"/>
          <w:lang w:eastAsia="zh-CN" w:bidi="ar"/>
        </w:rPr>
        <w:t>。但核定床位数来源于养老机构备案时自行申报的数据，自治区层面虽要求机构对备案材料的真实性负责，但未出台床位核定操作细则，备案床位数与建筑面积、居室面积等物理空间的对应关系缺乏统一标准。现场</w:t>
      </w:r>
      <w:r>
        <w:rPr>
          <w:rFonts w:hint="eastAsia" w:ascii="仿宋_GB2312" w:hAnsi="仿宋_GB2312" w:eastAsia="仿宋_GB2312" w:cs="仿宋_GB2312"/>
          <w:color w:val="auto"/>
          <w:spacing w:val="6"/>
          <w:kern w:val="30"/>
          <w:sz w:val="30"/>
          <w:szCs w:val="30"/>
          <w:highlight w:val="none"/>
          <w:lang w:val="en-US" w:eastAsia="zh-CN" w:bidi="ar"/>
        </w:rPr>
        <w:t>评估</w:t>
      </w:r>
      <w:r>
        <w:rPr>
          <w:rFonts w:hint="eastAsia" w:ascii="仿宋_GB2312" w:hAnsi="仿宋_GB2312" w:eastAsia="仿宋_GB2312" w:cs="仿宋_GB2312"/>
          <w:color w:val="auto"/>
          <w:spacing w:val="6"/>
          <w:kern w:val="30"/>
          <w:sz w:val="30"/>
          <w:szCs w:val="30"/>
          <w:highlight w:val="none"/>
          <w:lang w:eastAsia="zh-CN" w:bidi="ar"/>
        </w:rPr>
        <w:t>发现，不同机构单床占用面积差异较大，约在10至20平方米不等，空间利用情况各不相同。在没有统一折算标准的情况下，备案床位数与物理空间的对应关系缺乏约束，客观上</w:t>
      </w:r>
      <w:r>
        <w:rPr>
          <w:rFonts w:hint="eastAsia" w:ascii="仿宋_GB2312" w:hAnsi="仿宋_GB2312" w:eastAsia="仿宋_GB2312" w:cs="仿宋_GB2312"/>
          <w:color w:val="auto"/>
          <w:spacing w:val="6"/>
          <w:kern w:val="30"/>
          <w:sz w:val="30"/>
          <w:szCs w:val="30"/>
          <w:highlight w:val="none"/>
          <w:lang w:val="en-US" w:eastAsia="zh-CN" w:bidi="ar"/>
        </w:rPr>
        <w:t>直接</w:t>
      </w:r>
      <w:r>
        <w:rPr>
          <w:rFonts w:hint="eastAsia" w:ascii="仿宋_GB2312" w:hAnsi="仿宋_GB2312" w:eastAsia="仿宋_GB2312" w:cs="仿宋_GB2312"/>
          <w:color w:val="auto"/>
          <w:spacing w:val="6"/>
          <w:kern w:val="30"/>
          <w:sz w:val="30"/>
          <w:szCs w:val="30"/>
          <w:highlight w:val="none"/>
          <w:lang w:eastAsia="zh-CN" w:bidi="ar"/>
        </w:rPr>
        <w:t>影响一次性建设补贴发放的精准性。</w:t>
      </w:r>
      <w:r>
        <w:rPr>
          <w:rFonts w:hint="eastAsia" w:ascii="仿宋_GB2312" w:hAnsi="仿宋_GB2312" w:eastAsia="仿宋_GB2312" w:cs="仿宋_GB2312"/>
          <w:color w:val="auto"/>
          <w:spacing w:val="6"/>
          <w:kern w:val="30"/>
          <w:sz w:val="30"/>
          <w:szCs w:val="30"/>
          <w:highlight w:val="none"/>
          <w:lang w:val="en-US" w:eastAsia="zh-CN" w:bidi="ar"/>
        </w:rPr>
        <w:t>而</w:t>
      </w:r>
      <w:r>
        <w:rPr>
          <w:rFonts w:hint="eastAsia" w:ascii="仿宋_GB2312" w:hAnsi="仿宋_GB2312" w:eastAsia="仿宋_GB2312" w:cs="仿宋_GB2312"/>
          <w:color w:val="auto"/>
          <w:spacing w:val="6"/>
          <w:kern w:val="30"/>
          <w:sz w:val="30"/>
          <w:szCs w:val="30"/>
          <w:highlight w:val="none"/>
          <w:lang w:eastAsia="zh-CN" w:bidi="ar"/>
        </w:rPr>
        <w:t>入住率以核定床位为分母，</w:t>
      </w:r>
      <w:r>
        <w:rPr>
          <w:rFonts w:hint="eastAsia" w:ascii="仿宋_GB2312" w:hAnsi="仿宋_GB2312" w:eastAsia="仿宋_GB2312" w:cs="仿宋_GB2312"/>
          <w:i w:val="0"/>
          <w:iCs w:val="0"/>
          <w:caps w:val="0"/>
          <w:color w:val="auto"/>
          <w:spacing w:val="6"/>
          <w:sz w:val="30"/>
          <w:szCs w:val="30"/>
          <w:highlight w:val="none"/>
          <w:shd w:val="clear"/>
          <w:lang w:bidi="ar"/>
        </w:rPr>
        <w:t>核定标准不统一将削弱不同机构间入住率的可比性，以此为依据判定机构是否达到50%的资助门槛，其公平性</w:t>
      </w:r>
      <w:r>
        <w:rPr>
          <w:rFonts w:hint="eastAsia" w:ascii="仿宋_GB2312" w:hAnsi="仿宋_GB2312" w:eastAsia="仿宋_GB2312" w:cs="仿宋_GB2312"/>
          <w:i w:val="0"/>
          <w:iCs w:val="0"/>
          <w:caps w:val="0"/>
          <w:color w:val="auto"/>
          <w:spacing w:val="6"/>
          <w:sz w:val="30"/>
          <w:szCs w:val="30"/>
          <w:highlight w:val="none"/>
          <w:shd w:val="clear"/>
          <w:lang w:val="en-US" w:eastAsia="zh-CN" w:bidi="ar"/>
        </w:rPr>
        <w:t>有待考量</w:t>
      </w:r>
      <w:r>
        <w:rPr>
          <w:rFonts w:hint="eastAsia" w:ascii="仿宋_GB2312" w:hAnsi="仿宋_GB2312" w:eastAsia="仿宋_GB2312" w:cs="仿宋_GB2312"/>
          <w:color w:val="auto"/>
          <w:spacing w:val="6"/>
          <w:kern w:val="30"/>
          <w:sz w:val="30"/>
          <w:szCs w:val="30"/>
          <w:highlight w:val="none"/>
          <w:lang w:eastAsia="zh-CN" w:bidi="ar"/>
        </w:rPr>
        <w:t>。</w:t>
      </w:r>
    </w:p>
    <w:p w14:paraId="0B6C851F">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2"/>
        <w:rPr>
          <w:rFonts w:hint="eastAsia" w:ascii="仿宋_GB2312" w:hAnsi="仿宋_GB2312" w:eastAsia="仿宋_GB2312" w:cs="仿宋_GB2312"/>
          <w:b/>
          <w:bCs/>
          <w:color w:val="auto"/>
          <w:spacing w:val="6"/>
          <w:kern w:val="30"/>
          <w:sz w:val="30"/>
          <w:szCs w:val="30"/>
          <w:highlight w:val="none"/>
          <w:lang w:val="en-US" w:eastAsia="zh-CN" w:bidi="ar"/>
        </w:rPr>
      </w:pPr>
      <w:bookmarkStart w:id="388" w:name="_Toc12727"/>
      <w:r>
        <w:rPr>
          <w:rFonts w:hint="eastAsia" w:ascii="仿宋_GB2312" w:hAnsi="仿宋_GB2312" w:eastAsia="仿宋_GB2312" w:cs="仿宋_GB2312"/>
          <w:b/>
          <w:bCs/>
          <w:color w:val="auto"/>
          <w:spacing w:val="6"/>
          <w:kern w:val="30"/>
          <w:sz w:val="30"/>
          <w:szCs w:val="30"/>
          <w:highlight w:val="none"/>
          <w:lang w:val="en-US" w:eastAsia="zh-CN" w:bidi="ar"/>
        </w:rPr>
        <w:t>2.“</w:t>
      </w:r>
      <w:r>
        <w:rPr>
          <w:rFonts w:hint="eastAsia" w:ascii="仿宋_GB2312" w:hAnsi="仿宋_GB2312" w:eastAsia="仿宋_GB2312" w:cs="仿宋_GB2312"/>
          <w:b/>
          <w:bCs/>
          <w:color w:val="auto"/>
          <w:spacing w:val="6"/>
          <w:kern w:val="30"/>
          <w:sz w:val="30"/>
          <w:szCs w:val="30"/>
          <w:highlight w:val="none"/>
          <w:lang w:eastAsia="zh-CN" w:bidi="ar"/>
        </w:rPr>
        <w:t>公建民营”机构是否享受一次性建设补贴</w:t>
      </w:r>
      <w:r>
        <w:rPr>
          <w:rFonts w:hint="eastAsia" w:ascii="仿宋_GB2312" w:hAnsi="仿宋_GB2312" w:eastAsia="仿宋_GB2312" w:cs="仿宋_GB2312"/>
          <w:b/>
          <w:bCs/>
          <w:color w:val="auto"/>
          <w:spacing w:val="6"/>
          <w:kern w:val="30"/>
          <w:sz w:val="30"/>
          <w:szCs w:val="30"/>
          <w:highlight w:val="none"/>
          <w:lang w:val="en-US" w:eastAsia="zh-CN" w:bidi="ar"/>
        </w:rPr>
        <w:t>尚无明确要求</w:t>
      </w:r>
      <w:bookmarkEnd w:id="388"/>
    </w:p>
    <w:p w14:paraId="1A42538D">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9"/>
        <w:rPr>
          <w:rFonts w:hint="eastAsia" w:ascii="仿宋_GB2312" w:hAnsi="仿宋_GB2312" w:eastAsia="仿宋_GB2312" w:cs="仿宋_GB2312"/>
          <w:color w:val="auto"/>
          <w:spacing w:val="6"/>
          <w:kern w:val="30"/>
          <w:sz w:val="30"/>
          <w:szCs w:val="30"/>
          <w:highlight w:val="none"/>
          <w:lang w:eastAsia="zh-CN" w:bidi="ar"/>
        </w:rPr>
      </w:pPr>
      <w:r>
        <w:rPr>
          <w:rFonts w:hint="eastAsia" w:ascii="仿宋_GB2312" w:hAnsi="仿宋_GB2312" w:eastAsia="仿宋_GB2312" w:cs="仿宋_GB2312"/>
          <w:color w:val="auto"/>
          <w:spacing w:val="6"/>
          <w:kern w:val="30"/>
          <w:sz w:val="30"/>
          <w:szCs w:val="30"/>
          <w:highlight w:val="none"/>
          <w:lang w:eastAsia="zh-CN" w:bidi="ar"/>
        </w:rPr>
        <w:t>《资助办法》第二条将“社会力量采取承包、租赁、合营等方式与政府合作经营‘公建民营’类型，取得《事业单位法人证书》的养老机构”纳入资助范围，但对“公建民营”养老机构能否享受一次性建设补贴未作明确界定。</w:t>
      </w:r>
      <w:r>
        <w:rPr>
          <w:rFonts w:hint="eastAsia" w:ascii="仿宋_GB2312" w:hAnsi="仿宋_GB2312" w:eastAsia="仿宋_GB2312" w:cs="仿宋_GB2312"/>
          <w:color w:val="auto"/>
          <w:spacing w:val="6"/>
          <w:kern w:val="30"/>
          <w:sz w:val="30"/>
          <w:szCs w:val="30"/>
          <w:highlight w:val="none"/>
          <w:lang w:val="en-US" w:eastAsia="zh-CN" w:bidi="ar"/>
        </w:rPr>
        <w:t>现场评估发现，</w:t>
      </w:r>
      <w:r>
        <w:rPr>
          <w:rFonts w:hint="eastAsia" w:ascii="仿宋_GB2312" w:hAnsi="仿宋_GB2312" w:eastAsia="仿宋_GB2312" w:cs="仿宋_GB2312"/>
          <w:color w:val="auto"/>
          <w:spacing w:val="6"/>
          <w:kern w:val="30"/>
          <w:sz w:val="30"/>
          <w:szCs w:val="30"/>
          <w:highlight w:val="none"/>
          <w:lang w:eastAsia="zh-CN" w:bidi="ar"/>
        </w:rPr>
        <w:t>乌鲁木齐市认定“公建民营”养老机构不可享受一次性建设补贴，昌吉州认定可以享受，产生分歧的根源在于“公建民营”养老机构建设投入主体的复杂性。“公建民营”机构的设施用房通常由政府出资建设或提供，运营方主要承担运营管理职能，若允许其按核定床位数申请一次性建设补贴，可能存在财政资金重复投入的风险。但</w:t>
      </w:r>
      <w:r>
        <w:rPr>
          <w:rFonts w:hint="eastAsia" w:ascii="仿宋_GB2312" w:hAnsi="仿宋_GB2312" w:eastAsia="仿宋_GB2312" w:cs="仿宋_GB2312"/>
          <w:color w:val="auto"/>
          <w:spacing w:val="6"/>
          <w:kern w:val="30"/>
          <w:sz w:val="30"/>
          <w:szCs w:val="30"/>
          <w:highlight w:val="none"/>
          <w:lang w:val="en-US" w:eastAsia="zh-CN" w:bidi="ar"/>
        </w:rPr>
        <w:t>现场评估发现，</w:t>
      </w:r>
      <w:r>
        <w:rPr>
          <w:rFonts w:hint="eastAsia" w:ascii="仿宋_GB2312" w:hAnsi="仿宋_GB2312" w:eastAsia="仿宋_GB2312" w:cs="仿宋_GB2312"/>
          <w:color w:val="auto"/>
          <w:spacing w:val="6"/>
          <w:kern w:val="30"/>
          <w:sz w:val="30"/>
          <w:szCs w:val="30"/>
          <w:highlight w:val="none"/>
          <w:lang w:eastAsia="zh-CN" w:bidi="ar"/>
        </w:rPr>
        <w:t>昌吉州存在运营方实际承担建设投入的</w:t>
      </w:r>
      <w:r>
        <w:rPr>
          <w:rFonts w:hint="eastAsia" w:ascii="仿宋_GB2312" w:hAnsi="仿宋_GB2312" w:eastAsia="仿宋_GB2312" w:cs="仿宋_GB2312"/>
          <w:color w:val="auto"/>
          <w:spacing w:val="6"/>
          <w:kern w:val="30"/>
          <w:sz w:val="30"/>
          <w:szCs w:val="30"/>
          <w:highlight w:val="none"/>
          <w:lang w:val="en-US" w:eastAsia="zh-CN" w:bidi="ar"/>
        </w:rPr>
        <w:t>实例</w:t>
      </w:r>
      <w:r>
        <w:rPr>
          <w:rFonts w:hint="eastAsia" w:ascii="仿宋_GB2312" w:hAnsi="仿宋_GB2312" w:eastAsia="仿宋_GB2312" w:cs="仿宋_GB2312"/>
          <w:color w:val="auto"/>
          <w:spacing w:val="6"/>
          <w:kern w:val="30"/>
          <w:sz w:val="30"/>
          <w:szCs w:val="30"/>
          <w:highlight w:val="none"/>
          <w:lang w:eastAsia="zh-CN" w:bidi="ar"/>
        </w:rPr>
        <w:t>，如呼图壁县仁和老年公寓</w:t>
      </w:r>
      <w:r>
        <w:rPr>
          <w:rFonts w:hint="eastAsia" w:ascii="仿宋_GB2312" w:hAnsi="仿宋_GB2312" w:eastAsia="仿宋_GB2312" w:cs="仿宋_GB2312"/>
          <w:color w:val="auto"/>
          <w:spacing w:val="6"/>
          <w:kern w:val="30"/>
          <w:sz w:val="30"/>
          <w:szCs w:val="30"/>
          <w:highlight w:val="none"/>
          <w:lang w:val="en-US" w:eastAsia="zh-CN" w:bidi="ar"/>
        </w:rPr>
        <w:t>虽</w:t>
      </w:r>
      <w:r>
        <w:rPr>
          <w:rFonts w:hint="eastAsia" w:ascii="仿宋_GB2312" w:hAnsi="仿宋_GB2312" w:eastAsia="仿宋_GB2312" w:cs="仿宋_GB2312"/>
          <w:color w:val="auto"/>
          <w:spacing w:val="6"/>
          <w:kern w:val="30"/>
          <w:sz w:val="30"/>
          <w:szCs w:val="30"/>
          <w:highlight w:val="none"/>
          <w:lang w:eastAsia="zh-CN" w:bidi="ar"/>
        </w:rPr>
        <w:t>为“公建民营”养老机构，其运营协议明确约定运营方须于“2015年在园区投资不少于200万元”，运营方实际承担了建设投入责任。在此情形下一刀切认定“公建民营”养老机构不可享受一次性建设补贴，未能体现运营方实际投资的事实，亦缺乏必要的政策弹性。</w:t>
      </w:r>
    </w:p>
    <w:p w14:paraId="0B93C6D8">
      <w:pPr>
        <w:keepNext w:val="0"/>
        <w:keepLines w:val="0"/>
        <w:pageBreakBefore w:val="0"/>
        <w:widowControl w:val="0"/>
        <w:kinsoku/>
        <w:wordWrap/>
        <w:overflowPunct/>
        <w:topLinePunct w:val="0"/>
        <w:autoSpaceDE/>
        <w:autoSpaceDN/>
        <w:bidi w:val="0"/>
        <w:adjustRightInd/>
        <w:snapToGrid/>
        <w:spacing w:line="590" w:lineRule="exact"/>
        <w:ind w:left="0" w:firstLineChars="200"/>
        <w:jc w:val="both"/>
        <w:textAlignment w:val="auto"/>
        <w:outlineLvl w:val="1"/>
        <w:rPr>
          <w:rFonts w:hint="eastAsia" w:ascii="楷体_GB2312" w:hAnsi="楷体_GB2312" w:eastAsia="楷体_GB2312" w:cs="楷体_GB2312"/>
          <w:color w:val="auto"/>
          <w:spacing w:val="0"/>
          <w:kern w:val="30"/>
          <w:sz w:val="30"/>
          <w:szCs w:val="30"/>
          <w:highlight w:val="none"/>
          <w:lang w:eastAsia="zh-CN" w:bidi="ar"/>
        </w:rPr>
      </w:pPr>
      <w:bookmarkStart w:id="389" w:name="_Toc11126"/>
      <w:bookmarkStart w:id="390" w:name="_Toc31233"/>
      <w:bookmarkStart w:id="391" w:name="_Toc29617"/>
      <w:bookmarkStart w:id="392" w:name="_Toc22219"/>
      <w:bookmarkStart w:id="393" w:name="_Toc11551"/>
      <w:bookmarkStart w:id="394" w:name="_Toc2323"/>
      <w:bookmarkStart w:id="395" w:name="_Toc880"/>
      <w:bookmarkStart w:id="396" w:name="_Toc26198"/>
      <w:bookmarkStart w:id="397" w:name="_Toc27803"/>
      <w:r>
        <w:rPr>
          <w:rFonts w:hint="eastAsia" w:ascii="楷体_GB2312" w:hAnsi="楷体_GB2312" w:eastAsia="楷体_GB2312" w:cs="楷体_GB2312"/>
          <w:color w:val="auto"/>
          <w:spacing w:val="0"/>
          <w:kern w:val="30"/>
          <w:sz w:val="30"/>
          <w:szCs w:val="30"/>
          <w:highlight w:val="none"/>
          <w:lang w:eastAsia="zh-CN" w:bidi="ar"/>
        </w:rPr>
        <w:t>（五）补贴标准与激励机制类问题</w:t>
      </w:r>
      <w:bookmarkEnd w:id="389"/>
      <w:bookmarkEnd w:id="390"/>
      <w:bookmarkEnd w:id="391"/>
      <w:bookmarkEnd w:id="392"/>
      <w:bookmarkEnd w:id="393"/>
      <w:bookmarkEnd w:id="394"/>
      <w:bookmarkEnd w:id="395"/>
      <w:bookmarkEnd w:id="396"/>
      <w:bookmarkEnd w:id="397"/>
    </w:p>
    <w:p w14:paraId="76BE3CBD">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2"/>
        <w:rPr>
          <w:rFonts w:hint="eastAsia" w:ascii="仿宋_GB2312" w:hAnsi="仿宋_GB2312" w:eastAsia="仿宋_GB2312" w:cs="仿宋_GB2312"/>
          <w:b/>
          <w:bCs/>
          <w:color w:val="auto"/>
          <w:spacing w:val="6"/>
          <w:kern w:val="30"/>
          <w:sz w:val="30"/>
          <w:szCs w:val="30"/>
          <w:highlight w:val="none"/>
          <w:lang w:eastAsia="zh-CN" w:bidi="ar"/>
        </w:rPr>
      </w:pPr>
      <w:bookmarkStart w:id="398" w:name="_Toc21695"/>
      <w:r>
        <w:rPr>
          <w:rFonts w:hint="eastAsia" w:ascii="仿宋_GB2312" w:hAnsi="仿宋_GB2312" w:eastAsia="仿宋_GB2312" w:cs="仿宋_GB2312"/>
          <w:b/>
          <w:bCs/>
          <w:color w:val="auto"/>
          <w:spacing w:val="6"/>
          <w:kern w:val="30"/>
          <w:sz w:val="30"/>
          <w:szCs w:val="30"/>
          <w:highlight w:val="none"/>
          <w:lang w:val="en-US" w:eastAsia="zh-CN" w:bidi="ar"/>
        </w:rPr>
        <w:t>1.</w:t>
      </w:r>
      <w:r>
        <w:rPr>
          <w:rFonts w:hint="eastAsia" w:ascii="仿宋_GB2312" w:hAnsi="仿宋_GB2312" w:eastAsia="仿宋_GB2312" w:cs="仿宋_GB2312"/>
          <w:b/>
          <w:bCs/>
          <w:color w:val="auto"/>
          <w:spacing w:val="6"/>
          <w:kern w:val="30"/>
          <w:sz w:val="30"/>
          <w:szCs w:val="30"/>
          <w:highlight w:val="none"/>
          <w:lang w:eastAsia="zh-CN" w:bidi="ar"/>
        </w:rPr>
        <w:t>运营补贴标准偏低，与失能等级脱钩</w:t>
      </w:r>
      <w:bookmarkEnd w:id="398"/>
    </w:p>
    <w:p w14:paraId="4EBE06EB">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9"/>
        <w:rPr>
          <w:rFonts w:hint="eastAsia" w:ascii="仿宋_GB2312" w:hAnsi="仿宋_GB2312" w:eastAsia="仿宋_GB2312" w:cs="仿宋_GB2312"/>
          <w:color w:val="auto"/>
          <w:spacing w:val="6"/>
          <w:kern w:val="30"/>
          <w:sz w:val="30"/>
          <w:szCs w:val="30"/>
          <w:highlight w:val="none"/>
          <w:lang w:eastAsia="zh-CN" w:bidi="ar"/>
        </w:rPr>
      </w:pPr>
      <w:r>
        <w:rPr>
          <w:rFonts w:hint="eastAsia" w:ascii="仿宋_GB2312" w:hAnsi="仿宋_GB2312" w:eastAsia="仿宋_GB2312" w:cs="仿宋_GB2312"/>
          <w:color w:val="auto"/>
          <w:spacing w:val="6"/>
          <w:kern w:val="30"/>
          <w:sz w:val="30"/>
          <w:szCs w:val="30"/>
          <w:highlight w:val="none"/>
          <w:lang w:eastAsia="zh-CN" w:bidi="ar"/>
        </w:rPr>
        <w:t>《资助办法》第四条将运营补贴标准统一设定为“每人每月100元”。问卷调查显示，机构对运营补贴标准的满意度为55.27%，78.9</w:t>
      </w:r>
      <w:r>
        <w:rPr>
          <w:rFonts w:hint="eastAsia" w:ascii="仿宋_GB2312" w:hAnsi="仿宋_GB2312" w:eastAsia="仿宋_GB2312" w:cs="仿宋_GB2312"/>
          <w:color w:val="auto"/>
          <w:spacing w:val="6"/>
          <w:kern w:val="30"/>
          <w:sz w:val="30"/>
          <w:szCs w:val="30"/>
          <w:highlight w:val="none"/>
          <w:lang w:val="en-US" w:eastAsia="zh-CN" w:bidi="ar"/>
        </w:rPr>
        <w:t>0</w:t>
      </w:r>
      <w:r>
        <w:rPr>
          <w:rFonts w:hint="eastAsia" w:ascii="仿宋_GB2312" w:hAnsi="仿宋_GB2312" w:eastAsia="仿宋_GB2312" w:cs="仿宋_GB2312"/>
          <w:color w:val="auto"/>
          <w:spacing w:val="6"/>
          <w:kern w:val="30"/>
          <w:sz w:val="30"/>
          <w:szCs w:val="30"/>
          <w:highlight w:val="none"/>
          <w:lang w:eastAsia="zh-CN" w:bidi="ar"/>
        </w:rPr>
        <w:t>%的机构将“提高运营补贴标准”列为首要优化诉求。</w:t>
      </w:r>
    </w:p>
    <w:p w14:paraId="5C8EDB8B">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9"/>
        <w:rPr>
          <w:rFonts w:hint="eastAsia" w:ascii="仿宋_GB2312" w:hAnsi="仿宋_GB2312" w:eastAsia="仿宋_GB2312" w:cs="仿宋_GB2312"/>
          <w:color w:val="auto"/>
          <w:spacing w:val="6"/>
          <w:kern w:val="30"/>
          <w:sz w:val="30"/>
          <w:szCs w:val="30"/>
          <w:highlight w:val="none"/>
          <w:lang w:val="en-US" w:eastAsia="zh-CN" w:bidi="ar"/>
        </w:rPr>
      </w:pPr>
      <w:r>
        <w:rPr>
          <w:rFonts w:hint="eastAsia" w:ascii="仿宋_GB2312" w:hAnsi="仿宋_GB2312" w:eastAsia="仿宋_GB2312" w:cs="仿宋_GB2312"/>
          <w:color w:val="auto"/>
          <w:spacing w:val="6"/>
          <w:kern w:val="30"/>
          <w:sz w:val="30"/>
          <w:szCs w:val="30"/>
          <w:highlight w:val="none"/>
          <w:lang w:val="en-US" w:eastAsia="zh-CN" w:bidi="ar"/>
        </w:rPr>
        <w:t>以</w:t>
      </w:r>
      <w:r>
        <w:rPr>
          <w:rFonts w:hint="default" w:ascii="仿宋_GB2312" w:hAnsi="仿宋_GB2312" w:eastAsia="仿宋_GB2312" w:cs="仿宋_GB2312"/>
          <w:color w:val="auto"/>
          <w:spacing w:val="6"/>
          <w:kern w:val="30"/>
          <w:sz w:val="30"/>
          <w:szCs w:val="30"/>
          <w:highlight w:val="none"/>
          <w:lang w:val="en-US" w:eastAsia="zh-CN" w:bidi="ar"/>
        </w:rPr>
        <w:t>甘肃、陕西、宁夏三省作为参照对象</w:t>
      </w:r>
      <w:r>
        <w:rPr>
          <w:rFonts w:hint="eastAsia" w:ascii="仿宋_GB2312" w:hAnsi="仿宋_GB2312" w:eastAsia="仿宋_GB2312" w:cs="仿宋_GB2312"/>
          <w:color w:val="auto"/>
          <w:spacing w:val="6"/>
          <w:kern w:val="30"/>
          <w:sz w:val="30"/>
          <w:szCs w:val="30"/>
          <w:highlight w:val="none"/>
          <w:lang w:eastAsia="zh-CN" w:bidi="ar"/>
        </w:rPr>
        <w:t>，自治区现行标准偏低，</w:t>
      </w:r>
      <w:r>
        <w:rPr>
          <w:rFonts w:hint="eastAsia" w:ascii="仿宋_GB2312" w:hAnsi="仿宋_GB2312" w:eastAsia="仿宋_GB2312" w:cs="仿宋_GB2312"/>
          <w:color w:val="auto"/>
          <w:spacing w:val="6"/>
          <w:kern w:val="30"/>
          <w:sz w:val="30"/>
          <w:szCs w:val="30"/>
          <w:highlight w:val="none"/>
          <w:lang w:val="en-US" w:eastAsia="zh-CN" w:bidi="ar"/>
        </w:rPr>
        <w:t>具体如下表所示。</w:t>
      </w:r>
    </w:p>
    <w:p w14:paraId="0F1EC80B">
      <w:pPr>
        <w:keepNext w:val="0"/>
        <w:keepLines w:val="0"/>
        <w:pageBreakBefore w:val="0"/>
        <w:widowControl/>
        <w:numPr>
          <w:ilvl w:val="-1"/>
          <w:numId w:val="0"/>
        </w:numPr>
        <w:kinsoku/>
        <w:wordWrap/>
        <w:overflowPunct/>
        <w:topLinePunct w:val="0"/>
        <w:autoSpaceDE/>
        <w:autoSpaceDN/>
        <w:bidi w:val="0"/>
        <w:adjustRightInd w:val="0"/>
        <w:snapToGrid w:val="0"/>
        <w:spacing w:line="240" w:lineRule="auto"/>
        <w:ind w:left="0" w:firstLine="0" w:firstLineChars="0"/>
        <w:jc w:val="center"/>
        <w:textAlignment w:val="auto"/>
        <w:outlineLvl w:val="9"/>
        <w:rPr>
          <w:rFonts w:hint="eastAsia" w:ascii="黑体" w:hAnsi="黑体" w:eastAsia="黑体" w:cs="黑体"/>
          <w:color w:val="auto"/>
          <w:spacing w:val="6"/>
          <w:kern w:val="30"/>
          <w:sz w:val="24"/>
          <w:szCs w:val="21"/>
          <w:highlight w:val="none"/>
          <w:lang w:val="en-US" w:eastAsia="zh-CN" w:bidi="ar"/>
        </w:rPr>
      </w:pPr>
      <w:r>
        <w:rPr>
          <w:rFonts w:hint="eastAsia" w:ascii="黑体" w:hAnsi="黑体" w:eastAsia="黑体" w:cs="黑体"/>
          <w:color w:val="auto"/>
          <w:spacing w:val="6"/>
          <w:kern w:val="30"/>
          <w:sz w:val="24"/>
          <w:szCs w:val="21"/>
          <w:highlight w:val="none"/>
          <w:lang w:val="en-US" w:eastAsia="zh-CN" w:bidi="ar"/>
        </w:rPr>
        <w:t>运营补贴标准横向对比情况表</w:t>
      </w:r>
    </w:p>
    <w:tbl>
      <w:tblPr>
        <w:tblStyle w:val="18"/>
        <w:tblW w:w="4997"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52"/>
        <w:gridCol w:w="5632"/>
        <w:gridCol w:w="2471"/>
      </w:tblGrid>
      <w:tr w14:paraId="55A46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blHeader/>
        </w:trPr>
        <w:tc>
          <w:tcPr>
            <w:tcW w:w="5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2E63DB">
            <w:pPr>
              <w:keepNext w:val="0"/>
              <w:keepLines w:val="0"/>
              <w:widowControl w:val="0"/>
              <w:suppressLineNumbers w:val="0"/>
              <w:adjustRightInd w:val="0"/>
              <w:snapToGrid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省份</w:t>
            </w:r>
          </w:p>
        </w:tc>
        <w:tc>
          <w:tcPr>
            <w:tcW w:w="31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F14B61">
            <w:pPr>
              <w:keepNext w:val="0"/>
              <w:keepLines w:val="0"/>
              <w:widowControl w:val="0"/>
              <w:suppressLineNumbers w:val="0"/>
              <w:adjustRightInd w:val="0"/>
              <w:snapToGrid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运营补贴标准</w:t>
            </w:r>
          </w:p>
        </w:tc>
        <w:tc>
          <w:tcPr>
            <w:tcW w:w="13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166477">
            <w:pPr>
              <w:keepNext w:val="0"/>
              <w:keepLines w:val="0"/>
              <w:widowControl w:val="0"/>
              <w:suppressLineNumbers w:val="0"/>
              <w:adjustRightInd w:val="0"/>
              <w:snapToGrid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均值</w:t>
            </w:r>
          </w:p>
        </w:tc>
      </w:tr>
      <w:tr w14:paraId="31AF7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 w:hRule="atLeast"/>
        </w:trPr>
        <w:tc>
          <w:tcPr>
            <w:tcW w:w="5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0F4E8F">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甘肃</w:t>
            </w:r>
          </w:p>
        </w:tc>
        <w:tc>
          <w:tcPr>
            <w:tcW w:w="31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827372">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自理100元/月、半失能200元/月、失能300元/月</w:t>
            </w:r>
          </w:p>
        </w:tc>
        <w:tc>
          <w:tcPr>
            <w:tcW w:w="13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C25212">
            <w:pPr>
              <w:keepNext w:val="0"/>
              <w:keepLines w:val="0"/>
              <w:widowControl w:val="0"/>
              <w:suppressLineNumbers w:val="0"/>
              <w:adjustRightInd w:val="0"/>
              <w:snapToGrid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200元/月</w:t>
            </w:r>
          </w:p>
        </w:tc>
      </w:tr>
      <w:tr w14:paraId="739D4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4" w:hRule="atLeast"/>
        </w:trPr>
        <w:tc>
          <w:tcPr>
            <w:tcW w:w="5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7860E3">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陕西</w:t>
            </w:r>
          </w:p>
        </w:tc>
        <w:tc>
          <w:tcPr>
            <w:tcW w:w="31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037BE6">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三星级50元/月、四星级80元/月、五星级100元/月（仅限三星级及以上机构方可申请）</w:t>
            </w:r>
          </w:p>
        </w:tc>
        <w:tc>
          <w:tcPr>
            <w:tcW w:w="13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1D16D1">
            <w:pPr>
              <w:keepNext w:val="0"/>
              <w:keepLines w:val="0"/>
              <w:widowControl w:val="0"/>
              <w:suppressLineNumbers w:val="0"/>
              <w:adjustRightInd w:val="0"/>
              <w:snapToGrid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77元/月</w:t>
            </w:r>
          </w:p>
        </w:tc>
      </w:tr>
      <w:tr w14:paraId="70DA7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 w:hRule="atLeast"/>
        </w:trPr>
        <w:tc>
          <w:tcPr>
            <w:tcW w:w="52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725F21">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宁夏</w:t>
            </w:r>
          </w:p>
        </w:tc>
        <w:tc>
          <w:tcPr>
            <w:tcW w:w="31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BCDCBE">
            <w:pPr>
              <w:keepNext w:val="0"/>
              <w:keepLines w:val="0"/>
              <w:widowControl w:val="0"/>
              <w:suppressLineNumbers w:val="0"/>
              <w:adjustRightInd w:val="0"/>
              <w:snapToGrid w:val="0"/>
              <w:jc w:val="left"/>
              <w:textAlignment w:val="center"/>
              <w:rPr>
                <w:rFonts w:hint="eastAsia" w:ascii="仿宋" w:hAnsi="仿宋" w:eastAsia="仿宋" w:cs="仿宋"/>
                <w:i w:val="0"/>
                <w:iCs w:val="0"/>
                <w:color w:val="auto"/>
                <w:sz w:val="21"/>
                <w:szCs w:val="21"/>
                <w:highlight w:val="none"/>
                <w:u w:val="none"/>
              </w:rPr>
            </w:pPr>
            <w:r>
              <w:rPr>
                <w:rFonts w:hint="eastAsia" w:hAnsi="仿宋" w:cs="仿宋"/>
                <w:i w:val="0"/>
                <w:iCs w:val="0"/>
                <w:color w:val="auto"/>
                <w:kern w:val="0"/>
                <w:sz w:val="21"/>
                <w:szCs w:val="21"/>
                <w:highlight w:val="none"/>
                <w:u w:val="none"/>
                <w:lang w:val="en-US" w:eastAsia="zh-CN" w:bidi="ar"/>
              </w:rPr>
              <w:t>1.</w:t>
            </w:r>
            <w:r>
              <w:rPr>
                <w:rFonts w:hint="eastAsia" w:ascii="仿宋" w:hAnsi="仿宋" w:eastAsia="仿宋" w:cs="仿宋"/>
                <w:i w:val="0"/>
                <w:iCs w:val="0"/>
                <w:color w:val="auto"/>
                <w:kern w:val="0"/>
                <w:sz w:val="21"/>
                <w:szCs w:val="21"/>
                <w:highlight w:val="none"/>
                <w:u w:val="none"/>
                <w:lang w:val="en-US" w:eastAsia="zh-CN" w:bidi="ar"/>
              </w:rPr>
              <w:t>800元/年，折合150元/月</w:t>
            </w:r>
          </w:p>
        </w:tc>
        <w:tc>
          <w:tcPr>
            <w:tcW w:w="13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97A7B4">
            <w:pPr>
              <w:keepNext w:val="0"/>
              <w:keepLines w:val="0"/>
              <w:widowControl w:val="0"/>
              <w:suppressLineNumbers w:val="0"/>
              <w:adjustRightInd w:val="0"/>
              <w:snapToGrid w:val="0"/>
              <w:jc w:val="center"/>
              <w:textAlignment w:val="center"/>
              <w:rPr>
                <w:rFonts w:hint="eastAsia" w:ascii="仿宋" w:hAnsi="仿宋" w:eastAsia="仿宋" w:cs="仿宋"/>
                <w:i w:val="0"/>
                <w:iCs w:val="0"/>
                <w:color w:val="auto"/>
                <w:sz w:val="21"/>
                <w:szCs w:val="21"/>
                <w:highlight w:val="none"/>
                <w:u w:val="none"/>
              </w:rPr>
            </w:pPr>
            <w:r>
              <w:rPr>
                <w:rFonts w:hint="eastAsia" w:ascii="仿宋" w:hAnsi="仿宋" w:eastAsia="仿宋" w:cs="仿宋"/>
                <w:i w:val="0"/>
                <w:iCs w:val="0"/>
                <w:color w:val="auto"/>
                <w:kern w:val="0"/>
                <w:sz w:val="21"/>
                <w:szCs w:val="21"/>
                <w:highlight w:val="none"/>
                <w:u w:val="none"/>
                <w:lang w:val="en-US" w:eastAsia="zh-CN" w:bidi="ar"/>
              </w:rPr>
              <w:t>150元/月</w:t>
            </w:r>
          </w:p>
        </w:tc>
      </w:tr>
      <w:tr w14:paraId="72FD2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63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55DCD2FA">
            <w:pPr>
              <w:keepNext w:val="0"/>
              <w:keepLines w:val="0"/>
              <w:widowControl w:val="0"/>
              <w:suppressLineNumbers w:val="0"/>
              <w:adjustRightInd w:val="0"/>
              <w:snapToGrid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三省均值</w:t>
            </w:r>
          </w:p>
        </w:tc>
        <w:tc>
          <w:tcPr>
            <w:tcW w:w="13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164652">
            <w:pPr>
              <w:keepNext w:val="0"/>
              <w:keepLines w:val="0"/>
              <w:widowControl w:val="0"/>
              <w:suppressLineNumbers w:val="0"/>
              <w:adjustRightInd w:val="0"/>
              <w:snapToGrid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142元/月</w:t>
            </w:r>
          </w:p>
        </w:tc>
      </w:tr>
      <w:tr w14:paraId="10AD4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4" w:hRule="atLeast"/>
        </w:trPr>
        <w:tc>
          <w:tcPr>
            <w:tcW w:w="3635" w:type="pct"/>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6482681B">
            <w:pPr>
              <w:keepNext w:val="0"/>
              <w:keepLines w:val="0"/>
              <w:widowControl w:val="0"/>
              <w:suppressLineNumbers w:val="0"/>
              <w:adjustRightInd w:val="0"/>
              <w:snapToGrid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自治区</w:t>
            </w:r>
          </w:p>
        </w:tc>
        <w:tc>
          <w:tcPr>
            <w:tcW w:w="136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504EC4">
            <w:pPr>
              <w:keepNext w:val="0"/>
              <w:keepLines w:val="0"/>
              <w:widowControl w:val="0"/>
              <w:suppressLineNumbers w:val="0"/>
              <w:adjustRightInd w:val="0"/>
              <w:snapToGrid w:val="0"/>
              <w:jc w:val="center"/>
              <w:textAlignment w:val="center"/>
              <w:rPr>
                <w:rFonts w:hint="eastAsia" w:ascii="仿宋" w:hAnsi="仿宋" w:eastAsia="仿宋" w:cs="仿宋"/>
                <w:b/>
                <w:bCs/>
                <w:i w:val="0"/>
                <w:iCs w:val="0"/>
                <w:color w:val="auto"/>
                <w:sz w:val="21"/>
                <w:szCs w:val="21"/>
                <w:highlight w:val="none"/>
                <w:u w:val="none"/>
              </w:rPr>
            </w:pPr>
            <w:r>
              <w:rPr>
                <w:rFonts w:hint="eastAsia" w:ascii="仿宋" w:hAnsi="仿宋" w:eastAsia="仿宋" w:cs="仿宋"/>
                <w:b/>
                <w:bCs/>
                <w:i w:val="0"/>
                <w:iCs w:val="0"/>
                <w:color w:val="auto"/>
                <w:kern w:val="0"/>
                <w:sz w:val="21"/>
                <w:szCs w:val="21"/>
                <w:highlight w:val="none"/>
                <w:u w:val="none"/>
                <w:lang w:val="en-US" w:eastAsia="zh-CN" w:bidi="ar"/>
              </w:rPr>
              <w:t>100元/月</w:t>
            </w:r>
          </w:p>
        </w:tc>
      </w:tr>
    </w:tbl>
    <w:p w14:paraId="0EE5E66B">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9"/>
        <w:rPr>
          <w:rFonts w:hint="eastAsia" w:ascii="仿宋_GB2312" w:hAnsi="仿宋_GB2312" w:eastAsia="仿宋_GB2312" w:cs="仿宋_GB2312"/>
          <w:color w:val="auto"/>
          <w:spacing w:val="6"/>
          <w:kern w:val="30"/>
          <w:sz w:val="30"/>
          <w:szCs w:val="30"/>
          <w:highlight w:val="none"/>
          <w:lang w:eastAsia="zh-CN" w:bidi="ar"/>
        </w:rPr>
      </w:pPr>
      <w:r>
        <w:rPr>
          <w:rFonts w:hint="eastAsia" w:ascii="仿宋_GB2312" w:hAnsi="仿宋_GB2312" w:eastAsia="仿宋_GB2312" w:cs="仿宋_GB2312"/>
          <w:color w:val="auto"/>
          <w:spacing w:val="6"/>
          <w:kern w:val="30"/>
          <w:sz w:val="30"/>
          <w:szCs w:val="30"/>
          <w:highlight w:val="none"/>
          <w:lang w:eastAsia="zh-CN" w:bidi="ar"/>
        </w:rPr>
        <w:t>自治区标准100元/月较三省均值142元/月低29.58%。</w:t>
      </w:r>
    </w:p>
    <w:p w14:paraId="0C9A620A">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9"/>
        <w:rPr>
          <w:rFonts w:hint="eastAsia" w:ascii="仿宋_GB2312" w:hAnsi="仿宋_GB2312" w:eastAsia="仿宋_GB2312" w:cs="仿宋_GB2312"/>
          <w:color w:val="auto"/>
          <w:spacing w:val="6"/>
          <w:kern w:val="30"/>
          <w:sz w:val="30"/>
          <w:szCs w:val="30"/>
          <w:highlight w:val="none"/>
          <w:lang w:eastAsia="zh-CN" w:bidi="ar"/>
        </w:rPr>
      </w:pPr>
      <w:r>
        <w:rPr>
          <w:rFonts w:hint="eastAsia" w:ascii="仿宋_GB2312" w:hAnsi="仿宋_GB2312" w:eastAsia="仿宋_GB2312" w:cs="仿宋_GB2312"/>
          <w:color w:val="auto"/>
          <w:spacing w:val="6"/>
          <w:kern w:val="30"/>
          <w:sz w:val="30"/>
          <w:szCs w:val="30"/>
          <w:highlight w:val="none"/>
          <w:lang w:eastAsia="zh-CN" w:bidi="ar"/>
        </w:rPr>
        <w:t>政策未根据老年人失能等级实行差异化补贴。根据养老行业普遍规律，老年人的护理成本与失能等级高度相关：自理老人仅需生活照料、餐饮等基本服务；中度失能老人需部分护理协助；重度及完全失能老人则需专业护理，包括翻身、喂食、清洁</w:t>
      </w:r>
      <w:r>
        <w:rPr>
          <w:rFonts w:hint="eastAsia" w:ascii="仿宋_GB2312" w:hAnsi="仿宋_GB2312" w:eastAsia="仿宋_GB2312" w:cs="仿宋_GB2312"/>
          <w:color w:val="auto"/>
          <w:spacing w:val="6"/>
          <w:kern w:val="30"/>
          <w:sz w:val="30"/>
          <w:szCs w:val="30"/>
          <w:highlight w:val="none"/>
          <w:lang w:val="en-US" w:eastAsia="zh-CN" w:bidi="ar"/>
        </w:rPr>
        <w:t>等</w:t>
      </w:r>
      <w:r>
        <w:rPr>
          <w:rFonts w:hint="eastAsia" w:ascii="仿宋_GB2312" w:hAnsi="仿宋_GB2312" w:eastAsia="仿宋_GB2312" w:cs="仿宋_GB2312"/>
          <w:color w:val="auto"/>
          <w:spacing w:val="6"/>
          <w:kern w:val="30"/>
          <w:sz w:val="30"/>
          <w:szCs w:val="30"/>
          <w:highlight w:val="none"/>
          <w:lang w:eastAsia="zh-CN" w:bidi="ar"/>
        </w:rPr>
        <w:t>。不同失能等级之间的护理成本差异可达数倍甚至更高，统一标准既无法体现公平性，也丧失了差异化激励功能。</w:t>
      </w:r>
    </w:p>
    <w:p w14:paraId="70C01230">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2"/>
        <w:rPr>
          <w:rFonts w:hint="eastAsia" w:ascii="仿宋_GB2312" w:hAnsi="仿宋_GB2312" w:eastAsia="仿宋_GB2312" w:cs="仿宋_GB2312"/>
          <w:b/>
          <w:bCs/>
          <w:color w:val="auto"/>
          <w:spacing w:val="6"/>
          <w:kern w:val="30"/>
          <w:sz w:val="30"/>
          <w:szCs w:val="30"/>
          <w:highlight w:val="none"/>
          <w:lang w:eastAsia="zh-CN" w:bidi="ar"/>
        </w:rPr>
      </w:pPr>
      <w:bookmarkStart w:id="399" w:name="_Toc3877"/>
      <w:r>
        <w:rPr>
          <w:rFonts w:hint="eastAsia" w:ascii="仿宋_GB2312" w:hAnsi="仿宋_GB2312" w:eastAsia="仿宋_GB2312" w:cs="仿宋_GB2312"/>
          <w:b/>
          <w:bCs/>
          <w:color w:val="auto"/>
          <w:spacing w:val="6"/>
          <w:kern w:val="30"/>
          <w:sz w:val="30"/>
          <w:szCs w:val="30"/>
          <w:highlight w:val="none"/>
          <w:lang w:val="en-US" w:eastAsia="zh-CN" w:bidi="ar"/>
        </w:rPr>
        <w:t>2.</w:t>
      </w:r>
      <w:r>
        <w:rPr>
          <w:rFonts w:hint="eastAsia" w:ascii="仿宋_GB2312" w:hAnsi="仿宋_GB2312" w:eastAsia="仿宋_GB2312" w:cs="仿宋_GB2312"/>
          <w:b/>
          <w:bCs/>
          <w:color w:val="auto"/>
          <w:spacing w:val="6"/>
          <w:kern w:val="30"/>
          <w:sz w:val="30"/>
          <w:szCs w:val="30"/>
          <w:highlight w:val="none"/>
          <w:lang w:eastAsia="zh-CN" w:bidi="ar"/>
        </w:rPr>
        <w:t>入住率门槛偏高，加剧低入住率机构经营困境</w:t>
      </w:r>
      <w:bookmarkEnd w:id="399"/>
    </w:p>
    <w:p w14:paraId="28B5B1A5">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9"/>
        <w:rPr>
          <w:rFonts w:hint="eastAsia" w:ascii="仿宋_GB2312" w:hAnsi="仿宋_GB2312" w:eastAsia="仿宋_GB2312" w:cs="仿宋_GB2312"/>
          <w:color w:val="auto"/>
          <w:spacing w:val="6"/>
          <w:kern w:val="30"/>
          <w:sz w:val="30"/>
          <w:szCs w:val="30"/>
          <w:highlight w:val="none"/>
          <w:lang w:eastAsia="zh-CN" w:bidi="ar"/>
        </w:rPr>
      </w:pPr>
      <w:r>
        <w:rPr>
          <w:rFonts w:hint="eastAsia" w:ascii="仿宋_GB2312" w:hAnsi="仿宋_GB2312" w:eastAsia="仿宋_GB2312" w:cs="仿宋_GB2312"/>
          <w:color w:val="auto"/>
          <w:spacing w:val="6"/>
          <w:kern w:val="30"/>
          <w:sz w:val="30"/>
          <w:szCs w:val="30"/>
          <w:highlight w:val="none"/>
          <w:lang w:eastAsia="zh-CN" w:bidi="ar"/>
        </w:rPr>
        <w:t>《资助办法》第三条第（四）款将“入住率达到50%以上”列为资助条件；不予资助的情形中亦明确“入住率达不到50%以上的”不予资助。评估发现昌吉州吉木萨尔县、塔城地区沙湾市和额敏县、克拉玛依市、巴州和硕县等多地养老机构因入住率未达50%而完全无法获得运营补贴。</w:t>
      </w:r>
    </w:p>
    <w:p w14:paraId="30D90C1F">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9"/>
        <w:rPr>
          <w:rFonts w:hint="eastAsia" w:ascii="仿宋_GB2312" w:hAnsi="仿宋_GB2312" w:eastAsia="仿宋_GB2312" w:cs="仿宋_GB2312"/>
          <w:color w:val="auto"/>
          <w:spacing w:val="6"/>
          <w:kern w:val="30"/>
          <w:sz w:val="30"/>
          <w:szCs w:val="30"/>
          <w:highlight w:val="none"/>
          <w:lang w:eastAsia="zh-CN" w:bidi="ar"/>
        </w:rPr>
      </w:pPr>
      <w:r>
        <w:rPr>
          <w:rFonts w:hint="eastAsia" w:ascii="仿宋_GB2312" w:hAnsi="仿宋_GB2312" w:eastAsia="仿宋_GB2312" w:cs="仿宋_GB2312"/>
          <w:color w:val="auto"/>
          <w:spacing w:val="6"/>
          <w:kern w:val="30"/>
          <w:sz w:val="30"/>
          <w:szCs w:val="30"/>
          <w:highlight w:val="none"/>
          <w:lang w:val="en-US" w:eastAsia="zh-CN" w:bidi="ar"/>
        </w:rPr>
        <w:t>问卷调查显示，</w:t>
      </w:r>
      <w:r>
        <w:rPr>
          <w:rFonts w:hint="eastAsia" w:ascii="仿宋_GB2312" w:hAnsi="仿宋_GB2312" w:eastAsia="仿宋_GB2312" w:cs="仿宋_GB2312"/>
          <w:color w:val="auto"/>
          <w:spacing w:val="6"/>
          <w:kern w:val="30"/>
          <w:sz w:val="30"/>
          <w:szCs w:val="30"/>
          <w:highlight w:val="none"/>
          <w:lang w:eastAsia="zh-CN" w:bidi="ar"/>
        </w:rPr>
        <w:t>38%的机构认为该门槛“非常合理”或“比较合理”，42%认为“不太合理”或“非常不合理”，55.9</w:t>
      </w:r>
      <w:r>
        <w:rPr>
          <w:rFonts w:hint="eastAsia" w:ascii="仿宋_GB2312" w:hAnsi="仿宋_GB2312" w:eastAsia="仿宋_GB2312" w:cs="仿宋_GB2312"/>
          <w:color w:val="auto"/>
          <w:spacing w:val="6"/>
          <w:kern w:val="30"/>
          <w:sz w:val="30"/>
          <w:szCs w:val="30"/>
          <w:highlight w:val="none"/>
          <w:lang w:val="en-US" w:eastAsia="zh-CN" w:bidi="ar"/>
        </w:rPr>
        <w:t>0</w:t>
      </w:r>
      <w:r>
        <w:rPr>
          <w:rFonts w:hint="eastAsia" w:ascii="仿宋_GB2312" w:hAnsi="仿宋_GB2312" w:eastAsia="仿宋_GB2312" w:cs="仿宋_GB2312"/>
          <w:color w:val="auto"/>
          <w:spacing w:val="6"/>
          <w:kern w:val="30"/>
          <w:sz w:val="30"/>
          <w:szCs w:val="30"/>
          <w:highlight w:val="none"/>
          <w:lang w:eastAsia="zh-CN" w:bidi="ar"/>
        </w:rPr>
        <w:t>%的机构建议降低入住率门槛至30%或更低。在未获得资助的机构中，入住率未达标是首要原因。低入住率机构对政策的依赖度极高：入住率30%以下的机构中，50%认为政策到期将产生“影响巨大、可能导致难以维持”的后果，仅25%认为无影响或影响很小；入住率30%至49%的机构中，57.1%认为政策到期会带来重大影响，这部分</w:t>
      </w:r>
      <w:r>
        <w:rPr>
          <w:rFonts w:hint="eastAsia" w:ascii="仿宋_GB2312" w:hAnsi="仿宋_GB2312" w:eastAsia="仿宋_GB2312" w:cs="仿宋_GB2312"/>
          <w:color w:val="auto"/>
          <w:spacing w:val="6"/>
          <w:kern w:val="30"/>
          <w:sz w:val="30"/>
          <w:szCs w:val="30"/>
          <w:highlight w:val="none"/>
          <w:lang w:val="en-US" w:eastAsia="zh-CN" w:bidi="ar"/>
        </w:rPr>
        <w:t>入住率达不到补贴门槛的</w:t>
      </w:r>
      <w:r>
        <w:rPr>
          <w:rFonts w:hint="eastAsia" w:ascii="仿宋_GB2312" w:hAnsi="仿宋_GB2312" w:eastAsia="仿宋_GB2312" w:cs="仿宋_GB2312"/>
          <w:color w:val="auto"/>
          <w:spacing w:val="6"/>
          <w:kern w:val="30"/>
          <w:sz w:val="30"/>
          <w:szCs w:val="30"/>
          <w:highlight w:val="none"/>
          <w:lang w:eastAsia="zh-CN" w:bidi="ar"/>
        </w:rPr>
        <w:t>机构恰恰是对政策依赖度最高、抗风险能力最弱的群体，客观上存在“低入住率→无补贴→服务改善能力受限→入住率进一步下滑”的循环滑落风险。</w:t>
      </w:r>
    </w:p>
    <w:p w14:paraId="043E5E4B">
      <w:pPr>
        <w:keepNext w:val="0"/>
        <w:keepLines w:val="0"/>
        <w:pageBreakBefore w:val="0"/>
        <w:widowControl w:val="0"/>
        <w:kinsoku/>
        <w:wordWrap/>
        <w:overflowPunct/>
        <w:topLinePunct w:val="0"/>
        <w:autoSpaceDE/>
        <w:autoSpaceDN/>
        <w:bidi w:val="0"/>
        <w:adjustRightInd/>
        <w:snapToGrid/>
        <w:spacing w:line="590" w:lineRule="exact"/>
        <w:ind w:left="0" w:firstLineChars="200"/>
        <w:jc w:val="both"/>
        <w:textAlignment w:val="auto"/>
        <w:outlineLvl w:val="1"/>
        <w:rPr>
          <w:rFonts w:hint="eastAsia" w:ascii="楷体_GB2312" w:hAnsi="楷体_GB2312" w:eastAsia="楷体_GB2312" w:cs="楷体_GB2312"/>
          <w:color w:val="auto"/>
          <w:spacing w:val="0"/>
          <w:kern w:val="30"/>
          <w:sz w:val="30"/>
          <w:szCs w:val="30"/>
          <w:highlight w:val="none"/>
          <w:lang w:eastAsia="zh-CN" w:bidi="ar"/>
        </w:rPr>
      </w:pPr>
      <w:bookmarkStart w:id="400" w:name="_Toc13395"/>
      <w:bookmarkStart w:id="401" w:name="_Toc23663"/>
      <w:bookmarkStart w:id="402" w:name="_Toc29012"/>
      <w:bookmarkStart w:id="403" w:name="_Toc13119"/>
      <w:bookmarkStart w:id="404" w:name="_Toc9890"/>
      <w:bookmarkStart w:id="405" w:name="_Toc14545"/>
      <w:bookmarkStart w:id="406" w:name="_Toc22358"/>
      <w:bookmarkStart w:id="407" w:name="_Toc14626"/>
      <w:bookmarkStart w:id="408" w:name="_Toc4034"/>
      <w:r>
        <w:rPr>
          <w:rFonts w:hint="eastAsia" w:ascii="楷体_GB2312" w:hAnsi="楷体_GB2312" w:eastAsia="楷体_GB2312" w:cs="楷体_GB2312"/>
          <w:color w:val="auto"/>
          <w:spacing w:val="0"/>
          <w:kern w:val="30"/>
          <w:sz w:val="30"/>
          <w:szCs w:val="30"/>
          <w:highlight w:val="none"/>
          <w:lang w:eastAsia="zh-CN" w:bidi="ar"/>
        </w:rPr>
        <w:t>（六）政策衔接与配套类问题</w:t>
      </w:r>
      <w:bookmarkEnd w:id="400"/>
      <w:bookmarkEnd w:id="401"/>
      <w:bookmarkEnd w:id="402"/>
      <w:bookmarkEnd w:id="403"/>
      <w:bookmarkEnd w:id="404"/>
      <w:bookmarkEnd w:id="405"/>
      <w:bookmarkEnd w:id="406"/>
      <w:bookmarkEnd w:id="407"/>
      <w:bookmarkEnd w:id="408"/>
    </w:p>
    <w:p w14:paraId="017263E5">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2"/>
        <w:rPr>
          <w:rFonts w:hint="eastAsia" w:ascii="仿宋_GB2312" w:hAnsi="仿宋_GB2312" w:eastAsia="仿宋_GB2312" w:cs="仿宋_GB2312"/>
          <w:b/>
          <w:bCs/>
          <w:color w:val="auto"/>
          <w:spacing w:val="6"/>
          <w:kern w:val="30"/>
          <w:sz w:val="30"/>
          <w:szCs w:val="30"/>
          <w:highlight w:val="none"/>
          <w:lang w:eastAsia="zh-CN" w:bidi="ar"/>
        </w:rPr>
      </w:pPr>
      <w:bookmarkStart w:id="409" w:name="_Toc3950"/>
      <w:r>
        <w:rPr>
          <w:rFonts w:hint="eastAsia" w:ascii="仿宋_GB2312" w:hAnsi="仿宋_GB2312" w:eastAsia="仿宋_GB2312" w:cs="仿宋_GB2312"/>
          <w:b/>
          <w:bCs/>
          <w:color w:val="auto"/>
          <w:spacing w:val="6"/>
          <w:kern w:val="30"/>
          <w:sz w:val="30"/>
          <w:szCs w:val="30"/>
          <w:highlight w:val="none"/>
          <w:lang w:val="en-US" w:eastAsia="zh-CN" w:bidi="ar"/>
        </w:rPr>
        <w:t>1.评估周期内政策</w:t>
      </w:r>
      <w:r>
        <w:rPr>
          <w:rFonts w:hint="eastAsia" w:ascii="仿宋_GB2312" w:hAnsi="仿宋_GB2312" w:eastAsia="仿宋_GB2312" w:cs="仿宋_GB2312"/>
          <w:b/>
          <w:bCs/>
          <w:color w:val="auto"/>
          <w:spacing w:val="6"/>
          <w:kern w:val="30"/>
          <w:sz w:val="30"/>
          <w:szCs w:val="30"/>
          <w:highlight w:val="none"/>
          <w:lang w:eastAsia="zh-CN" w:bidi="ar"/>
        </w:rPr>
        <w:t>与“十四五”规划指标未衔接</w:t>
      </w:r>
      <w:bookmarkEnd w:id="409"/>
    </w:p>
    <w:p w14:paraId="0393D5BA">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9"/>
        <w:rPr>
          <w:rFonts w:hint="eastAsia" w:ascii="仿宋_GB2312" w:hAnsi="仿宋_GB2312" w:eastAsia="仿宋_GB2312" w:cs="仿宋_GB2312"/>
          <w:color w:val="auto"/>
          <w:spacing w:val="6"/>
          <w:kern w:val="30"/>
          <w:sz w:val="30"/>
          <w:szCs w:val="30"/>
          <w:highlight w:val="none"/>
          <w:lang w:eastAsia="zh-CN" w:bidi="ar"/>
        </w:rPr>
      </w:pPr>
      <w:r>
        <w:rPr>
          <w:rFonts w:hint="eastAsia" w:ascii="仿宋_GB2312" w:hAnsi="仿宋_GB2312" w:eastAsia="仿宋_GB2312" w:cs="仿宋_GB2312"/>
          <w:color w:val="auto"/>
          <w:spacing w:val="6"/>
          <w:kern w:val="30"/>
          <w:sz w:val="30"/>
          <w:szCs w:val="30"/>
          <w:highlight w:val="none"/>
          <w:lang w:eastAsia="zh-CN" w:bidi="ar"/>
        </w:rPr>
        <w:t>《资助办法》第三条第（一）款仅以床位总数“30张以上”作为资助门槛，未涉及护理型床位占比要求，而国家和自治区“十四五”规划均要求养老机构护理型床位占比不低于55%，政策导向与规划要求脱节。问卷调查显示，74.5</w:t>
      </w:r>
      <w:r>
        <w:rPr>
          <w:rFonts w:hint="eastAsia" w:ascii="仿宋_GB2312" w:hAnsi="仿宋_GB2312" w:eastAsia="仿宋_GB2312" w:cs="仿宋_GB2312"/>
          <w:color w:val="auto"/>
          <w:spacing w:val="6"/>
          <w:kern w:val="30"/>
          <w:sz w:val="30"/>
          <w:szCs w:val="30"/>
          <w:highlight w:val="none"/>
          <w:lang w:val="en-US" w:eastAsia="zh-CN" w:bidi="ar"/>
        </w:rPr>
        <w:t>0</w:t>
      </w:r>
      <w:r>
        <w:rPr>
          <w:rFonts w:hint="eastAsia" w:ascii="仿宋_GB2312" w:hAnsi="仿宋_GB2312" w:eastAsia="仿宋_GB2312" w:cs="仿宋_GB2312"/>
          <w:color w:val="auto"/>
          <w:spacing w:val="6"/>
          <w:kern w:val="30"/>
          <w:sz w:val="30"/>
          <w:szCs w:val="30"/>
          <w:highlight w:val="none"/>
          <w:lang w:eastAsia="zh-CN" w:bidi="ar"/>
        </w:rPr>
        <w:t>%的基层民政工作者认为现行政策有效推动了护理型床位占比提升，说明资助政策具备撬动护理型床位建设的能力，但2013版政策文本中并未将护理型床位占比纳入资助条件或补贴标准，这一激励作用是间接的、非制度化的，政策文本与政策实效之间存在不应有的落差。</w:t>
      </w:r>
    </w:p>
    <w:p w14:paraId="289B2BE7">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2"/>
        <w:rPr>
          <w:rFonts w:hint="eastAsia" w:ascii="仿宋_GB2312" w:hAnsi="仿宋_GB2312" w:eastAsia="仿宋_GB2312" w:cs="仿宋_GB2312"/>
          <w:b/>
          <w:bCs/>
          <w:color w:val="auto"/>
          <w:spacing w:val="6"/>
          <w:kern w:val="30"/>
          <w:sz w:val="30"/>
          <w:szCs w:val="30"/>
          <w:highlight w:val="none"/>
          <w:lang w:eastAsia="zh-CN" w:bidi="ar"/>
        </w:rPr>
      </w:pPr>
      <w:bookmarkStart w:id="410" w:name="_Toc6421"/>
      <w:r>
        <w:rPr>
          <w:rFonts w:hint="eastAsia" w:ascii="仿宋_GB2312" w:hAnsi="仿宋_GB2312" w:eastAsia="仿宋_GB2312" w:cs="仿宋_GB2312"/>
          <w:b/>
          <w:bCs/>
          <w:color w:val="auto"/>
          <w:spacing w:val="6"/>
          <w:kern w:val="30"/>
          <w:sz w:val="30"/>
          <w:szCs w:val="30"/>
          <w:highlight w:val="none"/>
          <w:lang w:val="en-US" w:eastAsia="zh-CN" w:bidi="ar"/>
        </w:rPr>
        <w:t>2.</w:t>
      </w:r>
      <w:r>
        <w:rPr>
          <w:rFonts w:hint="eastAsia" w:ascii="仿宋_GB2312" w:hAnsi="仿宋_GB2312" w:eastAsia="仿宋_GB2312" w:cs="仿宋_GB2312"/>
          <w:b/>
          <w:bCs/>
          <w:color w:val="auto"/>
          <w:spacing w:val="6"/>
          <w:kern w:val="30"/>
          <w:sz w:val="30"/>
          <w:szCs w:val="30"/>
          <w:highlight w:val="none"/>
          <w:lang w:eastAsia="zh-CN" w:bidi="ar"/>
        </w:rPr>
        <w:t>与养老机构等级评定制度未挂钩</w:t>
      </w:r>
      <w:bookmarkEnd w:id="410"/>
    </w:p>
    <w:p w14:paraId="6E9AD108">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9"/>
        <w:rPr>
          <w:rFonts w:hint="eastAsia" w:ascii="仿宋_GB2312" w:hAnsi="仿宋_GB2312" w:eastAsia="仿宋_GB2312" w:cs="仿宋_GB2312"/>
          <w:color w:val="auto"/>
          <w:spacing w:val="6"/>
          <w:kern w:val="30"/>
          <w:sz w:val="30"/>
          <w:szCs w:val="30"/>
          <w:highlight w:val="none"/>
          <w:lang w:eastAsia="zh-CN" w:bidi="ar"/>
        </w:rPr>
      </w:pPr>
      <w:r>
        <w:rPr>
          <w:rFonts w:hint="eastAsia" w:ascii="仿宋_GB2312" w:hAnsi="仿宋_GB2312" w:eastAsia="仿宋_GB2312" w:cs="仿宋_GB2312"/>
          <w:color w:val="auto"/>
          <w:spacing w:val="6"/>
          <w:kern w:val="30"/>
          <w:sz w:val="30"/>
          <w:szCs w:val="30"/>
          <w:highlight w:val="none"/>
          <w:lang w:eastAsia="zh-CN" w:bidi="ar"/>
        </w:rPr>
        <w:t>《新疆维吾尔自治区养老机构等级评定管理办法（试行）》（新民发规〔2020〕1号）已建立服务质量分级认证体系，但《资助办法》仅通过年度考核和年检进行监管，未将等级评定结果与资助资格或补贴标准挂钩，质量引导功能未能发挥。问卷调查显示，89%的机构已参与等级评定，且高等级机构获得资助的比例显著更高，说明等级评定结果与资助获取之间存在事实上的关联，但这种关联并非政策明确规定的结果，而是优质机构更容易同时满足各项条件的自然叠加，缺乏制度化的正向激励链条。</w:t>
      </w:r>
    </w:p>
    <w:p w14:paraId="5EC2C9DB">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2"/>
        <w:rPr>
          <w:rFonts w:hint="eastAsia" w:ascii="仿宋_GB2312" w:hAnsi="仿宋_GB2312" w:eastAsia="仿宋_GB2312" w:cs="仿宋_GB2312"/>
          <w:b/>
          <w:bCs/>
          <w:color w:val="auto"/>
          <w:spacing w:val="6"/>
          <w:kern w:val="30"/>
          <w:sz w:val="30"/>
          <w:szCs w:val="30"/>
          <w:highlight w:val="none"/>
          <w:lang w:eastAsia="zh-CN" w:bidi="ar"/>
        </w:rPr>
      </w:pPr>
      <w:bookmarkStart w:id="411" w:name="_Toc31374"/>
      <w:r>
        <w:rPr>
          <w:rFonts w:hint="eastAsia" w:ascii="仿宋_GB2312" w:hAnsi="仿宋_GB2312" w:eastAsia="仿宋_GB2312" w:cs="仿宋_GB2312"/>
          <w:b/>
          <w:bCs/>
          <w:color w:val="auto"/>
          <w:spacing w:val="6"/>
          <w:kern w:val="30"/>
          <w:sz w:val="30"/>
          <w:szCs w:val="30"/>
          <w:highlight w:val="none"/>
          <w:lang w:val="en-US" w:eastAsia="zh-CN" w:bidi="ar"/>
        </w:rPr>
        <w:t>3.</w:t>
      </w:r>
      <w:r>
        <w:rPr>
          <w:rFonts w:hint="eastAsia" w:ascii="仿宋_GB2312" w:hAnsi="仿宋_GB2312" w:eastAsia="仿宋_GB2312" w:cs="仿宋_GB2312"/>
          <w:b/>
          <w:bCs/>
          <w:color w:val="auto"/>
          <w:spacing w:val="6"/>
          <w:kern w:val="30"/>
          <w:sz w:val="30"/>
          <w:szCs w:val="30"/>
          <w:highlight w:val="none"/>
          <w:lang w:eastAsia="zh-CN" w:bidi="ar"/>
        </w:rPr>
        <w:t>与基本养老服务清单未形成对应关系</w:t>
      </w:r>
      <w:bookmarkEnd w:id="411"/>
    </w:p>
    <w:p w14:paraId="648658D1">
      <w:pPr>
        <w:keepNext w:val="0"/>
        <w:keepLines w:val="0"/>
        <w:pageBreakBefore w:val="0"/>
        <w:widowControl w:val="0"/>
        <w:numPr>
          <w:ilvl w:val="0"/>
          <w:numId w:val="0"/>
        </w:numPr>
        <w:kinsoku/>
        <w:wordWrap/>
        <w:overflowPunct/>
        <w:topLinePunct w:val="0"/>
        <w:autoSpaceDE/>
        <w:autoSpaceDN/>
        <w:bidi w:val="0"/>
        <w:adjustRightInd w:val="0"/>
        <w:snapToGrid w:val="0"/>
        <w:spacing w:line="590" w:lineRule="exact"/>
        <w:ind w:left="0" w:firstLine="654" w:firstLineChars="200"/>
        <w:jc w:val="both"/>
        <w:textAlignment w:val="auto"/>
        <w:outlineLvl w:val="9"/>
        <w:rPr>
          <w:rFonts w:hint="eastAsia" w:ascii="仿宋_GB2312" w:hAnsi="仿宋_GB2312" w:eastAsia="仿宋_GB2312" w:cs="仿宋_GB2312"/>
          <w:color w:val="auto"/>
          <w:spacing w:val="6"/>
          <w:kern w:val="30"/>
          <w:sz w:val="30"/>
          <w:szCs w:val="30"/>
          <w:highlight w:val="none"/>
          <w:lang w:eastAsia="zh-CN" w:bidi="ar"/>
        </w:rPr>
      </w:pPr>
      <w:r>
        <w:rPr>
          <w:rFonts w:hint="eastAsia" w:ascii="仿宋_GB2312" w:hAnsi="仿宋_GB2312" w:eastAsia="仿宋_GB2312" w:cs="仿宋_GB2312"/>
          <w:color w:val="auto"/>
          <w:spacing w:val="6"/>
          <w:kern w:val="30"/>
          <w:sz w:val="30"/>
          <w:szCs w:val="30"/>
          <w:highlight w:val="none"/>
          <w:lang w:eastAsia="zh-CN" w:bidi="ar"/>
        </w:rPr>
        <w:t>《关于加快推进基本养老服务体系建设的实施方案》（新政办发〔2023〕45号）已建立《自治区基本养老服务清单》，但《资助办法》作为专项资助办法，未与该清单形成衔接，政策体系协调性不足。</w:t>
      </w:r>
    </w:p>
    <w:bookmarkEnd w:id="338"/>
    <w:bookmarkEnd w:id="339"/>
    <w:bookmarkEnd w:id="340"/>
    <w:p w14:paraId="3B6A9271">
      <w:pPr>
        <w:numPr>
          <w:ilvl w:val="0"/>
          <w:numId w:val="0"/>
        </w:numPr>
        <w:spacing w:line="590" w:lineRule="exact"/>
        <w:ind w:firstLine="670" w:firstLineChars="200"/>
        <w:outlineLvl w:val="0"/>
        <w:rPr>
          <w:rFonts w:hint="eastAsia" w:ascii="黑体" w:hAnsi="黑体" w:eastAsia="黑体" w:cs="宋体"/>
          <w:color w:val="auto"/>
          <w:kern w:val="30"/>
          <w:sz w:val="32"/>
          <w:szCs w:val="32"/>
          <w:highlight w:val="none"/>
          <w:lang w:bidi="ar"/>
        </w:rPr>
      </w:pPr>
      <w:bookmarkStart w:id="412" w:name="_Toc28493"/>
      <w:bookmarkStart w:id="413" w:name="_Toc9778"/>
      <w:bookmarkStart w:id="414" w:name="_Toc8976"/>
      <w:bookmarkStart w:id="415" w:name="_Toc19340"/>
      <w:bookmarkStart w:id="416" w:name="_Toc1472"/>
      <w:bookmarkStart w:id="417" w:name="_Toc573"/>
      <w:bookmarkStart w:id="418" w:name="_Toc21465"/>
      <w:bookmarkStart w:id="419" w:name="_Toc2205"/>
      <w:bookmarkStart w:id="420" w:name="_Toc24833"/>
      <w:bookmarkStart w:id="421" w:name="_Toc29828"/>
      <w:bookmarkStart w:id="422" w:name="_Toc1487"/>
      <w:bookmarkStart w:id="423" w:name="_Toc22261"/>
      <w:bookmarkStart w:id="424" w:name="_Toc17716"/>
      <w:bookmarkStart w:id="425" w:name="_Toc18040"/>
      <w:bookmarkStart w:id="426" w:name="_Toc10288"/>
      <w:bookmarkStart w:id="427" w:name="_Toc16098"/>
      <w:bookmarkStart w:id="428" w:name="_Toc3717"/>
      <w:bookmarkStart w:id="429" w:name="_Toc1922"/>
      <w:bookmarkStart w:id="430" w:name="_Toc32138"/>
      <w:bookmarkStart w:id="431" w:name="_Toc1314"/>
      <w:bookmarkStart w:id="432" w:name="_Toc15366"/>
      <w:bookmarkStart w:id="433" w:name="_Toc20874"/>
      <w:r>
        <w:rPr>
          <w:rFonts w:hint="eastAsia" w:ascii="黑体" w:hAnsi="黑体" w:eastAsia="黑体" w:cs="宋体"/>
          <w:color w:val="auto"/>
          <w:kern w:val="30"/>
          <w:sz w:val="32"/>
          <w:szCs w:val="32"/>
          <w:highlight w:val="none"/>
          <w:lang w:val="en-US" w:eastAsia="zh-CN" w:bidi="ar"/>
        </w:rPr>
        <w:t>六</w:t>
      </w:r>
      <w:r>
        <w:rPr>
          <w:rFonts w:hint="eastAsia" w:ascii="黑体" w:hAnsi="黑体" w:eastAsia="黑体" w:cs="宋体"/>
          <w:color w:val="auto"/>
          <w:kern w:val="30"/>
          <w:sz w:val="32"/>
          <w:szCs w:val="32"/>
          <w:highlight w:val="none"/>
          <w:lang w:bidi="ar"/>
        </w:rPr>
        <w:t>、建议</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14:paraId="4CE203F2">
      <w:pPr>
        <w:keepNext w:val="0"/>
        <w:keepLines w:val="0"/>
        <w:widowControl w:val="0"/>
        <w:numPr>
          <w:ilvl w:val="-1"/>
          <w:numId w:val="0"/>
        </w:numPr>
        <w:suppressLineNumbers w:val="0"/>
        <w:pBdr>
          <w:left w:val="none" w:color="auto" w:sz="0" w:space="0"/>
        </w:pBdr>
        <w:spacing w:before="0" w:beforeAutospacing="0" w:after="0" w:afterAutospacing="0" w:line="590" w:lineRule="exact"/>
        <w:ind w:left="0" w:firstLine="630" w:firstLineChars="200"/>
        <w:outlineLvl w:val="1"/>
        <w:rPr>
          <w:rFonts w:hint="eastAsia" w:ascii="楷体_GB2312" w:hAnsi="楷体_GB2312" w:eastAsia="楷体_GB2312" w:cs="楷体_GB2312"/>
          <w:b w:val="0"/>
          <w:bCs w:val="0"/>
          <w:i w:val="0"/>
          <w:iCs w:val="0"/>
          <w:caps w:val="0"/>
          <w:color w:val="auto"/>
          <w:spacing w:val="0"/>
          <w:sz w:val="30"/>
          <w:szCs w:val="30"/>
          <w:highlight w:val="none"/>
          <w:shd w:val="clear"/>
          <w:lang w:eastAsia="zh-CN" w:bidi="ar"/>
        </w:rPr>
      </w:pPr>
      <w:bookmarkStart w:id="434" w:name="_Toc507"/>
      <w:bookmarkStart w:id="435" w:name="_Toc15975"/>
      <w:bookmarkStart w:id="436" w:name="_Toc10485"/>
      <w:bookmarkStart w:id="437" w:name="_Toc5862"/>
      <w:bookmarkStart w:id="438" w:name="_Toc31427"/>
      <w:bookmarkStart w:id="439" w:name="_Toc20693"/>
      <w:bookmarkStart w:id="440" w:name="_Toc12754"/>
      <w:bookmarkStart w:id="441" w:name="_Toc13907"/>
      <w:bookmarkStart w:id="442" w:name="_Toc3899"/>
      <w:bookmarkStart w:id="443" w:name="_Toc31249"/>
      <w:bookmarkStart w:id="444" w:name="_Toc30371"/>
      <w:bookmarkStart w:id="445" w:name="_Toc10280"/>
      <w:bookmarkStart w:id="446" w:name="_Toc3453"/>
      <w:bookmarkStart w:id="447" w:name="_Toc15848"/>
      <w:bookmarkStart w:id="448" w:name="_Toc19561"/>
      <w:bookmarkStart w:id="449" w:name="_Toc28461"/>
      <w:bookmarkStart w:id="450" w:name="_Toc17842"/>
      <w:bookmarkStart w:id="451" w:name="_Toc9181"/>
      <w:bookmarkStart w:id="452" w:name="_Toc15721"/>
      <w:bookmarkStart w:id="453" w:name="_Toc18295"/>
      <w:bookmarkStart w:id="454" w:name="_Toc4797"/>
      <w:bookmarkStart w:id="455" w:name="_Toc5248"/>
      <w:r>
        <w:rPr>
          <w:rFonts w:hint="eastAsia" w:ascii="楷体_GB2312" w:hAnsi="楷体_GB2312" w:eastAsia="楷体_GB2312" w:cs="楷体_GB2312"/>
          <w:b w:val="0"/>
          <w:bCs w:val="0"/>
          <w:i w:val="0"/>
          <w:iCs w:val="0"/>
          <w:caps w:val="0"/>
          <w:color w:val="auto"/>
          <w:spacing w:val="0"/>
          <w:sz w:val="30"/>
          <w:szCs w:val="30"/>
          <w:highlight w:val="none"/>
          <w:shd w:val="clear"/>
          <w:lang w:eastAsia="zh-CN" w:bidi="ar"/>
        </w:rPr>
        <w:t>（一）建立预拨资金清算机制，强化资金使用监管</w:t>
      </w:r>
      <w:bookmarkEnd w:id="434"/>
      <w:bookmarkEnd w:id="435"/>
      <w:bookmarkEnd w:id="436"/>
      <w:bookmarkEnd w:id="437"/>
      <w:bookmarkEnd w:id="438"/>
      <w:bookmarkEnd w:id="439"/>
      <w:bookmarkEnd w:id="440"/>
      <w:bookmarkEnd w:id="441"/>
      <w:bookmarkEnd w:id="442"/>
    </w:p>
    <w:p w14:paraId="6A91FBE0">
      <w:pPr>
        <w:keepNext w:val="0"/>
        <w:keepLines w:val="0"/>
        <w:widowControl w:val="0"/>
        <w:numPr>
          <w:ilvl w:val="0"/>
          <w:numId w:val="0"/>
        </w:numPr>
        <w:suppressLineNumbers w:val="0"/>
        <w:pBdr>
          <w:left w:val="none" w:color="auto" w:sz="0" w:space="0"/>
        </w:pBdr>
        <w:adjustRightInd w:val="0"/>
        <w:snapToGrid w:val="0"/>
        <w:spacing w:before="0" w:beforeAutospacing="0" w:after="0" w:afterAutospacing="0" w:line="590" w:lineRule="exact"/>
        <w:ind w:left="0" w:firstLine="654" w:firstLineChars="200"/>
        <w:outlineLvl w:val="9"/>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pPr>
      <w:r>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t>针对预拨资金未据实清算、配套资金落实不到位、专账核算执行存在偏差等问题，建议从清算制度、配套保障和财务规范三方面加以完善。</w:t>
      </w:r>
    </w:p>
    <w:p w14:paraId="54FEC90B">
      <w:pPr>
        <w:keepNext w:val="0"/>
        <w:keepLines w:val="0"/>
        <w:widowControl w:val="0"/>
        <w:numPr>
          <w:ilvl w:val="0"/>
          <w:numId w:val="0"/>
        </w:numPr>
        <w:suppressLineNumbers w:val="0"/>
        <w:pBdr>
          <w:left w:val="none" w:color="auto" w:sz="0" w:space="0"/>
        </w:pBdr>
        <w:adjustRightInd w:val="0"/>
        <w:snapToGrid w:val="0"/>
        <w:spacing w:before="0" w:beforeAutospacing="0" w:after="0" w:afterAutospacing="0" w:line="590" w:lineRule="exact"/>
        <w:ind w:left="0" w:firstLine="654" w:firstLineChars="200"/>
        <w:outlineLvl w:val="9"/>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pPr>
      <w:r>
        <w:rPr>
          <w:rFonts w:hint="eastAsia" w:ascii="仿宋_GB2312" w:hAnsi="仿宋_GB2312" w:eastAsia="仿宋_GB2312" w:cs="仿宋_GB2312"/>
          <w:b/>
          <w:bCs/>
          <w:i w:val="0"/>
          <w:iCs w:val="0"/>
          <w:caps w:val="0"/>
          <w:color w:val="auto"/>
          <w:spacing w:val="6"/>
          <w:sz w:val="30"/>
          <w:szCs w:val="30"/>
          <w:highlight w:val="none"/>
          <w:shd w:val="clear"/>
          <w:lang w:eastAsia="zh-CN" w:bidi="ar"/>
        </w:rPr>
        <w:t>一是</w:t>
      </w:r>
      <w:r>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t>明确清算程序和要求。建议由自治区民政厅牵头，在《资助办法》中增设清算相关条款，明确补贴年度结束后县级民政部门须在指定时限内完成服务量核实与资金清算工作，对预拨资金多退少补，结余资金按规定结转下年度使用或上缴国库。由自治区民政厅将“据实清算”完成情况列为对各地民政部门绩效考核的硬性指标，形成制度约束力。</w:t>
      </w:r>
    </w:p>
    <w:p w14:paraId="712D063B">
      <w:pPr>
        <w:keepNext w:val="0"/>
        <w:keepLines w:val="0"/>
        <w:widowControl w:val="0"/>
        <w:numPr>
          <w:ilvl w:val="0"/>
          <w:numId w:val="0"/>
        </w:numPr>
        <w:suppressLineNumbers w:val="0"/>
        <w:pBdr>
          <w:left w:val="none" w:color="auto" w:sz="0" w:space="0"/>
        </w:pBdr>
        <w:adjustRightInd w:val="0"/>
        <w:snapToGrid w:val="0"/>
        <w:spacing w:before="0" w:beforeAutospacing="0" w:after="0" w:afterAutospacing="0" w:line="590" w:lineRule="exact"/>
        <w:ind w:left="0" w:firstLine="654" w:firstLineChars="200"/>
        <w:outlineLvl w:val="9"/>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pPr>
      <w:r>
        <w:rPr>
          <w:rFonts w:hint="eastAsia" w:ascii="仿宋_GB2312" w:hAnsi="仿宋_GB2312" w:eastAsia="仿宋_GB2312" w:cs="仿宋_GB2312"/>
          <w:b/>
          <w:bCs/>
          <w:i w:val="0"/>
          <w:iCs w:val="0"/>
          <w:caps w:val="0"/>
          <w:color w:val="auto"/>
          <w:spacing w:val="6"/>
          <w:sz w:val="30"/>
          <w:szCs w:val="30"/>
          <w:highlight w:val="none"/>
          <w:shd w:val="clear"/>
          <w:lang w:eastAsia="zh-CN" w:bidi="ar"/>
        </w:rPr>
        <w:t>二是</w:t>
      </w:r>
      <w:r>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t>强化配套资金保障。建议由自治区财政厅会同自治区民政厅，推动将养老服务补贴配套资金纳入县级财政年度预算优先安排，建立配套资金到位约束机制，将配套资金落实情况作为自治区对下转移支付分配的重要参考因素。</w:t>
      </w:r>
    </w:p>
    <w:p w14:paraId="42AF37FA">
      <w:pPr>
        <w:keepNext w:val="0"/>
        <w:keepLines w:val="0"/>
        <w:widowControl w:val="0"/>
        <w:numPr>
          <w:ilvl w:val="0"/>
          <w:numId w:val="0"/>
        </w:numPr>
        <w:suppressLineNumbers w:val="0"/>
        <w:pBdr>
          <w:left w:val="none" w:color="auto" w:sz="0" w:space="0"/>
        </w:pBdr>
        <w:adjustRightInd w:val="0"/>
        <w:snapToGrid w:val="0"/>
        <w:spacing w:before="0" w:beforeAutospacing="0" w:after="0" w:afterAutospacing="0" w:line="590" w:lineRule="exact"/>
        <w:ind w:left="0" w:firstLine="654" w:firstLineChars="200"/>
        <w:outlineLvl w:val="9"/>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pPr>
      <w:r>
        <w:rPr>
          <w:rFonts w:hint="eastAsia" w:ascii="仿宋_GB2312" w:hAnsi="仿宋_GB2312" w:eastAsia="仿宋_GB2312" w:cs="仿宋_GB2312"/>
          <w:b/>
          <w:bCs/>
          <w:i w:val="0"/>
          <w:iCs w:val="0"/>
          <w:caps w:val="0"/>
          <w:color w:val="auto"/>
          <w:spacing w:val="6"/>
          <w:sz w:val="30"/>
          <w:szCs w:val="30"/>
          <w:highlight w:val="none"/>
          <w:shd w:val="clear"/>
          <w:lang w:eastAsia="zh-CN" w:bidi="ar"/>
        </w:rPr>
        <w:t>三是</w:t>
      </w:r>
      <w:r>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t>规范资金财务核算</w:t>
      </w:r>
      <w:r>
        <w:rPr>
          <w:rFonts w:hint="eastAsia" w:ascii="仿宋_GB2312" w:hAnsi="仿宋_GB2312" w:eastAsia="仿宋_GB2312" w:cs="仿宋_GB2312"/>
          <w:b w:val="0"/>
          <w:bCs w:val="0"/>
          <w:i w:val="0"/>
          <w:iCs w:val="0"/>
          <w:caps w:val="0"/>
          <w:color w:val="auto"/>
          <w:spacing w:val="6"/>
          <w:sz w:val="30"/>
          <w:szCs w:val="30"/>
          <w:highlight w:val="none"/>
          <w:shd w:val="clear"/>
          <w:lang w:val="en-US" w:eastAsia="zh-CN" w:bidi="ar"/>
        </w:rPr>
        <w:t>和加强</w:t>
      </w:r>
      <w:r>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t>专项转移支付资金监管。建议由自治区民政厅会同自治区财政厅出台专账核算操作指引，统一科目设置模板，明确补贴资金拨付和入账的凭证规范，指导养老机构规范进行账务处理，确保补贴资金可追溯、可核验；建议由自治区财政厅牵头对补贴资金的拨付、结转全过程实施常态化监督，确保资金严格按照规定用途安排使用，严禁擅自改变资金用途或统筹用于其他支出。</w:t>
      </w:r>
    </w:p>
    <w:p w14:paraId="00ACF2EA">
      <w:pPr>
        <w:keepNext w:val="0"/>
        <w:keepLines w:val="0"/>
        <w:widowControl w:val="0"/>
        <w:numPr>
          <w:ilvl w:val="-1"/>
          <w:numId w:val="0"/>
        </w:numPr>
        <w:suppressLineNumbers w:val="0"/>
        <w:pBdr>
          <w:left w:val="none" w:color="auto" w:sz="0" w:space="0"/>
        </w:pBdr>
        <w:spacing w:before="0" w:beforeAutospacing="0" w:after="0" w:afterAutospacing="0" w:line="590" w:lineRule="exact"/>
        <w:ind w:left="0" w:firstLine="630" w:firstLineChars="200"/>
        <w:outlineLvl w:val="1"/>
        <w:rPr>
          <w:rFonts w:hint="eastAsia" w:ascii="楷体_GB2312" w:hAnsi="楷体_GB2312" w:eastAsia="楷体_GB2312" w:cs="楷体_GB2312"/>
          <w:b w:val="0"/>
          <w:bCs w:val="0"/>
          <w:i w:val="0"/>
          <w:iCs w:val="0"/>
          <w:caps w:val="0"/>
          <w:color w:val="auto"/>
          <w:spacing w:val="0"/>
          <w:sz w:val="30"/>
          <w:szCs w:val="30"/>
          <w:highlight w:val="none"/>
          <w:shd w:val="clear"/>
          <w:lang w:eastAsia="zh-CN" w:bidi="ar"/>
        </w:rPr>
      </w:pPr>
      <w:bookmarkStart w:id="456" w:name="_Toc25465"/>
      <w:bookmarkStart w:id="457" w:name="_Toc29908"/>
      <w:bookmarkStart w:id="458" w:name="_Toc983"/>
      <w:bookmarkStart w:id="459" w:name="_Toc15223"/>
      <w:bookmarkStart w:id="460" w:name="_Toc23244"/>
      <w:bookmarkStart w:id="461" w:name="_Toc30870"/>
      <w:bookmarkStart w:id="462" w:name="_Toc12287"/>
      <w:bookmarkStart w:id="463" w:name="_Toc22924"/>
      <w:bookmarkStart w:id="464" w:name="_Toc30446"/>
      <w:r>
        <w:rPr>
          <w:rFonts w:hint="eastAsia" w:ascii="楷体_GB2312" w:hAnsi="楷体_GB2312" w:eastAsia="楷体_GB2312" w:cs="楷体_GB2312"/>
          <w:b w:val="0"/>
          <w:bCs w:val="0"/>
          <w:i w:val="0"/>
          <w:iCs w:val="0"/>
          <w:caps w:val="0"/>
          <w:color w:val="auto"/>
          <w:spacing w:val="0"/>
          <w:sz w:val="30"/>
          <w:szCs w:val="30"/>
          <w:highlight w:val="none"/>
          <w:shd w:val="clear"/>
          <w:lang w:eastAsia="zh-CN" w:bidi="ar"/>
        </w:rPr>
        <w:t>（二）优化审核监管机制，压实各级审核责任</w:t>
      </w:r>
      <w:bookmarkEnd w:id="456"/>
      <w:bookmarkEnd w:id="457"/>
      <w:bookmarkEnd w:id="458"/>
      <w:bookmarkEnd w:id="459"/>
      <w:bookmarkEnd w:id="460"/>
      <w:bookmarkEnd w:id="461"/>
      <w:bookmarkEnd w:id="462"/>
      <w:bookmarkEnd w:id="463"/>
      <w:bookmarkEnd w:id="464"/>
    </w:p>
    <w:p w14:paraId="3B66BDE0">
      <w:pPr>
        <w:keepNext w:val="0"/>
        <w:keepLines w:val="0"/>
        <w:widowControl w:val="0"/>
        <w:numPr>
          <w:ilvl w:val="0"/>
          <w:numId w:val="0"/>
        </w:numPr>
        <w:suppressLineNumbers w:val="0"/>
        <w:pBdr>
          <w:left w:val="none" w:color="auto" w:sz="0" w:space="0"/>
        </w:pBdr>
        <w:adjustRightInd w:val="0"/>
        <w:snapToGrid w:val="0"/>
        <w:spacing w:before="0" w:beforeAutospacing="0" w:after="0" w:afterAutospacing="0" w:line="590" w:lineRule="exact"/>
        <w:ind w:left="0" w:firstLine="654" w:firstLineChars="200"/>
        <w:outlineLvl w:val="9"/>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pPr>
      <w:r>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t>针对审核职责边界模糊、实地核查缺乏操作规范、申报审核拨付流程繁琐等问题，建议从厘清职责、规范核查、简化流程三方面推进。</w:t>
      </w:r>
    </w:p>
    <w:p w14:paraId="343516FC">
      <w:pPr>
        <w:keepNext w:val="0"/>
        <w:keepLines w:val="0"/>
        <w:widowControl w:val="0"/>
        <w:numPr>
          <w:ilvl w:val="0"/>
          <w:numId w:val="0"/>
        </w:numPr>
        <w:suppressLineNumbers w:val="0"/>
        <w:pBdr>
          <w:left w:val="none" w:color="auto" w:sz="0" w:space="0"/>
        </w:pBdr>
        <w:adjustRightInd w:val="0"/>
        <w:snapToGrid w:val="0"/>
        <w:spacing w:before="0" w:beforeAutospacing="0" w:after="0" w:afterAutospacing="0" w:line="590" w:lineRule="exact"/>
        <w:ind w:left="0" w:firstLine="654" w:firstLineChars="200"/>
        <w:outlineLvl w:val="9"/>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pPr>
      <w:r>
        <w:rPr>
          <w:rFonts w:hint="eastAsia" w:ascii="仿宋_GB2312" w:hAnsi="仿宋_GB2312" w:eastAsia="仿宋_GB2312" w:cs="仿宋_GB2312"/>
          <w:b/>
          <w:bCs/>
          <w:i w:val="0"/>
          <w:iCs w:val="0"/>
          <w:caps w:val="0"/>
          <w:color w:val="auto"/>
          <w:spacing w:val="6"/>
          <w:sz w:val="30"/>
          <w:szCs w:val="30"/>
          <w:highlight w:val="none"/>
          <w:shd w:val="clear"/>
          <w:lang w:eastAsia="zh-CN" w:bidi="ar"/>
        </w:rPr>
        <w:t>一是</w:t>
      </w:r>
      <w:r>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t>厘清审核职责边界。建议由自治区民政厅在《资助办法》中进一步明确县级“审核”与地州“审查”各自的责任边界、审核标准和具体内容，细化县级审核的实质性审查内容以及地州复核的重点，防止审核链条中的责任虚化。</w:t>
      </w:r>
    </w:p>
    <w:p w14:paraId="5C04A893">
      <w:pPr>
        <w:keepNext w:val="0"/>
        <w:keepLines w:val="0"/>
        <w:widowControl w:val="0"/>
        <w:numPr>
          <w:ilvl w:val="0"/>
          <w:numId w:val="0"/>
        </w:numPr>
        <w:suppressLineNumbers w:val="0"/>
        <w:pBdr>
          <w:left w:val="none" w:color="auto" w:sz="0" w:space="0"/>
        </w:pBdr>
        <w:adjustRightInd w:val="0"/>
        <w:snapToGrid w:val="0"/>
        <w:spacing w:before="0" w:beforeAutospacing="0" w:after="0" w:afterAutospacing="0" w:line="590" w:lineRule="exact"/>
        <w:ind w:left="0" w:firstLine="654" w:firstLineChars="200"/>
        <w:outlineLvl w:val="9"/>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pPr>
      <w:r>
        <w:rPr>
          <w:rFonts w:hint="eastAsia" w:ascii="仿宋_GB2312" w:hAnsi="仿宋_GB2312" w:eastAsia="仿宋_GB2312" w:cs="仿宋_GB2312"/>
          <w:b/>
          <w:bCs/>
          <w:i w:val="0"/>
          <w:iCs w:val="0"/>
          <w:caps w:val="0"/>
          <w:color w:val="auto"/>
          <w:spacing w:val="6"/>
          <w:sz w:val="30"/>
          <w:szCs w:val="30"/>
          <w:highlight w:val="none"/>
          <w:shd w:val="clear"/>
          <w:lang w:eastAsia="zh-CN" w:bidi="ar"/>
        </w:rPr>
        <w:t>二是</w:t>
      </w:r>
      <w:r>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t>制定实地核查操作规范。建议由自治区民政厅制定实地核查工作指引，明确核查的具体内容、标准和记录要求，针对老人因请假、住院等原因暂时离院但仍在缴纳床位费的情形，建议明确此类情况是否计入核查时点的实际入住人数，统一处理口径，避免因各地判断标准不一影响入住率计算的公平性。</w:t>
      </w:r>
    </w:p>
    <w:p w14:paraId="68AB2A82">
      <w:pPr>
        <w:keepNext w:val="0"/>
        <w:keepLines w:val="0"/>
        <w:widowControl w:val="0"/>
        <w:numPr>
          <w:ilvl w:val="0"/>
          <w:numId w:val="0"/>
        </w:numPr>
        <w:suppressLineNumbers w:val="0"/>
        <w:pBdr>
          <w:left w:val="none" w:color="auto" w:sz="0" w:space="0"/>
        </w:pBdr>
        <w:adjustRightInd w:val="0"/>
        <w:snapToGrid w:val="0"/>
        <w:spacing w:before="0" w:beforeAutospacing="0" w:after="0" w:afterAutospacing="0" w:line="590" w:lineRule="exact"/>
        <w:ind w:left="0" w:firstLine="654" w:firstLineChars="200"/>
        <w:outlineLvl w:val="9"/>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pPr>
      <w:r>
        <w:rPr>
          <w:rFonts w:hint="eastAsia" w:ascii="仿宋_GB2312" w:hAnsi="仿宋_GB2312" w:eastAsia="仿宋_GB2312" w:cs="仿宋_GB2312"/>
          <w:b/>
          <w:bCs/>
          <w:i w:val="0"/>
          <w:iCs w:val="0"/>
          <w:caps w:val="0"/>
          <w:color w:val="auto"/>
          <w:spacing w:val="6"/>
          <w:sz w:val="30"/>
          <w:szCs w:val="30"/>
          <w:highlight w:val="none"/>
          <w:shd w:val="clear"/>
          <w:lang w:eastAsia="zh-CN" w:bidi="ar"/>
        </w:rPr>
        <w:t>三是</w:t>
      </w:r>
      <w:r>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t>简化申报审核拨付流程。建议由自治区民政厅牵头梳理现行申报材料清单，明确县级审核与地州审查各自的责任边界和审核标准，加快申报审核信息化建设，建立资金拨付限时办结机制，提升机构政策获得感和资金使用效率。</w:t>
      </w:r>
    </w:p>
    <w:p w14:paraId="5599C2C3">
      <w:pPr>
        <w:keepNext w:val="0"/>
        <w:keepLines w:val="0"/>
        <w:widowControl w:val="0"/>
        <w:numPr>
          <w:ilvl w:val="-1"/>
          <w:numId w:val="0"/>
        </w:numPr>
        <w:suppressLineNumbers w:val="0"/>
        <w:pBdr>
          <w:left w:val="none" w:color="auto" w:sz="0" w:space="0"/>
        </w:pBdr>
        <w:spacing w:before="0" w:beforeAutospacing="0" w:after="0" w:afterAutospacing="0" w:line="590" w:lineRule="exact"/>
        <w:ind w:left="0" w:firstLine="630" w:firstLineChars="200"/>
        <w:outlineLvl w:val="1"/>
        <w:rPr>
          <w:rFonts w:hint="eastAsia" w:ascii="楷体_GB2312" w:hAnsi="楷体_GB2312" w:eastAsia="楷体_GB2312" w:cs="楷体_GB2312"/>
          <w:b w:val="0"/>
          <w:bCs w:val="0"/>
          <w:i w:val="0"/>
          <w:iCs w:val="0"/>
          <w:caps w:val="0"/>
          <w:color w:val="auto"/>
          <w:spacing w:val="0"/>
          <w:sz w:val="30"/>
          <w:szCs w:val="30"/>
          <w:highlight w:val="none"/>
          <w:shd w:val="clear"/>
          <w:lang w:eastAsia="zh-CN" w:bidi="ar"/>
        </w:rPr>
      </w:pPr>
      <w:bookmarkStart w:id="465" w:name="_Toc4262"/>
      <w:bookmarkStart w:id="466" w:name="_Toc1633"/>
      <w:bookmarkStart w:id="467" w:name="_Toc17843"/>
      <w:bookmarkStart w:id="468" w:name="_Toc22697"/>
      <w:bookmarkStart w:id="469" w:name="_Toc13306"/>
      <w:bookmarkStart w:id="470" w:name="_Toc20123"/>
      <w:bookmarkStart w:id="471" w:name="_Toc25483"/>
      <w:bookmarkStart w:id="472" w:name="_Toc17880"/>
      <w:bookmarkStart w:id="473" w:name="_Toc9125"/>
      <w:r>
        <w:rPr>
          <w:rFonts w:hint="eastAsia" w:ascii="楷体_GB2312" w:hAnsi="楷体_GB2312" w:eastAsia="楷体_GB2312" w:cs="楷体_GB2312"/>
          <w:b w:val="0"/>
          <w:bCs w:val="0"/>
          <w:i w:val="0"/>
          <w:iCs w:val="0"/>
          <w:caps w:val="0"/>
          <w:color w:val="auto"/>
          <w:spacing w:val="0"/>
          <w:sz w:val="30"/>
          <w:szCs w:val="30"/>
          <w:highlight w:val="none"/>
          <w:shd w:val="clear"/>
          <w:lang w:eastAsia="zh-CN" w:bidi="ar"/>
        </w:rPr>
        <w:t>（三）规范申报材料管理，夯实审核工作基础</w:t>
      </w:r>
      <w:bookmarkEnd w:id="465"/>
      <w:bookmarkEnd w:id="466"/>
      <w:bookmarkEnd w:id="467"/>
      <w:bookmarkEnd w:id="468"/>
      <w:bookmarkEnd w:id="469"/>
      <w:bookmarkEnd w:id="470"/>
      <w:bookmarkEnd w:id="471"/>
      <w:bookmarkEnd w:id="472"/>
      <w:bookmarkEnd w:id="473"/>
    </w:p>
    <w:p w14:paraId="6D665A9C">
      <w:pPr>
        <w:keepNext w:val="0"/>
        <w:keepLines w:val="0"/>
        <w:widowControl w:val="0"/>
        <w:numPr>
          <w:ilvl w:val="0"/>
          <w:numId w:val="0"/>
        </w:numPr>
        <w:suppressLineNumbers w:val="0"/>
        <w:pBdr>
          <w:left w:val="none" w:color="auto" w:sz="0" w:space="0"/>
        </w:pBdr>
        <w:adjustRightInd w:val="0"/>
        <w:snapToGrid w:val="0"/>
        <w:spacing w:before="0" w:beforeAutospacing="0" w:after="0" w:afterAutospacing="0" w:line="590" w:lineRule="exact"/>
        <w:ind w:left="0" w:firstLine="654" w:firstLineChars="200"/>
        <w:outlineLvl w:val="9"/>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pPr>
      <w:r>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t>针对部分前置资格条件缺乏佐证要求、申报材料要求年度通知与《资助办法》脱节、申报预测尺度约束不强等问题，建议从完善佐证要求、统一材料清单方面加以改进。</w:t>
      </w:r>
    </w:p>
    <w:p w14:paraId="75528429">
      <w:pPr>
        <w:keepNext w:val="0"/>
        <w:keepLines w:val="0"/>
        <w:widowControl w:val="0"/>
        <w:numPr>
          <w:ilvl w:val="0"/>
          <w:numId w:val="0"/>
        </w:numPr>
        <w:suppressLineNumbers w:val="0"/>
        <w:pBdr>
          <w:left w:val="none" w:color="auto" w:sz="0" w:space="0"/>
        </w:pBdr>
        <w:adjustRightInd w:val="0"/>
        <w:snapToGrid w:val="0"/>
        <w:spacing w:before="0" w:beforeAutospacing="0" w:after="0" w:afterAutospacing="0" w:line="590" w:lineRule="exact"/>
        <w:ind w:left="0" w:firstLine="654" w:firstLineChars="200"/>
        <w:outlineLvl w:val="9"/>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pPr>
      <w:r>
        <w:rPr>
          <w:rFonts w:hint="eastAsia" w:ascii="仿宋_GB2312" w:hAnsi="仿宋_GB2312" w:eastAsia="仿宋_GB2312" w:cs="仿宋_GB2312"/>
          <w:b/>
          <w:bCs/>
          <w:i w:val="0"/>
          <w:iCs w:val="0"/>
          <w:caps w:val="0"/>
          <w:color w:val="auto"/>
          <w:spacing w:val="6"/>
          <w:sz w:val="30"/>
          <w:szCs w:val="30"/>
          <w:highlight w:val="none"/>
          <w:shd w:val="clear"/>
          <w:lang w:eastAsia="zh-CN" w:bidi="ar"/>
        </w:rPr>
        <w:t>一是</w:t>
      </w:r>
      <w:r>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t>完善前置资格条件的佐证要求。建议由自治区民政厅将前置资格条件对应的佐证材料纳入申报材料清单，明确各类佐证资料的具体要求，使前置资格条件具备可审核性，确保有据可查。</w:t>
      </w:r>
    </w:p>
    <w:p w14:paraId="14D69E0C">
      <w:pPr>
        <w:keepNext w:val="0"/>
        <w:keepLines w:val="0"/>
        <w:widowControl w:val="0"/>
        <w:numPr>
          <w:ilvl w:val="0"/>
          <w:numId w:val="0"/>
        </w:numPr>
        <w:suppressLineNumbers w:val="0"/>
        <w:pBdr>
          <w:left w:val="none" w:color="auto" w:sz="0" w:space="0"/>
        </w:pBdr>
        <w:adjustRightInd w:val="0"/>
        <w:snapToGrid w:val="0"/>
        <w:spacing w:before="0" w:beforeAutospacing="0" w:after="0" w:afterAutospacing="0" w:line="590" w:lineRule="exact"/>
        <w:ind w:left="0" w:firstLine="654" w:firstLineChars="200"/>
        <w:outlineLvl w:val="9"/>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pPr>
      <w:r>
        <w:rPr>
          <w:rFonts w:hint="eastAsia" w:ascii="仿宋_GB2312" w:hAnsi="仿宋_GB2312" w:eastAsia="仿宋_GB2312" w:cs="仿宋_GB2312"/>
          <w:b/>
          <w:bCs/>
          <w:i w:val="0"/>
          <w:iCs w:val="0"/>
          <w:caps w:val="0"/>
          <w:color w:val="auto"/>
          <w:spacing w:val="6"/>
          <w:sz w:val="30"/>
          <w:szCs w:val="30"/>
          <w:highlight w:val="none"/>
          <w:shd w:val="clear"/>
          <w:lang w:eastAsia="zh-CN" w:bidi="ar"/>
        </w:rPr>
        <w:t>二是</w:t>
      </w:r>
      <w:r>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t>统一申报材料清单。建议由自治区民政厅在年度申报通知中完整列明《资助办法》规定的全部申报材料，确保年度通知与《资助办法》之间的衔接一致，避免基层因理解偏差导致材料系统性缺失。</w:t>
      </w:r>
    </w:p>
    <w:p w14:paraId="40E15F8A">
      <w:pPr>
        <w:keepNext w:val="0"/>
        <w:keepLines w:val="0"/>
        <w:widowControl w:val="0"/>
        <w:numPr>
          <w:ilvl w:val="0"/>
          <w:numId w:val="0"/>
        </w:numPr>
        <w:suppressLineNumbers w:val="0"/>
        <w:pBdr>
          <w:left w:val="none" w:color="auto" w:sz="0" w:space="0"/>
        </w:pBdr>
        <w:adjustRightInd w:val="0"/>
        <w:snapToGrid w:val="0"/>
        <w:spacing w:before="0" w:beforeAutospacing="0" w:after="0" w:afterAutospacing="0" w:line="590" w:lineRule="exact"/>
        <w:ind w:left="0" w:firstLine="654" w:firstLineChars="200"/>
        <w:outlineLvl w:val="9"/>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pPr>
      <w:r>
        <w:rPr>
          <w:rFonts w:hint="eastAsia" w:ascii="仿宋_GB2312" w:hAnsi="仿宋_GB2312" w:eastAsia="仿宋_GB2312" w:cs="仿宋_GB2312"/>
          <w:b/>
          <w:bCs/>
          <w:i w:val="0"/>
          <w:iCs w:val="0"/>
          <w:caps w:val="0"/>
          <w:color w:val="auto"/>
          <w:spacing w:val="6"/>
          <w:sz w:val="30"/>
          <w:szCs w:val="30"/>
          <w:highlight w:val="none"/>
          <w:shd w:val="clear"/>
          <w:lang w:eastAsia="zh-CN" w:bidi="ar"/>
        </w:rPr>
        <w:t>三是</w:t>
      </w:r>
      <w:r>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t>规范申报预测机制。建议由自治区民政厅统一规定预测方法，明确预测偏差的追溯核验机制，对反复出现严重偏离的机构建立复核或约谈机制，提高预测准确性。</w:t>
      </w:r>
    </w:p>
    <w:p w14:paraId="4313348D">
      <w:pPr>
        <w:keepNext w:val="0"/>
        <w:keepLines w:val="0"/>
        <w:widowControl w:val="0"/>
        <w:numPr>
          <w:ilvl w:val="-1"/>
          <w:numId w:val="0"/>
        </w:numPr>
        <w:suppressLineNumbers w:val="0"/>
        <w:pBdr>
          <w:left w:val="none" w:color="auto" w:sz="0" w:space="0"/>
        </w:pBdr>
        <w:spacing w:before="0" w:beforeAutospacing="0" w:after="0" w:afterAutospacing="0" w:line="590" w:lineRule="exact"/>
        <w:ind w:left="0" w:firstLine="630" w:firstLineChars="200"/>
        <w:outlineLvl w:val="1"/>
        <w:rPr>
          <w:rFonts w:hint="eastAsia" w:ascii="楷体_GB2312" w:hAnsi="楷体_GB2312" w:eastAsia="楷体_GB2312" w:cs="楷体_GB2312"/>
          <w:b w:val="0"/>
          <w:bCs w:val="0"/>
          <w:i w:val="0"/>
          <w:iCs w:val="0"/>
          <w:caps w:val="0"/>
          <w:color w:val="auto"/>
          <w:spacing w:val="0"/>
          <w:sz w:val="30"/>
          <w:szCs w:val="30"/>
          <w:highlight w:val="none"/>
          <w:shd w:val="clear"/>
          <w:lang w:eastAsia="zh-CN" w:bidi="ar"/>
        </w:rPr>
      </w:pPr>
      <w:bookmarkStart w:id="474" w:name="_Toc5191"/>
      <w:bookmarkStart w:id="475" w:name="_Toc20308"/>
      <w:bookmarkStart w:id="476" w:name="_Toc13122"/>
      <w:bookmarkStart w:id="477" w:name="_Toc26515"/>
      <w:bookmarkStart w:id="478" w:name="_Toc24472"/>
      <w:bookmarkStart w:id="479" w:name="_Toc11344"/>
      <w:bookmarkStart w:id="480" w:name="_Toc18314"/>
      <w:bookmarkStart w:id="481" w:name="_Toc24672"/>
      <w:bookmarkStart w:id="482" w:name="_Toc19823"/>
      <w:r>
        <w:rPr>
          <w:rFonts w:hint="eastAsia" w:ascii="楷体_GB2312" w:hAnsi="楷体_GB2312" w:eastAsia="楷体_GB2312" w:cs="楷体_GB2312"/>
          <w:b w:val="0"/>
          <w:bCs w:val="0"/>
          <w:i w:val="0"/>
          <w:iCs w:val="0"/>
          <w:caps w:val="0"/>
          <w:color w:val="auto"/>
          <w:spacing w:val="0"/>
          <w:sz w:val="30"/>
          <w:szCs w:val="30"/>
          <w:highlight w:val="none"/>
          <w:shd w:val="clear"/>
          <w:lang w:eastAsia="zh-CN" w:bidi="ar"/>
        </w:rPr>
        <w:t>（</w:t>
      </w:r>
      <w:r>
        <w:rPr>
          <w:rFonts w:hint="eastAsia" w:ascii="楷体_GB2312" w:hAnsi="楷体_GB2312" w:eastAsia="楷体_GB2312" w:cs="楷体_GB2312"/>
          <w:b w:val="0"/>
          <w:bCs w:val="0"/>
          <w:i w:val="0"/>
          <w:iCs w:val="0"/>
          <w:caps w:val="0"/>
          <w:color w:val="auto"/>
          <w:spacing w:val="0"/>
          <w:sz w:val="30"/>
          <w:szCs w:val="30"/>
          <w:highlight w:val="none"/>
          <w:shd w:val="clear"/>
          <w:lang w:val="en-US" w:eastAsia="zh-CN" w:bidi="ar"/>
        </w:rPr>
        <w:t>四</w:t>
      </w:r>
      <w:r>
        <w:rPr>
          <w:rFonts w:hint="eastAsia" w:ascii="楷体_GB2312" w:hAnsi="楷体_GB2312" w:eastAsia="楷体_GB2312" w:cs="楷体_GB2312"/>
          <w:b w:val="0"/>
          <w:bCs w:val="0"/>
          <w:i w:val="0"/>
          <w:iCs w:val="0"/>
          <w:caps w:val="0"/>
          <w:color w:val="auto"/>
          <w:spacing w:val="0"/>
          <w:sz w:val="30"/>
          <w:szCs w:val="30"/>
          <w:highlight w:val="none"/>
          <w:shd w:val="clear"/>
          <w:lang w:eastAsia="zh-CN" w:bidi="ar"/>
        </w:rPr>
        <w:t>）统一核心概念定义与计算规则，消除执行歧义</w:t>
      </w:r>
      <w:bookmarkEnd w:id="474"/>
      <w:bookmarkEnd w:id="475"/>
      <w:bookmarkEnd w:id="476"/>
      <w:bookmarkEnd w:id="477"/>
      <w:bookmarkEnd w:id="478"/>
      <w:bookmarkEnd w:id="479"/>
      <w:bookmarkEnd w:id="480"/>
      <w:bookmarkEnd w:id="481"/>
      <w:bookmarkEnd w:id="482"/>
    </w:p>
    <w:p w14:paraId="7060BDA7">
      <w:pPr>
        <w:keepNext w:val="0"/>
        <w:keepLines w:val="0"/>
        <w:widowControl w:val="0"/>
        <w:numPr>
          <w:ilvl w:val="0"/>
          <w:numId w:val="0"/>
        </w:numPr>
        <w:suppressLineNumbers w:val="0"/>
        <w:pBdr>
          <w:left w:val="none" w:color="auto" w:sz="0" w:space="0"/>
        </w:pBdr>
        <w:adjustRightInd w:val="0"/>
        <w:snapToGrid w:val="0"/>
        <w:spacing w:before="0" w:beforeAutospacing="0" w:after="0" w:afterAutospacing="0" w:line="590" w:lineRule="exact"/>
        <w:ind w:left="0" w:firstLine="654" w:firstLineChars="200"/>
        <w:outlineLvl w:val="9"/>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pPr>
      <w:r>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t>针对核心概念定义缺失导致的执行口径不一问题，建议由自治区民政厅在《资助办法》修订中对关键概念作出统一界定。</w:t>
      </w:r>
    </w:p>
    <w:p w14:paraId="2A7C08D1">
      <w:pPr>
        <w:keepNext w:val="0"/>
        <w:keepLines w:val="0"/>
        <w:widowControl w:val="0"/>
        <w:numPr>
          <w:ilvl w:val="0"/>
          <w:numId w:val="0"/>
        </w:numPr>
        <w:suppressLineNumbers w:val="0"/>
        <w:pBdr>
          <w:left w:val="none" w:color="auto" w:sz="0" w:space="0"/>
        </w:pBdr>
        <w:adjustRightInd w:val="0"/>
        <w:snapToGrid w:val="0"/>
        <w:spacing w:before="0" w:beforeAutospacing="0" w:after="0" w:afterAutospacing="0" w:line="590" w:lineRule="exact"/>
        <w:ind w:left="0" w:firstLine="654" w:firstLineChars="200"/>
        <w:outlineLvl w:val="9"/>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pPr>
      <w:r>
        <w:rPr>
          <w:rFonts w:hint="eastAsia" w:ascii="仿宋_GB2312" w:hAnsi="仿宋_GB2312" w:eastAsia="仿宋_GB2312" w:cs="仿宋_GB2312"/>
          <w:b/>
          <w:bCs/>
          <w:i w:val="0"/>
          <w:iCs w:val="0"/>
          <w:caps w:val="0"/>
          <w:color w:val="auto"/>
          <w:spacing w:val="6"/>
          <w:sz w:val="30"/>
          <w:szCs w:val="30"/>
          <w:highlight w:val="none"/>
          <w:shd w:val="clear"/>
          <w:lang w:eastAsia="zh-CN" w:bidi="ar"/>
        </w:rPr>
        <w:t>一是</w:t>
      </w:r>
      <w:r>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t>明确入住率的计算规则。建议统一规定入住率的计算周期、分子取数方式及计算公式，消除各地自行解释的制度空间。</w:t>
      </w:r>
    </w:p>
    <w:p w14:paraId="7DFB6F94">
      <w:pPr>
        <w:keepNext w:val="0"/>
        <w:keepLines w:val="0"/>
        <w:widowControl w:val="0"/>
        <w:numPr>
          <w:ilvl w:val="0"/>
          <w:numId w:val="0"/>
        </w:numPr>
        <w:suppressLineNumbers w:val="0"/>
        <w:pBdr>
          <w:left w:val="none" w:color="auto" w:sz="0" w:space="0"/>
        </w:pBdr>
        <w:adjustRightInd w:val="0"/>
        <w:snapToGrid w:val="0"/>
        <w:spacing w:before="0" w:beforeAutospacing="0" w:after="0" w:afterAutospacing="0" w:line="590" w:lineRule="exact"/>
        <w:ind w:left="0" w:firstLine="654" w:firstLineChars="200"/>
        <w:outlineLvl w:val="9"/>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pPr>
      <w:r>
        <w:rPr>
          <w:rFonts w:hint="eastAsia" w:ascii="仿宋_GB2312" w:hAnsi="仿宋_GB2312" w:eastAsia="仿宋_GB2312" w:cs="仿宋_GB2312"/>
          <w:b/>
          <w:bCs/>
          <w:i w:val="0"/>
          <w:iCs w:val="0"/>
          <w:caps w:val="0"/>
          <w:color w:val="auto"/>
          <w:spacing w:val="6"/>
          <w:sz w:val="30"/>
          <w:szCs w:val="30"/>
          <w:highlight w:val="none"/>
          <w:shd w:val="clear"/>
          <w:lang w:eastAsia="zh-CN" w:bidi="ar"/>
        </w:rPr>
        <w:t>二是</w:t>
      </w:r>
      <w:r>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t>明确</w:t>
      </w:r>
      <w:r>
        <w:rPr>
          <w:rFonts w:hint="eastAsia" w:ascii="仿宋_GB2312" w:hAnsi="仿宋_GB2312" w:eastAsia="仿宋_GB2312" w:cs="仿宋_GB2312"/>
          <w:b w:val="0"/>
          <w:bCs w:val="0"/>
          <w:i w:val="0"/>
          <w:iCs w:val="0"/>
          <w:caps w:val="0"/>
          <w:color w:val="auto"/>
          <w:spacing w:val="6"/>
          <w:sz w:val="30"/>
          <w:szCs w:val="30"/>
          <w:highlight w:val="none"/>
          <w:shd w:val="clear"/>
          <w:lang w:val="en-US" w:eastAsia="zh-CN" w:bidi="ar"/>
        </w:rPr>
        <w:t>运营补贴测算基数</w:t>
      </w:r>
      <w:r>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t>的统计口径，避免因理解不同导致执行差异；明确运营补贴的计算方式。建议明确运营补贴是按“实际占用床位数”计算还是按“入住人次”计算，消除政策条款内部存在的根本性歧义。</w:t>
      </w:r>
    </w:p>
    <w:p w14:paraId="5CE70DB4">
      <w:pPr>
        <w:keepNext w:val="0"/>
        <w:keepLines w:val="0"/>
        <w:widowControl w:val="0"/>
        <w:numPr>
          <w:ilvl w:val="0"/>
          <w:numId w:val="0"/>
        </w:numPr>
        <w:suppressLineNumbers w:val="0"/>
        <w:pBdr>
          <w:left w:val="none" w:color="auto" w:sz="0" w:space="0"/>
        </w:pBdr>
        <w:adjustRightInd w:val="0"/>
        <w:snapToGrid w:val="0"/>
        <w:spacing w:before="0" w:beforeAutospacing="0" w:after="0" w:afterAutospacing="0" w:line="590" w:lineRule="exact"/>
        <w:ind w:left="0" w:firstLine="654" w:firstLineChars="200"/>
        <w:outlineLvl w:val="9"/>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pPr>
      <w:r>
        <w:rPr>
          <w:rFonts w:hint="eastAsia" w:ascii="仿宋_GB2312" w:hAnsi="仿宋_GB2312" w:eastAsia="仿宋_GB2312" w:cs="仿宋_GB2312"/>
          <w:b/>
          <w:bCs/>
          <w:i w:val="0"/>
          <w:iCs w:val="0"/>
          <w:caps w:val="0"/>
          <w:color w:val="auto"/>
          <w:spacing w:val="6"/>
          <w:sz w:val="30"/>
          <w:szCs w:val="30"/>
          <w:highlight w:val="none"/>
          <w:shd w:val="clear"/>
          <w:lang w:val="en-US" w:eastAsia="zh-CN" w:bidi="ar"/>
        </w:rPr>
        <w:t>三</w:t>
      </w:r>
      <w:r>
        <w:rPr>
          <w:rFonts w:hint="eastAsia" w:ascii="仿宋_GB2312" w:hAnsi="仿宋_GB2312" w:eastAsia="仿宋_GB2312" w:cs="仿宋_GB2312"/>
          <w:b/>
          <w:bCs/>
          <w:i w:val="0"/>
          <w:iCs w:val="0"/>
          <w:caps w:val="0"/>
          <w:color w:val="auto"/>
          <w:spacing w:val="6"/>
          <w:sz w:val="30"/>
          <w:szCs w:val="30"/>
          <w:highlight w:val="none"/>
          <w:shd w:val="clear"/>
          <w:lang w:eastAsia="zh-CN" w:bidi="ar"/>
        </w:rPr>
        <w:t>是</w:t>
      </w:r>
      <w:r>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t>出台床位核定操作细则。建议由自治区民政厅制定床位核定操作指引，明确备案床位数与建筑面积、居室面积等物理空间的折算标准和对应关系，统一入住率计算的分母口径，确保不同机构间入住率的可比性和补贴发放的精准性。</w:t>
      </w:r>
    </w:p>
    <w:p w14:paraId="1C9A5E68">
      <w:pPr>
        <w:keepNext w:val="0"/>
        <w:keepLines w:val="0"/>
        <w:widowControl w:val="0"/>
        <w:numPr>
          <w:ilvl w:val="-1"/>
          <w:numId w:val="0"/>
        </w:numPr>
        <w:suppressLineNumbers w:val="0"/>
        <w:pBdr>
          <w:left w:val="none" w:color="auto" w:sz="0" w:space="0"/>
        </w:pBdr>
        <w:spacing w:before="0" w:beforeAutospacing="0" w:after="0" w:afterAutospacing="0" w:line="590" w:lineRule="exact"/>
        <w:ind w:left="0" w:firstLine="630" w:firstLineChars="200"/>
        <w:outlineLvl w:val="1"/>
        <w:rPr>
          <w:rFonts w:hint="eastAsia" w:ascii="楷体_GB2312" w:hAnsi="楷体_GB2312" w:eastAsia="楷体_GB2312" w:cs="楷体_GB2312"/>
          <w:b w:val="0"/>
          <w:bCs w:val="0"/>
          <w:i w:val="0"/>
          <w:iCs w:val="0"/>
          <w:caps w:val="0"/>
          <w:color w:val="auto"/>
          <w:spacing w:val="0"/>
          <w:sz w:val="30"/>
          <w:szCs w:val="30"/>
          <w:highlight w:val="none"/>
          <w:shd w:val="clear"/>
          <w:lang w:eastAsia="zh-CN" w:bidi="ar"/>
        </w:rPr>
      </w:pPr>
      <w:bookmarkStart w:id="483" w:name="_Toc25285"/>
      <w:bookmarkStart w:id="484" w:name="_Toc31909"/>
      <w:bookmarkStart w:id="485" w:name="_Toc18418"/>
      <w:bookmarkStart w:id="486" w:name="_Toc12227"/>
      <w:bookmarkStart w:id="487" w:name="_Toc32683"/>
      <w:bookmarkStart w:id="488" w:name="_Toc31845"/>
      <w:bookmarkStart w:id="489" w:name="_Toc24040"/>
      <w:bookmarkStart w:id="490" w:name="_Toc25286"/>
      <w:bookmarkStart w:id="491" w:name="_Toc27450"/>
      <w:r>
        <w:rPr>
          <w:rFonts w:hint="eastAsia" w:ascii="楷体_GB2312" w:hAnsi="楷体_GB2312" w:eastAsia="楷体_GB2312" w:cs="楷体_GB2312"/>
          <w:b w:val="0"/>
          <w:bCs w:val="0"/>
          <w:i w:val="0"/>
          <w:iCs w:val="0"/>
          <w:caps w:val="0"/>
          <w:color w:val="auto"/>
          <w:spacing w:val="0"/>
          <w:sz w:val="30"/>
          <w:szCs w:val="30"/>
          <w:highlight w:val="none"/>
          <w:shd w:val="clear"/>
          <w:lang w:eastAsia="zh-CN" w:bidi="ar"/>
        </w:rPr>
        <w:t>（</w:t>
      </w:r>
      <w:r>
        <w:rPr>
          <w:rFonts w:hint="eastAsia" w:ascii="楷体_GB2312" w:hAnsi="楷体_GB2312" w:eastAsia="楷体_GB2312" w:cs="楷体_GB2312"/>
          <w:b w:val="0"/>
          <w:bCs w:val="0"/>
          <w:i w:val="0"/>
          <w:iCs w:val="0"/>
          <w:caps w:val="0"/>
          <w:color w:val="auto"/>
          <w:spacing w:val="0"/>
          <w:sz w:val="30"/>
          <w:szCs w:val="30"/>
          <w:highlight w:val="none"/>
          <w:shd w:val="clear"/>
          <w:lang w:val="en-US" w:eastAsia="zh-CN" w:bidi="ar"/>
        </w:rPr>
        <w:t>五</w:t>
      </w:r>
      <w:r>
        <w:rPr>
          <w:rFonts w:hint="eastAsia" w:ascii="楷体_GB2312" w:hAnsi="楷体_GB2312" w:eastAsia="楷体_GB2312" w:cs="楷体_GB2312"/>
          <w:b w:val="0"/>
          <w:bCs w:val="0"/>
          <w:i w:val="0"/>
          <w:iCs w:val="0"/>
          <w:caps w:val="0"/>
          <w:color w:val="auto"/>
          <w:spacing w:val="0"/>
          <w:sz w:val="30"/>
          <w:szCs w:val="30"/>
          <w:highlight w:val="none"/>
          <w:shd w:val="clear"/>
          <w:lang w:eastAsia="zh-CN" w:bidi="ar"/>
        </w:rPr>
        <w:t>）优化补贴标准与准入门槛，增强政策激励效能</w:t>
      </w:r>
      <w:bookmarkEnd w:id="483"/>
      <w:bookmarkEnd w:id="484"/>
      <w:bookmarkEnd w:id="485"/>
      <w:bookmarkEnd w:id="486"/>
      <w:bookmarkEnd w:id="487"/>
      <w:bookmarkEnd w:id="488"/>
      <w:bookmarkEnd w:id="489"/>
      <w:bookmarkEnd w:id="490"/>
      <w:bookmarkEnd w:id="491"/>
    </w:p>
    <w:p w14:paraId="1D2F84B3">
      <w:pPr>
        <w:keepNext w:val="0"/>
        <w:keepLines w:val="0"/>
        <w:widowControl w:val="0"/>
        <w:numPr>
          <w:ilvl w:val="0"/>
          <w:numId w:val="0"/>
        </w:numPr>
        <w:suppressLineNumbers w:val="0"/>
        <w:pBdr>
          <w:left w:val="none" w:color="auto" w:sz="0" w:space="0"/>
        </w:pBdr>
        <w:adjustRightInd w:val="0"/>
        <w:snapToGrid w:val="0"/>
        <w:spacing w:before="0" w:beforeAutospacing="0" w:after="0" w:afterAutospacing="0" w:line="590" w:lineRule="exact"/>
        <w:ind w:left="0" w:firstLine="654" w:firstLineChars="200"/>
        <w:outlineLvl w:val="9"/>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pPr>
      <w:r>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t>针对运营补贴标准偏低、入住率门槛偏高的问题，建议从标准调整和门槛优化两方面着手。</w:t>
      </w:r>
    </w:p>
    <w:p w14:paraId="2F961F0C">
      <w:pPr>
        <w:keepNext w:val="0"/>
        <w:keepLines w:val="0"/>
        <w:widowControl w:val="0"/>
        <w:numPr>
          <w:ilvl w:val="0"/>
          <w:numId w:val="0"/>
        </w:numPr>
        <w:suppressLineNumbers w:val="0"/>
        <w:pBdr>
          <w:left w:val="none" w:color="auto" w:sz="0" w:space="0"/>
        </w:pBdr>
        <w:adjustRightInd w:val="0"/>
        <w:snapToGrid w:val="0"/>
        <w:spacing w:before="0" w:beforeAutospacing="0" w:after="0" w:afterAutospacing="0" w:line="590" w:lineRule="exact"/>
        <w:ind w:left="0" w:firstLine="654" w:firstLineChars="200"/>
        <w:outlineLvl w:val="9"/>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pPr>
      <w:r>
        <w:rPr>
          <w:rFonts w:hint="eastAsia" w:ascii="仿宋_GB2312" w:hAnsi="仿宋_GB2312" w:eastAsia="仿宋_GB2312" w:cs="仿宋_GB2312"/>
          <w:b/>
          <w:bCs/>
          <w:i w:val="0"/>
          <w:iCs w:val="0"/>
          <w:caps w:val="0"/>
          <w:color w:val="auto"/>
          <w:spacing w:val="6"/>
          <w:sz w:val="30"/>
          <w:szCs w:val="30"/>
          <w:highlight w:val="none"/>
          <w:shd w:val="clear"/>
          <w:lang w:eastAsia="zh-CN" w:bidi="ar"/>
        </w:rPr>
        <w:t>一是</w:t>
      </w:r>
      <w:r>
        <w:rPr>
          <w:rFonts w:hint="eastAsia" w:ascii="仿宋_GB2312" w:hAnsi="仿宋_GB2312" w:eastAsia="仿宋_GB2312" w:cs="仿宋_GB2312"/>
          <w:b w:val="0"/>
          <w:bCs w:val="0"/>
          <w:i w:val="0"/>
          <w:iCs w:val="0"/>
          <w:caps w:val="0"/>
          <w:color w:val="auto"/>
          <w:spacing w:val="6"/>
          <w:sz w:val="30"/>
          <w:szCs w:val="30"/>
          <w:highlight w:val="none"/>
          <w:shd w:val="clear"/>
          <w:lang w:val="en-US" w:eastAsia="zh-CN" w:bidi="ar"/>
        </w:rPr>
        <w:t>调整</w:t>
      </w:r>
      <w:r>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t>运营补贴标准并建立差异化机制。建议由自治区民政厅会同自治区财政厅，结合自治区养老机构实际运营成本，适当</w:t>
      </w:r>
      <w:r>
        <w:rPr>
          <w:rFonts w:hint="eastAsia" w:ascii="仿宋_GB2312" w:hAnsi="仿宋_GB2312" w:eastAsia="仿宋_GB2312" w:cs="仿宋_GB2312"/>
          <w:b w:val="0"/>
          <w:bCs w:val="0"/>
          <w:i w:val="0"/>
          <w:iCs w:val="0"/>
          <w:caps w:val="0"/>
          <w:color w:val="auto"/>
          <w:spacing w:val="6"/>
          <w:sz w:val="30"/>
          <w:szCs w:val="30"/>
          <w:highlight w:val="none"/>
          <w:shd w:val="clear"/>
          <w:lang w:val="en-US" w:eastAsia="zh-CN" w:bidi="ar"/>
        </w:rPr>
        <w:t>调整</w:t>
      </w:r>
      <w:r>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t>运营补贴标准，并建立与老年人失能等级挂钩的差异化运营补贴机制，对收住失能、半失能老年人的机构给予更高的补贴标准，体现护理成本的差异化和政策的激励导向。</w:t>
      </w:r>
    </w:p>
    <w:p w14:paraId="6D88A14D">
      <w:pPr>
        <w:keepNext w:val="0"/>
        <w:keepLines w:val="0"/>
        <w:widowControl w:val="0"/>
        <w:numPr>
          <w:ilvl w:val="0"/>
          <w:numId w:val="0"/>
        </w:numPr>
        <w:suppressLineNumbers w:val="0"/>
        <w:pBdr>
          <w:left w:val="none" w:color="auto" w:sz="0" w:space="0"/>
        </w:pBdr>
        <w:adjustRightInd w:val="0"/>
        <w:snapToGrid w:val="0"/>
        <w:spacing w:before="0" w:beforeAutospacing="0" w:after="0" w:afterAutospacing="0" w:line="590" w:lineRule="exact"/>
        <w:ind w:left="0" w:firstLine="654" w:firstLineChars="200"/>
        <w:outlineLvl w:val="9"/>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pPr>
      <w:r>
        <w:rPr>
          <w:rFonts w:hint="eastAsia" w:ascii="仿宋_GB2312" w:hAnsi="仿宋_GB2312" w:eastAsia="仿宋_GB2312" w:cs="仿宋_GB2312"/>
          <w:b/>
          <w:bCs/>
          <w:i w:val="0"/>
          <w:iCs w:val="0"/>
          <w:caps w:val="0"/>
          <w:color w:val="auto"/>
          <w:spacing w:val="6"/>
          <w:sz w:val="30"/>
          <w:szCs w:val="30"/>
          <w:highlight w:val="none"/>
          <w:shd w:val="clear"/>
          <w:lang w:eastAsia="zh-CN" w:bidi="ar"/>
        </w:rPr>
        <w:t>二是</w:t>
      </w:r>
      <w:r>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t>优化入住率门槛设置。建议由自治区民政厅考虑降低或弹性调整入住率门槛，可针对新建机构设置合理的运营培育期，培育期内适当降低门槛要求。对因入住率未达标而无法获得任何资助的机构，</w:t>
      </w:r>
      <w:r>
        <w:rPr>
          <w:rFonts w:hint="eastAsia" w:ascii="仿宋_GB2312" w:hAnsi="仿宋_GB2312" w:eastAsia="仿宋_GB2312" w:cs="仿宋_GB2312"/>
          <w:b w:val="0"/>
          <w:bCs w:val="0"/>
          <w:i w:val="0"/>
          <w:iCs w:val="0"/>
          <w:caps w:val="0"/>
          <w:color w:val="auto"/>
          <w:spacing w:val="6"/>
          <w:sz w:val="30"/>
          <w:szCs w:val="30"/>
          <w:highlight w:val="none"/>
          <w:shd w:val="clear"/>
          <w:lang w:val="en-US" w:eastAsia="zh-CN" w:bidi="ar"/>
        </w:rPr>
        <w:t>建议</w:t>
      </w:r>
      <w:r>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t>研究过渡性扶持措施，防止其滑入“低入住率→无补贴→服务改善能力受限→入住率进一步下滑”的恶性循环。</w:t>
      </w:r>
    </w:p>
    <w:p w14:paraId="0C097726">
      <w:pPr>
        <w:keepNext w:val="0"/>
        <w:keepLines w:val="0"/>
        <w:widowControl w:val="0"/>
        <w:numPr>
          <w:ilvl w:val="-1"/>
          <w:numId w:val="0"/>
        </w:numPr>
        <w:suppressLineNumbers w:val="0"/>
        <w:pBdr>
          <w:left w:val="none" w:color="auto" w:sz="0" w:space="0"/>
        </w:pBdr>
        <w:spacing w:before="0" w:beforeAutospacing="0" w:after="0" w:afterAutospacing="0" w:line="590" w:lineRule="exact"/>
        <w:ind w:left="0" w:firstLine="630" w:firstLineChars="200"/>
        <w:outlineLvl w:val="1"/>
        <w:rPr>
          <w:rFonts w:hint="eastAsia" w:ascii="楷体_GB2312" w:hAnsi="楷体_GB2312" w:eastAsia="楷体_GB2312" w:cs="楷体_GB2312"/>
          <w:b w:val="0"/>
          <w:bCs w:val="0"/>
          <w:i w:val="0"/>
          <w:iCs w:val="0"/>
          <w:caps w:val="0"/>
          <w:color w:val="auto"/>
          <w:spacing w:val="0"/>
          <w:sz w:val="30"/>
          <w:szCs w:val="30"/>
          <w:highlight w:val="none"/>
          <w:shd w:val="clear"/>
          <w:lang w:eastAsia="zh-CN" w:bidi="ar"/>
        </w:rPr>
      </w:pPr>
      <w:bookmarkStart w:id="492" w:name="_Toc10001"/>
      <w:bookmarkStart w:id="493" w:name="_Toc273"/>
      <w:bookmarkStart w:id="494" w:name="_Toc13722"/>
      <w:bookmarkStart w:id="495" w:name="_Toc3826"/>
      <w:bookmarkStart w:id="496" w:name="_Toc12097"/>
      <w:bookmarkStart w:id="497" w:name="_Toc7486"/>
      <w:bookmarkStart w:id="498" w:name="_Toc9640"/>
      <w:bookmarkStart w:id="499" w:name="_Toc20659"/>
      <w:bookmarkStart w:id="500" w:name="_Toc29354"/>
      <w:r>
        <w:rPr>
          <w:rFonts w:hint="eastAsia" w:ascii="楷体_GB2312" w:hAnsi="楷体_GB2312" w:eastAsia="楷体_GB2312" w:cs="楷体_GB2312"/>
          <w:b w:val="0"/>
          <w:bCs w:val="0"/>
          <w:i w:val="0"/>
          <w:iCs w:val="0"/>
          <w:caps w:val="0"/>
          <w:color w:val="auto"/>
          <w:spacing w:val="0"/>
          <w:sz w:val="30"/>
          <w:szCs w:val="30"/>
          <w:highlight w:val="none"/>
          <w:shd w:val="clear"/>
          <w:lang w:eastAsia="zh-CN" w:bidi="ar"/>
        </w:rPr>
        <w:t>（六）加强政策衔接，完善资助政策体系</w:t>
      </w:r>
      <w:bookmarkEnd w:id="492"/>
      <w:bookmarkEnd w:id="493"/>
      <w:bookmarkEnd w:id="494"/>
      <w:bookmarkEnd w:id="495"/>
      <w:bookmarkEnd w:id="496"/>
      <w:bookmarkEnd w:id="497"/>
      <w:bookmarkEnd w:id="498"/>
      <w:bookmarkEnd w:id="499"/>
      <w:bookmarkEnd w:id="500"/>
    </w:p>
    <w:p w14:paraId="3ACDABB3">
      <w:pPr>
        <w:keepNext w:val="0"/>
        <w:keepLines w:val="0"/>
        <w:widowControl w:val="0"/>
        <w:numPr>
          <w:ilvl w:val="0"/>
          <w:numId w:val="0"/>
        </w:numPr>
        <w:suppressLineNumbers w:val="0"/>
        <w:pBdr>
          <w:left w:val="none" w:color="auto" w:sz="0" w:space="0"/>
        </w:pBdr>
        <w:adjustRightInd w:val="0"/>
        <w:snapToGrid w:val="0"/>
        <w:spacing w:before="0" w:beforeAutospacing="0" w:after="0" w:afterAutospacing="0" w:line="590" w:lineRule="exact"/>
        <w:ind w:left="0" w:firstLine="654" w:firstLineChars="200"/>
        <w:outlineLvl w:val="9"/>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pPr>
      <w:r>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t>针对政策与上位规划、</w:t>
      </w:r>
      <w:r>
        <w:rPr>
          <w:rFonts w:hint="eastAsia" w:ascii="仿宋_GB2312" w:hAnsi="仿宋_GB2312" w:eastAsia="仿宋_GB2312" w:cs="仿宋_GB2312"/>
          <w:b w:val="0"/>
          <w:bCs w:val="0"/>
          <w:i w:val="0"/>
          <w:iCs w:val="0"/>
          <w:caps w:val="0"/>
          <w:color w:val="auto"/>
          <w:spacing w:val="6"/>
          <w:sz w:val="30"/>
          <w:szCs w:val="30"/>
          <w:highlight w:val="none"/>
          <w:shd w:val="clear"/>
          <w:lang w:val="en-US" w:eastAsia="zh-CN" w:bidi="ar"/>
        </w:rPr>
        <w:t>国家现行政策</w:t>
      </w:r>
      <w:r>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t>衔接不足以及“公建民营”机构补贴规则不明等问题，建议从以下方面推进政策协调。</w:t>
      </w:r>
    </w:p>
    <w:p w14:paraId="44E9E340">
      <w:pPr>
        <w:keepNext w:val="0"/>
        <w:keepLines w:val="0"/>
        <w:widowControl w:val="0"/>
        <w:numPr>
          <w:ilvl w:val="0"/>
          <w:numId w:val="0"/>
        </w:numPr>
        <w:suppressLineNumbers w:val="0"/>
        <w:pBdr>
          <w:left w:val="none" w:color="auto" w:sz="0" w:space="0"/>
        </w:pBdr>
        <w:adjustRightInd w:val="0"/>
        <w:snapToGrid w:val="0"/>
        <w:spacing w:before="0" w:beforeAutospacing="0" w:after="0" w:afterAutospacing="0" w:line="590" w:lineRule="exact"/>
        <w:ind w:left="0" w:firstLine="654" w:firstLineChars="200"/>
        <w:outlineLvl w:val="9"/>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pPr>
      <w:r>
        <w:rPr>
          <w:rFonts w:hint="eastAsia" w:ascii="仿宋_GB2312" w:hAnsi="仿宋_GB2312" w:eastAsia="仿宋_GB2312" w:cs="仿宋_GB2312"/>
          <w:b/>
          <w:bCs/>
          <w:i w:val="0"/>
          <w:iCs w:val="0"/>
          <w:caps w:val="0"/>
          <w:color w:val="auto"/>
          <w:spacing w:val="6"/>
          <w:sz w:val="30"/>
          <w:szCs w:val="30"/>
          <w:highlight w:val="none"/>
          <w:shd w:val="clear"/>
          <w:lang w:eastAsia="zh-CN" w:bidi="ar"/>
        </w:rPr>
        <w:t>一是</w:t>
      </w:r>
      <w:r>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t>将护理型床位占比纳入资助条件考量。建议由自治区民政厅将养老机构护理型床位占比纳入资助条件或补贴标准的考量因素，与国家及自治区养老服务发展规划中关于护理型床位占比的要求相衔接，发挥资助政策对护理型床位建设的引导作用。</w:t>
      </w:r>
    </w:p>
    <w:p w14:paraId="271D3352">
      <w:pPr>
        <w:keepNext w:val="0"/>
        <w:keepLines w:val="0"/>
        <w:widowControl w:val="0"/>
        <w:numPr>
          <w:ilvl w:val="0"/>
          <w:numId w:val="0"/>
        </w:numPr>
        <w:suppressLineNumbers w:val="0"/>
        <w:pBdr>
          <w:left w:val="none" w:color="auto" w:sz="0" w:space="0"/>
        </w:pBdr>
        <w:adjustRightInd w:val="0"/>
        <w:snapToGrid w:val="0"/>
        <w:spacing w:before="0" w:beforeAutospacing="0" w:after="0" w:afterAutospacing="0" w:line="590" w:lineRule="exact"/>
        <w:ind w:left="0" w:firstLine="654" w:firstLineChars="200"/>
        <w:outlineLvl w:val="9"/>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pPr>
      <w:r>
        <w:rPr>
          <w:rFonts w:hint="eastAsia" w:ascii="仿宋_GB2312" w:hAnsi="仿宋_GB2312" w:eastAsia="仿宋_GB2312" w:cs="仿宋_GB2312"/>
          <w:b/>
          <w:bCs/>
          <w:i w:val="0"/>
          <w:iCs w:val="0"/>
          <w:caps w:val="0"/>
          <w:color w:val="auto"/>
          <w:spacing w:val="6"/>
          <w:sz w:val="30"/>
          <w:szCs w:val="30"/>
          <w:highlight w:val="none"/>
          <w:shd w:val="clear"/>
          <w:lang w:eastAsia="zh-CN" w:bidi="ar"/>
        </w:rPr>
        <w:t>二是</w:t>
      </w:r>
      <w:r>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t>将等级评定结果与资助政策挂钩。建议由自治区民政厅将养老机构等级评定结果作为运营补贴发放的参考依据，对评定等级较高的机构给予适当的补贴倾斜或政策优惠，形成“以质定补”的正向激励链条。</w:t>
      </w:r>
    </w:p>
    <w:p w14:paraId="4FD83D0C">
      <w:pPr>
        <w:keepNext w:val="0"/>
        <w:keepLines w:val="0"/>
        <w:widowControl w:val="0"/>
        <w:numPr>
          <w:ilvl w:val="0"/>
          <w:numId w:val="0"/>
        </w:numPr>
        <w:suppressLineNumbers w:val="0"/>
        <w:pBdr>
          <w:left w:val="none" w:color="auto" w:sz="0" w:space="0"/>
        </w:pBdr>
        <w:adjustRightInd w:val="0"/>
        <w:snapToGrid w:val="0"/>
        <w:spacing w:before="0" w:beforeAutospacing="0" w:after="0" w:afterAutospacing="0" w:line="590" w:lineRule="exact"/>
        <w:ind w:left="0" w:firstLine="654" w:firstLineChars="200"/>
        <w:outlineLvl w:val="9"/>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pPr>
      <w:r>
        <w:rPr>
          <w:rFonts w:hint="eastAsia" w:ascii="仿宋_GB2312" w:hAnsi="仿宋_GB2312" w:eastAsia="仿宋_GB2312" w:cs="仿宋_GB2312"/>
          <w:b/>
          <w:bCs/>
          <w:i w:val="0"/>
          <w:iCs w:val="0"/>
          <w:caps w:val="0"/>
          <w:color w:val="auto"/>
          <w:spacing w:val="6"/>
          <w:sz w:val="30"/>
          <w:szCs w:val="30"/>
          <w:highlight w:val="none"/>
          <w:shd w:val="clear"/>
          <w:lang w:eastAsia="zh-CN" w:bidi="ar"/>
        </w:rPr>
        <w:t>三是</w:t>
      </w:r>
      <w:r>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t>明确“公建民营”机构一次性建设补贴的适用规则。建议由自治区民政厅根据建设投入来源对“公建民营”养老机构补贴资格作出区分性规定，对运营方实际承担建设投入的情形，允许其按实际投入情况申请一次性建设补贴，避免因规则不明导致执行标准不一。</w:t>
      </w:r>
    </w:p>
    <w:p w14:paraId="76723D2A">
      <w:pPr>
        <w:keepNext w:val="0"/>
        <w:keepLines w:val="0"/>
        <w:widowControl w:val="0"/>
        <w:numPr>
          <w:ilvl w:val="0"/>
          <w:numId w:val="0"/>
        </w:numPr>
        <w:suppressLineNumbers w:val="0"/>
        <w:pBdr>
          <w:left w:val="none" w:color="auto" w:sz="0" w:space="0"/>
        </w:pBdr>
        <w:adjustRightInd w:val="0"/>
        <w:snapToGrid w:val="0"/>
        <w:spacing w:before="0" w:beforeAutospacing="0" w:after="0" w:afterAutospacing="0" w:line="590" w:lineRule="exact"/>
        <w:ind w:left="0" w:firstLine="654" w:firstLineChars="200"/>
        <w:outlineLvl w:val="9"/>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pPr>
      <w:r>
        <w:rPr>
          <w:rFonts w:hint="eastAsia" w:ascii="仿宋_GB2312" w:hAnsi="仿宋_GB2312" w:eastAsia="仿宋_GB2312" w:cs="仿宋_GB2312"/>
          <w:b/>
          <w:bCs/>
          <w:i w:val="0"/>
          <w:iCs w:val="0"/>
          <w:caps w:val="0"/>
          <w:color w:val="auto"/>
          <w:spacing w:val="6"/>
          <w:sz w:val="30"/>
          <w:szCs w:val="30"/>
          <w:highlight w:val="none"/>
          <w:shd w:val="clear"/>
          <w:lang w:eastAsia="zh-CN" w:bidi="ar"/>
        </w:rPr>
        <w:t>四是</w:t>
      </w:r>
      <w:r>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t>建立与基本养老服务清单的衔接机制。建议由自治区民政厅将《自治区基本养老服务清单》中的服务项目纳入资助政策的考量范围，对承担基本养老服务供给的民办养老机构给予适当倾斜，增强政策体系的协调性。</w:t>
      </w:r>
    </w:p>
    <w:p w14:paraId="4ED8D84C">
      <w:pPr>
        <w:keepNext w:val="0"/>
        <w:keepLines w:val="0"/>
        <w:widowControl w:val="0"/>
        <w:numPr>
          <w:ilvl w:val="0"/>
          <w:numId w:val="0"/>
        </w:numPr>
        <w:suppressLineNumbers w:val="0"/>
        <w:pBdr>
          <w:left w:val="none" w:color="auto" w:sz="0" w:space="0"/>
        </w:pBdr>
        <w:adjustRightInd w:val="0"/>
        <w:snapToGrid w:val="0"/>
        <w:spacing w:before="0" w:beforeAutospacing="0" w:after="0" w:afterAutospacing="0" w:line="590" w:lineRule="exact"/>
        <w:ind w:left="0" w:firstLine="654" w:firstLineChars="200"/>
        <w:outlineLvl w:val="9"/>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pPr>
      <w:r>
        <w:rPr>
          <w:rFonts w:hint="eastAsia" w:ascii="仿宋_GB2312" w:hAnsi="仿宋_GB2312" w:eastAsia="仿宋_GB2312" w:cs="仿宋_GB2312"/>
          <w:b/>
          <w:bCs/>
          <w:i w:val="0"/>
          <w:iCs w:val="0"/>
          <w:caps w:val="0"/>
          <w:color w:val="auto"/>
          <w:spacing w:val="6"/>
          <w:sz w:val="30"/>
          <w:szCs w:val="30"/>
          <w:highlight w:val="none"/>
          <w:shd w:val="clear"/>
          <w:lang w:eastAsia="zh-CN" w:bidi="ar"/>
        </w:rPr>
        <w:t>五是</w:t>
      </w:r>
      <w:r>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t>准入条件与国家现行标准相衔接。建议由自治区民政厅将养老机构备案回执、《养老机构服务安全基本规范》（GB 38600-2019）强制性标准达标等要求纳入自治区资助政策的准入条件，使机构获得资助的前提与国家现行监管要求保持一致。</w:t>
      </w:r>
    </w:p>
    <w:p w14:paraId="4B182F3E">
      <w:pPr>
        <w:keepNext w:val="0"/>
        <w:keepLines w:val="0"/>
        <w:widowControl w:val="0"/>
        <w:numPr>
          <w:ilvl w:val="0"/>
          <w:numId w:val="0"/>
        </w:numPr>
        <w:suppressLineNumbers w:val="0"/>
        <w:pBdr>
          <w:left w:val="none" w:color="auto" w:sz="0" w:space="0"/>
        </w:pBdr>
        <w:adjustRightInd w:val="0"/>
        <w:snapToGrid w:val="0"/>
        <w:spacing w:before="0" w:beforeAutospacing="0" w:after="0" w:afterAutospacing="0" w:line="590" w:lineRule="exact"/>
        <w:ind w:left="0" w:firstLine="654" w:firstLineChars="200"/>
        <w:outlineLvl w:val="9"/>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pPr>
      <w:r>
        <w:rPr>
          <w:rFonts w:hint="eastAsia" w:ascii="仿宋_GB2312" w:hAnsi="仿宋_GB2312" w:eastAsia="仿宋_GB2312" w:cs="仿宋_GB2312"/>
          <w:b/>
          <w:bCs/>
          <w:i w:val="0"/>
          <w:iCs w:val="0"/>
          <w:caps w:val="0"/>
          <w:color w:val="auto"/>
          <w:spacing w:val="6"/>
          <w:sz w:val="30"/>
          <w:szCs w:val="30"/>
          <w:highlight w:val="none"/>
          <w:shd w:val="clear"/>
          <w:lang w:eastAsia="zh-CN" w:bidi="ar"/>
        </w:rPr>
        <w:t>六是</w:t>
      </w:r>
      <w:r>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t>失能等级评估与国家评估规范相衔接。建议由自治区民政厅将依据《老年人能力评估规范》国家标准（GB/T 42195-2022）进行的失能等级评估作为运营补贴差异化发放的前置环节，实现与国家失能评估体系的对接。</w:t>
      </w:r>
    </w:p>
    <w:p w14:paraId="6F078FF7">
      <w:pPr>
        <w:keepNext w:val="0"/>
        <w:keepLines w:val="0"/>
        <w:widowControl w:val="0"/>
        <w:numPr>
          <w:ilvl w:val="0"/>
          <w:numId w:val="0"/>
        </w:numPr>
        <w:suppressLineNumbers w:val="0"/>
        <w:pBdr>
          <w:left w:val="none" w:color="auto" w:sz="0" w:space="0"/>
        </w:pBdr>
        <w:adjustRightInd w:val="0"/>
        <w:snapToGrid w:val="0"/>
        <w:spacing w:before="0" w:beforeAutospacing="0" w:after="0" w:afterAutospacing="0" w:line="590" w:lineRule="exact"/>
        <w:ind w:left="0" w:firstLine="654" w:firstLineChars="200"/>
        <w:outlineLvl w:val="9"/>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pPr>
      <w:r>
        <w:rPr>
          <w:rFonts w:hint="eastAsia" w:ascii="仿宋_GB2312" w:hAnsi="仿宋_GB2312" w:eastAsia="仿宋_GB2312" w:cs="仿宋_GB2312"/>
          <w:b/>
          <w:bCs/>
          <w:i w:val="0"/>
          <w:iCs w:val="0"/>
          <w:caps w:val="0"/>
          <w:color w:val="auto"/>
          <w:spacing w:val="6"/>
          <w:sz w:val="30"/>
          <w:szCs w:val="30"/>
          <w:highlight w:val="none"/>
          <w:shd w:val="clear"/>
          <w:lang w:eastAsia="zh-CN" w:bidi="ar"/>
        </w:rPr>
        <w:t>七是</w:t>
      </w:r>
      <w:r>
        <w:rPr>
          <w:rFonts w:hint="eastAsia" w:ascii="仿宋_GB2312" w:hAnsi="仿宋_GB2312" w:eastAsia="仿宋_GB2312" w:cs="仿宋_GB2312"/>
          <w:b w:val="0"/>
          <w:bCs w:val="0"/>
          <w:i w:val="0"/>
          <w:iCs w:val="0"/>
          <w:caps w:val="0"/>
          <w:color w:val="auto"/>
          <w:spacing w:val="6"/>
          <w:sz w:val="30"/>
          <w:szCs w:val="30"/>
          <w:highlight w:val="none"/>
          <w:shd w:val="clear"/>
          <w:lang w:eastAsia="zh-CN" w:bidi="ar"/>
        </w:rPr>
        <w:t>建立补贴对象的动态调整机制。建议由自治区民政厅参照国家要求建立补贴对象的动态复核与调整机制，当受助老年人失能等级或机构经营状况发生重大变化时，及时调整补贴标准或资格。</w:t>
      </w:r>
    </w:p>
    <w:bookmarkEnd w:id="443"/>
    <w:bookmarkEnd w:id="444"/>
    <w:bookmarkEnd w:id="445"/>
    <w:bookmarkEnd w:id="446"/>
    <w:bookmarkEnd w:id="447"/>
    <w:bookmarkEnd w:id="448"/>
    <w:bookmarkEnd w:id="449"/>
    <w:bookmarkEnd w:id="450"/>
    <w:bookmarkEnd w:id="451"/>
    <w:bookmarkEnd w:id="452"/>
    <w:bookmarkEnd w:id="453"/>
    <w:p w14:paraId="0C228E7D">
      <w:pPr>
        <w:spacing w:line="590" w:lineRule="exact"/>
        <w:ind w:firstLine="670" w:firstLineChars="200"/>
        <w:outlineLvl w:val="0"/>
        <w:rPr>
          <w:rFonts w:ascii="黑体" w:hAnsi="宋体" w:eastAsia="黑体" w:cs="宋体"/>
          <w:color w:val="auto"/>
          <w:kern w:val="30"/>
          <w:sz w:val="32"/>
          <w:szCs w:val="32"/>
          <w:highlight w:val="none"/>
        </w:rPr>
      </w:pPr>
      <w:bookmarkStart w:id="501" w:name="_Toc23015"/>
      <w:bookmarkStart w:id="502" w:name="_Toc31029"/>
      <w:bookmarkStart w:id="503" w:name="_Toc32221"/>
      <w:bookmarkStart w:id="504" w:name="_Toc7004"/>
      <w:bookmarkStart w:id="505" w:name="_Toc16158"/>
      <w:bookmarkStart w:id="506" w:name="_Toc17111"/>
      <w:bookmarkStart w:id="507" w:name="_Toc28538"/>
      <w:bookmarkStart w:id="508" w:name="_Toc19834"/>
      <w:bookmarkStart w:id="509" w:name="_Toc28850"/>
      <w:bookmarkStart w:id="510" w:name="_Toc18778"/>
      <w:bookmarkStart w:id="511" w:name="_Toc19066"/>
      <w:bookmarkStart w:id="512" w:name="_Toc9706"/>
      <w:bookmarkStart w:id="513" w:name="_Toc9874"/>
      <w:bookmarkStart w:id="514" w:name="_Toc5936"/>
      <w:bookmarkStart w:id="515" w:name="_Toc11840"/>
      <w:bookmarkStart w:id="516" w:name="_Toc2000"/>
      <w:bookmarkStart w:id="517" w:name="_Toc2694"/>
      <w:bookmarkStart w:id="518" w:name="_Toc4479"/>
      <w:bookmarkStart w:id="519" w:name="_Toc25046"/>
      <w:bookmarkStart w:id="520" w:name="_Toc30041"/>
      <w:r>
        <w:rPr>
          <w:rFonts w:hint="eastAsia" w:ascii="黑体" w:hAnsi="宋体" w:eastAsia="黑体" w:cs="宋体"/>
          <w:color w:val="auto"/>
          <w:kern w:val="30"/>
          <w:sz w:val="32"/>
          <w:szCs w:val="32"/>
          <w:highlight w:val="none"/>
          <w:lang w:val="en-US" w:eastAsia="zh-CN"/>
        </w:rPr>
        <w:t>七</w:t>
      </w:r>
      <w:r>
        <w:rPr>
          <w:rFonts w:hint="eastAsia" w:ascii="黑体" w:hAnsi="宋体" w:eastAsia="黑体" w:cs="宋体"/>
          <w:color w:val="auto"/>
          <w:kern w:val="30"/>
          <w:sz w:val="32"/>
          <w:szCs w:val="32"/>
          <w:highlight w:val="none"/>
        </w:rPr>
        <w:t>、其</w:t>
      </w:r>
      <w:r>
        <w:rPr>
          <w:rFonts w:hint="eastAsia" w:ascii="黑体" w:hAnsi="宋体" w:eastAsia="黑体" w:cs="宋体"/>
          <w:color w:val="auto"/>
          <w:kern w:val="30"/>
          <w:sz w:val="32"/>
          <w:szCs w:val="32"/>
          <w:highlight w:val="none"/>
          <w:lang w:val="en-US" w:eastAsia="zh-CN"/>
        </w:rPr>
        <w:t>他</w:t>
      </w:r>
      <w:r>
        <w:rPr>
          <w:rFonts w:hint="eastAsia" w:ascii="黑体" w:hAnsi="宋体" w:eastAsia="黑体" w:cs="宋体"/>
          <w:color w:val="auto"/>
          <w:kern w:val="30"/>
          <w:sz w:val="32"/>
          <w:szCs w:val="32"/>
          <w:highlight w:val="none"/>
        </w:rPr>
        <w:t>需说明的情况</w:t>
      </w:r>
      <w:bookmarkEnd w:id="454"/>
      <w:bookmarkEnd w:id="455"/>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p>
    <w:p w14:paraId="6066F74D">
      <w:pPr>
        <w:spacing w:line="590" w:lineRule="exact"/>
        <w:ind w:firstLine="654" w:firstLineChars="200"/>
        <w:rPr>
          <w:rFonts w:hint="eastAsia"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sz w:val="30"/>
          <w:szCs w:val="30"/>
          <w:highlight w:val="none"/>
          <w:lang w:val="en-US" w:eastAsia="zh-CN" w:bidi="ar"/>
        </w:rPr>
        <w:t>本次评估依据评估工作要求，以《自治区民办养老机构资助办法》（新民发〔2013〕83号）为评估对象，核心评估周期为2021至2025年。评估所发现的问题及分析均基于该版本政策的制度设计和执行情况得出，各项判断和建议均围绕该版本政策展开，不涉及对其他版本政策的评估。</w:t>
      </w:r>
    </w:p>
    <w:p w14:paraId="0B7F9941">
      <w:pPr>
        <w:spacing w:line="590" w:lineRule="exact"/>
        <w:ind w:firstLine="654" w:firstLineChars="200"/>
        <w:rPr>
          <w:rFonts w:hint="eastAsia" w:ascii="仿宋_GB2312" w:hAnsi="仿宋_GB2312" w:eastAsia="仿宋_GB2312" w:cs="仿宋_GB2312"/>
          <w:color w:val="auto"/>
          <w:spacing w:val="6"/>
          <w:sz w:val="30"/>
          <w:szCs w:val="30"/>
          <w:highlight w:val="none"/>
          <w:lang w:val="en-US" w:eastAsia="zh-CN" w:bidi="ar"/>
        </w:rPr>
      </w:pPr>
      <w:r>
        <w:rPr>
          <w:rFonts w:hint="eastAsia" w:ascii="仿宋_GB2312" w:hAnsi="仿宋_GB2312" w:eastAsia="仿宋_GB2312" w:cs="仿宋_GB2312"/>
          <w:color w:val="auto"/>
          <w:spacing w:val="6"/>
          <w:sz w:val="30"/>
          <w:szCs w:val="30"/>
          <w:highlight w:val="none"/>
          <w:lang w:val="en-US" w:eastAsia="zh-CN" w:bidi="ar"/>
        </w:rPr>
        <w:t>《新疆维吾尔自治区民办养老机构资助办法》（新民规〔2025〕9号）于2025年印发，自2026年1月1日起施行，本次评估所反映的部分问题，在新版政策的制度设计中已做出一定程度调整。</w:t>
      </w:r>
    </w:p>
    <w:bookmarkEnd w:id="1"/>
    <w:p w14:paraId="6F398B6B">
      <w:pPr>
        <w:spacing w:line="590" w:lineRule="exact"/>
        <w:ind w:firstLine="654" w:firstLineChars="200"/>
        <w:rPr>
          <w:rFonts w:hint="eastAsia" w:ascii="仿宋_GB2312" w:hAnsi="仿宋_GB2312" w:eastAsia="仿宋_GB2312" w:cs="仿宋_GB2312"/>
          <w:color w:val="auto"/>
          <w:spacing w:val="6"/>
          <w:szCs w:val="30"/>
          <w:highlight w:val="none"/>
          <w:lang w:eastAsia="zh-Hans" w:bidi="ar"/>
        </w:rPr>
      </w:pPr>
      <w:bookmarkStart w:id="521" w:name="_Hlk525314575"/>
    </w:p>
    <w:bookmarkEnd w:id="521"/>
    <w:p w14:paraId="7159687D">
      <w:pPr>
        <w:pStyle w:val="14"/>
        <w:rPr>
          <w:rFonts w:hint="eastAsia" w:ascii="仿宋_GB2312" w:hAnsi="仿宋_GB2312" w:eastAsia="仿宋_GB2312" w:cs="仿宋_GB2312"/>
          <w:color w:val="auto"/>
          <w:spacing w:val="6"/>
          <w:highlight w:val="none"/>
        </w:rPr>
      </w:pPr>
    </w:p>
    <w:p w14:paraId="605367E5">
      <w:pPr>
        <w:pStyle w:val="14"/>
        <w:rPr>
          <w:rFonts w:hint="eastAsia" w:ascii="仿宋_GB2312" w:hAnsi="仿宋_GB2312" w:eastAsia="仿宋_GB2312" w:cs="仿宋_GB2312"/>
          <w:color w:val="auto"/>
          <w:spacing w:val="6"/>
          <w:highlight w:val="none"/>
        </w:rPr>
      </w:pPr>
    </w:p>
    <w:p w14:paraId="391BCA86">
      <w:pPr>
        <w:pStyle w:val="14"/>
        <w:rPr>
          <w:rFonts w:hint="eastAsia" w:ascii="仿宋_GB2312" w:hAnsi="仿宋_GB2312" w:eastAsia="仿宋_GB2312" w:cs="仿宋_GB2312"/>
          <w:color w:val="auto"/>
          <w:spacing w:val="6"/>
          <w:highlight w:val="none"/>
        </w:rPr>
      </w:pPr>
    </w:p>
    <w:p w14:paraId="368E00F1">
      <w:pPr>
        <w:pStyle w:val="14"/>
        <w:rPr>
          <w:rFonts w:hint="eastAsia" w:ascii="仿宋_GB2312" w:hAnsi="仿宋_GB2312" w:eastAsia="仿宋_GB2312" w:cs="仿宋_GB2312"/>
          <w:color w:val="auto"/>
          <w:spacing w:val="6"/>
          <w:highlight w:val="none"/>
        </w:rPr>
      </w:pPr>
    </w:p>
    <w:p w14:paraId="22D7D9F5">
      <w:pPr>
        <w:keepNext w:val="0"/>
        <w:keepLines w:val="0"/>
        <w:pageBreakBefore w:val="0"/>
        <w:widowControl w:val="0"/>
        <w:wordWrap/>
        <w:topLinePunct w:val="0"/>
        <w:bidi w:val="0"/>
        <w:spacing w:line="590" w:lineRule="exact"/>
        <w:ind w:right="-94" w:firstLine="654" w:firstLineChars="200"/>
        <w:jc w:val="right"/>
        <w:textAlignment w:val="auto"/>
        <w:rPr>
          <w:rFonts w:hint="eastAsia" w:ascii="仿宋_GB2312" w:hAnsi="仿宋_GB2312" w:eastAsia="仿宋_GB2312" w:cs="仿宋_GB2312"/>
          <w:color w:val="auto"/>
          <w:spacing w:val="6"/>
          <w:szCs w:val="30"/>
          <w:highlight w:val="none"/>
        </w:rPr>
      </w:pPr>
      <w:r>
        <w:rPr>
          <w:rFonts w:hint="eastAsia" w:ascii="仿宋_GB2312" w:hAnsi="仿宋_GB2312" w:eastAsia="仿宋_GB2312" w:cs="仿宋_GB2312"/>
          <w:color w:val="auto"/>
          <w:spacing w:val="6"/>
          <w:szCs w:val="30"/>
          <w:highlight w:val="none"/>
        </w:rPr>
        <w:t>云南明博会计师事务所（普通合伙）</w:t>
      </w:r>
    </w:p>
    <w:p w14:paraId="4A6397CF">
      <w:pPr>
        <w:spacing w:line="590" w:lineRule="exact"/>
        <w:ind w:firstLine="4905" w:firstLineChars="1500"/>
        <w:rPr>
          <w:rFonts w:hint="default" w:hAnsi="仿宋" w:eastAsia="仿宋"/>
          <w:color w:val="auto"/>
          <w:szCs w:val="30"/>
          <w:highlight w:val="none"/>
          <w:lang w:val="en-US" w:eastAsia="zh-CN"/>
        </w:rPr>
      </w:pPr>
      <w:r>
        <w:rPr>
          <w:rFonts w:hint="eastAsia" w:ascii="仿宋_GB2312" w:hAnsi="仿宋_GB2312" w:eastAsia="仿宋_GB2312" w:cs="仿宋_GB2312"/>
          <w:color w:val="auto"/>
          <w:spacing w:val="6"/>
          <w:szCs w:val="30"/>
          <w:highlight w:val="none"/>
        </w:rPr>
        <w:t>202</w:t>
      </w:r>
      <w:r>
        <w:rPr>
          <w:rFonts w:hint="eastAsia" w:ascii="仿宋_GB2312" w:hAnsi="仿宋_GB2312" w:eastAsia="仿宋_GB2312" w:cs="仿宋_GB2312"/>
          <w:color w:val="auto"/>
          <w:spacing w:val="6"/>
          <w:szCs w:val="30"/>
          <w:highlight w:val="none"/>
          <w:lang w:val="en-US" w:eastAsia="zh-CN"/>
        </w:rPr>
        <w:t>6</w:t>
      </w:r>
      <w:r>
        <w:rPr>
          <w:rFonts w:hint="eastAsia" w:ascii="仿宋_GB2312" w:hAnsi="仿宋_GB2312" w:eastAsia="仿宋_GB2312" w:cs="仿宋_GB2312"/>
          <w:color w:val="auto"/>
          <w:spacing w:val="6"/>
          <w:szCs w:val="30"/>
          <w:highlight w:val="none"/>
        </w:rPr>
        <w:t>年</w:t>
      </w:r>
      <w:r>
        <w:rPr>
          <w:rFonts w:hint="eastAsia" w:ascii="仿宋_GB2312" w:hAnsi="仿宋_GB2312" w:eastAsia="仿宋_GB2312" w:cs="仿宋_GB2312"/>
          <w:color w:val="auto"/>
          <w:spacing w:val="6"/>
          <w:szCs w:val="30"/>
          <w:highlight w:val="none"/>
          <w:lang w:val="en-US" w:eastAsia="zh-CN"/>
        </w:rPr>
        <w:t>8</w:t>
      </w:r>
      <w:r>
        <w:rPr>
          <w:rFonts w:hint="eastAsia" w:ascii="仿宋_GB2312" w:hAnsi="仿宋_GB2312" w:eastAsia="仿宋_GB2312" w:cs="仿宋_GB2312"/>
          <w:color w:val="auto"/>
          <w:spacing w:val="6"/>
          <w:szCs w:val="30"/>
          <w:highlight w:val="none"/>
        </w:rPr>
        <w:t>月</w:t>
      </w:r>
      <w:r>
        <w:rPr>
          <w:rFonts w:hint="eastAsia" w:ascii="仿宋_GB2312" w:hAnsi="仿宋_GB2312" w:eastAsia="仿宋_GB2312" w:cs="仿宋_GB2312"/>
          <w:color w:val="auto"/>
          <w:spacing w:val="6"/>
          <w:szCs w:val="30"/>
          <w:highlight w:val="none"/>
          <w:lang w:val="en-US" w:eastAsia="zh-CN"/>
        </w:rPr>
        <w:t>20</w:t>
      </w:r>
      <w:r>
        <w:rPr>
          <w:rFonts w:hint="eastAsia" w:ascii="仿宋_GB2312" w:hAnsi="仿宋_GB2312" w:eastAsia="仿宋_GB2312" w:cs="仿宋_GB2312"/>
          <w:color w:val="auto"/>
          <w:spacing w:val="6"/>
          <w:szCs w:val="30"/>
          <w:highlight w:val="none"/>
        </w:rPr>
        <w:t>日</w:t>
      </w:r>
    </w:p>
    <w:sectPr>
      <w:footerReference r:id="rId4" w:type="default"/>
      <w:footerReference r:id="rId5" w:type="even"/>
      <w:type w:val="oddPage"/>
      <w:pgSz w:w="11906" w:h="16838"/>
      <w:pgMar w:top="2098" w:right="1474" w:bottom="1985" w:left="1588" w:header="851" w:footer="1474" w:gutter="0"/>
      <w:pgBorders>
        <w:top w:val="none" w:sz="0" w:space="0"/>
        <w:left w:val="none" w:sz="0" w:space="0"/>
        <w:bottom w:val="none" w:sz="0" w:space="0"/>
        <w:right w:val="none" w:sz="0" w:space="0"/>
      </w:pgBorders>
      <w:pgNumType w:fmt="decimal" w:start="1"/>
      <w:cols w:space="425" w:num="1"/>
      <w:docGrid w:type="linesAndChars" w:linePitch="579" w:charSpace="324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30304000000000000"/>
    <w:charset w:val="88"/>
    <w:family w:val="script"/>
    <w:pitch w:val="default"/>
    <w:sig w:usb0="E7FFAEFF" w:usb1="F9FFFFFF" w:usb2="000FFDFF" w:usb3="00000000" w:csb0="603F01FF" w:csb1="FFFF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仿宋">
    <w:altName w:val="宋体"/>
    <w:panose1 w:val="02010609060101010101"/>
    <w:charset w:val="86"/>
    <w:family w:val="modern"/>
    <w:pitch w:val="default"/>
    <w:sig w:usb0="00000000" w:usb1="00000000" w:usb2="00000016" w:usb3="00000000" w:csb0="00040001"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Segoe UI">
    <w:altName w:val="Noto Naskh Arabic"/>
    <w:panose1 w:val="020B0502040204020203"/>
    <w:charset w:val="00"/>
    <w:family w:val="auto"/>
    <w:pitch w:val="default"/>
    <w:sig w:usb0="00000000" w:usb1="00000000" w:usb2="00000009" w:usb3="00000000" w:csb0="200001FF" w:csb1="00000000"/>
  </w:font>
  <w:font w:name="Noto Naskh Arabic">
    <w:panose1 w:val="020B0502040504020204"/>
    <w:charset w:val="00"/>
    <w:family w:val="auto"/>
    <w:pitch w:val="default"/>
    <w:sig w:usb0="80002003" w:usb1="80002000" w:usb2="00000008" w:usb3="00000000" w:csb0="00000041" w:csb1="0008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国标宋体-超大字符集扩">
    <w:panose1 w:val="000005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B9801">
    <w:pPr>
      <w:pStyle w:val="11"/>
      <w:jc w:val="left"/>
      <w:rPr>
        <w:rFonts w:ascii="宋体" w:hAnsi="宋体" w:eastAsia="宋体"/>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3FDD1A89">
                          <w:pPr>
                            <w:pStyle w:val="11"/>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vii</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0">
                      <a:spAutoFit/>
                    </wps:bodyPr>
                  </wps:wsp>
                </a:graphicData>
              </a:graphic>
            </wp:anchor>
          </w:drawing>
        </mc:Choice>
        <mc:Fallback>
          <w:pict>
            <v:shape id="文本框 1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OqXm5zwAAAAUBAAAP&#10;AAAAAAAAAAEAIAAAACIAAABkcnMvZG93bnJldi54bWxQSwECFAAUAAAACACHTuJAcW0K4ugBAADI&#10;AwAADgAAAAAAAAABACAAAAAeAQAAZHJzL2Uyb0RvYy54bWxQSwUGAAAAAAYABgBZAQAAeAUAAAAA&#10;">
              <v:fill on="f" focussize="0,0"/>
              <v:stroke on="f"/>
              <v:imagedata o:title=""/>
              <o:lock v:ext="edit" aspectratio="f"/>
              <v:textbox inset="0mm,0mm,0mm,0mm" style="mso-fit-shape-to-text:t;">
                <w:txbxContent>
                  <w:p w14:paraId="3FDD1A89">
                    <w:pPr>
                      <w:pStyle w:val="11"/>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vii</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2C582BB6">
                          <w:pPr>
                            <w:pStyle w:val="11"/>
                            <w:jc w:val="left"/>
                          </w:pPr>
                        </w:p>
                        <w:p w14:paraId="0461863F"/>
                      </w:txbxContent>
                    </wps:txbx>
                    <wps:bodyPr vert="horz" wrap="none" lIns="0" tIns="0" rIns="0" bIns="0" anchor="t" anchorCtr="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6pebnPAAAABQEAAA8A&#10;AAAAAAAAAQAgAAAAIgAAAGRycy9kb3ducmV2LnhtbFBLAQIUABQAAAAIAIdO4kDTiyUj5wEAAMcD&#10;AAAOAAAAAAAAAAEAIAAAAB4BAABkcnMvZTJvRG9jLnhtbFBLBQYAAAAABgAGAFkBAAB3BQAAAAA=&#10;">
              <v:fill on="f" focussize="0,0"/>
              <v:stroke on="f"/>
              <v:imagedata o:title=""/>
              <o:lock v:ext="edit" aspectratio="f"/>
              <v:textbox inset="0mm,0mm,0mm,0mm" style="mso-fit-shape-to-text:t;">
                <w:txbxContent>
                  <w:p w14:paraId="2C582BB6">
                    <w:pPr>
                      <w:pStyle w:val="11"/>
                      <w:jc w:val="left"/>
                    </w:pPr>
                  </w:p>
                  <w:p w14:paraId="0461863F"/>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D085F">
    <w:pPr>
      <w:pStyle w:val="11"/>
      <w:rPr>
        <w:rFonts w:ascii="宋体" w:hAnsi="宋体" w:eastAsia="宋体"/>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1658CD46">
                          <w:pPr>
                            <w:pStyle w:val="11"/>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ii</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vert="horz" wrap="none" lIns="0" tIns="0" rIns="0" bIns="0" anchor="t" anchorCtr="0" upright="0">
                      <a:spAutoFit/>
                    </wps:bodyPr>
                  </wps:wsp>
                </a:graphicData>
              </a:graphic>
            </wp:anchor>
          </w:drawing>
        </mc:Choice>
        <mc:Fallback>
          <w:pict>
            <v:shape id="文本框 17"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OqXm5zwAAAAUBAAAP&#10;AAAAAAAAAAEAIAAAACIAAABkcnMvZG93bnJldi54bWxQSwECFAAUAAAACACHTuJATWi8F+gBAADI&#10;AwAADgAAAAAAAAABACAAAAAeAQAAZHJzL2Uyb0RvYy54bWxQSwUGAAAAAAYABgBZAQAAeAUAAAAA&#10;">
              <v:fill on="f" focussize="0,0"/>
              <v:stroke on="f"/>
              <v:imagedata o:title=""/>
              <o:lock v:ext="edit" aspectratio="f"/>
              <v:textbox inset="0mm,0mm,0mm,0mm" style="mso-fit-shape-to-text:t;">
                <w:txbxContent>
                  <w:p w14:paraId="1658CD46">
                    <w:pPr>
                      <w:pStyle w:val="11"/>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ii</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14:paraId="791BEAAD">
                          <w:pPr>
                            <w:pStyle w:val="11"/>
                          </w:pPr>
                        </w:p>
                        <w:p w14:paraId="7FB1A2E0"/>
                      </w:txbxContent>
                    </wps:txbx>
                    <wps:bodyPr vert="horz" wrap="none" lIns="0" tIns="0" rIns="0" bIns="0" anchor="t" anchorCtr="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OqXm5zwAAAAUBAAAP&#10;AAAAAAAAAAEAIAAAACIAAABkcnMvZG93bnJldi54bWxQSwECFAAUAAAACACHTuJA2clYYOgBAADH&#10;AwAADgAAAAAAAAABACAAAAAeAQAAZHJzL2Uyb0RvYy54bWxQSwUGAAAAAAYABgBZAQAAeAUAAAAA&#10;">
              <v:fill on="f" focussize="0,0"/>
              <v:stroke on="f"/>
              <v:imagedata o:title=""/>
              <o:lock v:ext="edit" aspectratio="f"/>
              <v:textbox inset="0mm,0mm,0mm,0mm" style="mso-fit-shape-to-text:t;">
                <w:txbxContent>
                  <w:p w14:paraId="791BEAAD">
                    <w:pPr>
                      <w:pStyle w:val="11"/>
                    </w:pPr>
                  </w:p>
                  <w:p w14:paraId="7FB1A2E0"/>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8">
    <w:p>
      <w:r>
        <w:separator/>
      </w:r>
    </w:p>
  </w:footnote>
  <w:footnote w:type="continuationSeparator" w:id="9">
    <w:p>
      <w:r>
        <w:continuationSeparator/>
      </w:r>
    </w:p>
  </w:footnote>
  <w:footnote w:id="0">
    <w:p w14:paraId="1881D197">
      <w:pPr>
        <w:pStyle w:val="14"/>
        <w:snapToGrid w:val="0"/>
        <w:rPr>
          <w:rFonts w:hint="eastAsia" w:asciiTheme="minorEastAsia" w:hAnsiTheme="minorEastAsia" w:eastAsiaTheme="minorEastAsia" w:cstheme="minorEastAsia"/>
          <w:sz w:val="21"/>
          <w:lang w:val="en-US" w:eastAsia="zh-CN"/>
        </w:rPr>
      </w:pPr>
      <w:r>
        <w:rPr>
          <w:rStyle w:val="25"/>
          <w:rFonts w:hint="eastAsia" w:asciiTheme="minorEastAsia" w:hAnsiTheme="minorEastAsia" w:eastAsiaTheme="minorEastAsia" w:cstheme="minorEastAsia"/>
          <w:sz w:val="21"/>
        </w:rPr>
        <w:footnoteRef/>
      </w:r>
      <w:r>
        <w:rPr>
          <w:rFonts w:hint="eastAsia" w:asciiTheme="minorEastAsia" w:hAnsiTheme="minorEastAsia" w:eastAsiaTheme="minorEastAsia" w:cstheme="minorEastAsia"/>
          <w:color w:val="auto"/>
          <w:spacing w:val="6"/>
          <w:sz w:val="21"/>
          <w:szCs w:val="21"/>
          <w:lang w:val="en-US" w:eastAsia="zh-CN" w:bidi="ar"/>
        </w:rPr>
        <w:t>一次性开办补贴实行分期拨付，各年度统计的受补机构为当年实际拨付补贴的机构数，并非当年新增享受补贴的机构数</w:t>
      </w:r>
      <w:r>
        <w:rPr>
          <w:rFonts w:hint="eastAsia" w:asciiTheme="minorEastAsia" w:hAnsiTheme="minorEastAsia" w:eastAsiaTheme="minorEastAsia" w:cstheme="minorEastAsia"/>
          <w:color w:val="auto"/>
          <w:spacing w:val="6"/>
          <w:sz w:val="21"/>
          <w:szCs w:val="21"/>
          <w:lang w:eastAsia="zh-Hans" w:bidi="ar"/>
        </w:rPr>
        <w:fldChar w:fldCharType="begin"/>
      </w:r>
      <w:r>
        <w:rPr>
          <w:rFonts w:hint="eastAsia" w:asciiTheme="minorEastAsia" w:hAnsiTheme="minorEastAsia" w:eastAsiaTheme="minorEastAsia" w:cstheme="minorEastAsia"/>
          <w:color w:val="auto"/>
          <w:spacing w:val="6"/>
          <w:sz w:val="21"/>
          <w:szCs w:val="21"/>
          <w:lang w:eastAsia="zh-Hans" w:bidi="ar"/>
        </w:rPr>
        <w:instrText xml:space="preserve"> HYPERLINK "http://www.shache.gov.cn/scx/c115165/202310/5c4ffa907ffd4e1da7725d9fd1b4734a.shtml" \t "https://chat.deepseek.com/a/chat/s/_blank" </w:instrText>
      </w:r>
      <w:r>
        <w:rPr>
          <w:rFonts w:hint="eastAsia" w:asciiTheme="minorEastAsia" w:hAnsiTheme="minorEastAsia" w:eastAsiaTheme="minorEastAsia" w:cstheme="minorEastAsia"/>
          <w:color w:val="auto"/>
          <w:spacing w:val="6"/>
          <w:sz w:val="21"/>
          <w:szCs w:val="21"/>
          <w:lang w:eastAsia="zh-Hans" w:bidi="ar"/>
        </w:rPr>
        <w:fldChar w:fldCharType="separate"/>
      </w:r>
      <w:r>
        <w:rPr>
          <w:rFonts w:hint="eastAsia" w:asciiTheme="minorEastAsia" w:hAnsiTheme="minorEastAsia" w:eastAsiaTheme="minorEastAsia" w:cstheme="minorEastAsia"/>
          <w:color w:val="auto"/>
          <w:spacing w:val="6"/>
          <w:sz w:val="21"/>
          <w:szCs w:val="21"/>
          <w:lang w:eastAsia="zh-Hans" w:bidi="ar"/>
        </w:rPr>
        <w:fldChar w:fldCharType="end"/>
      </w:r>
      <w:r>
        <w:rPr>
          <w:rFonts w:hint="eastAsia" w:asciiTheme="minorEastAsia" w:hAnsiTheme="minorEastAsia" w:eastAsiaTheme="minorEastAsia" w:cstheme="minorEastAsia"/>
          <w:color w:val="auto"/>
          <w:spacing w:val="6"/>
          <w:sz w:val="21"/>
          <w:szCs w:val="21"/>
          <w:lang w:eastAsia="zh-Hans" w:bidi="ar"/>
        </w:rPr>
        <w:fldChar w:fldCharType="begin"/>
      </w:r>
      <w:r>
        <w:rPr>
          <w:rFonts w:hint="eastAsia" w:asciiTheme="minorEastAsia" w:hAnsiTheme="minorEastAsia" w:eastAsiaTheme="minorEastAsia" w:cstheme="minorEastAsia"/>
          <w:color w:val="auto"/>
          <w:spacing w:val="6"/>
          <w:sz w:val="21"/>
          <w:szCs w:val="21"/>
          <w:lang w:eastAsia="zh-Hans" w:bidi="ar"/>
        </w:rPr>
        <w:instrText xml:space="preserve"> HYPERLINK "https://www.xjyl.gov.cn/xjylz/c112512/202309/e003f42b4c2841718278b72f82441195.shtml" \t "https://chat.deepseek.com/a/chat/s/_blank" </w:instrText>
      </w:r>
      <w:r>
        <w:rPr>
          <w:rFonts w:hint="eastAsia" w:asciiTheme="minorEastAsia" w:hAnsiTheme="minorEastAsia" w:eastAsiaTheme="minorEastAsia" w:cstheme="minorEastAsia"/>
          <w:color w:val="auto"/>
          <w:spacing w:val="6"/>
          <w:sz w:val="21"/>
          <w:szCs w:val="21"/>
          <w:lang w:eastAsia="zh-Hans" w:bidi="ar"/>
        </w:rPr>
        <w:fldChar w:fldCharType="separate"/>
      </w:r>
      <w:r>
        <w:rPr>
          <w:rFonts w:hint="eastAsia" w:asciiTheme="minorEastAsia" w:hAnsiTheme="minorEastAsia" w:eastAsiaTheme="minorEastAsia" w:cstheme="minorEastAsia"/>
          <w:color w:val="auto"/>
          <w:spacing w:val="6"/>
          <w:sz w:val="21"/>
          <w:szCs w:val="21"/>
          <w:lang w:eastAsia="zh-Hans" w:bidi="ar"/>
        </w:rPr>
        <w:fldChar w:fldCharType="end"/>
      </w:r>
      <w:r>
        <w:rPr>
          <w:rFonts w:hint="eastAsia" w:asciiTheme="minorEastAsia" w:hAnsiTheme="minorEastAsia" w:eastAsiaTheme="minorEastAsia" w:cstheme="minorEastAsia"/>
          <w:color w:val="auto"/>
          <w:spacing w:val="6"/>
          <w:sz w:val="21"/>
          <w:szCs w:val="21"/>
          <w:lang w:eastAsia="zh-Hans" w:bidi="ar"/>
        </w:rPr>
        <w:t>。</w:t>
      </w:r>
    </w:p>
  </w:footnote>
  <w:footnote w:id="1">
    <w:p w14:paraId="161524C9">
      <w:pPr>
        <w:pStyle w:val="14"/>
        <w:snapToGrid w:val="0"/>
        <w:rPr>
          <w:rFonts w:hint="eastAsia" w:ascii="宋体" w:hAnsi="宋体" w:eastAsia="宋体" w:cs="宋体"/>
          <w:sz w:val="21"/>
          <w:szCs w:val="21"/>
        </w:rPr>
      </w:pPr>
      <w:r>
        <w:rPr>
          <w:rStyle w:val="25"/>
          <w:rFonts w:hint="eastAsia" w:ascii="宋体" w:hAnsi="宋体" w:eastAsia="宋体" w:cs="宋体"/>
          <w:sz w:val="21"/>
          <w:szCs w:val="21"/>
        </w:rPr>
        <w:footnoteRef/>
      </w:r>
      <w:r>
        <w:rPr>
          <w:rFonts w:hint="eastAsia" w:ascii="宋体" w:hAnsi="宋体" w:eastAsia="宋体" w:cs="宋体"/>
          <w:sz w:val="21"/>
          <w:szCs w:val="21"/>
        </w:rPr>
        <w:t>哈密市执行相对到位。一是伊州区民政局辖区内有1家享受运营补贴的养老机构，自2023年度申领补贴以来，均按规定完成据实清算，对以往年度结余资金通过下一年度预算申报时予以抵扣消化。二是哈密市民政局辖区内有1家享受运营补贴的养老机构，自2024年起对2021至2023年度的补贴资金统一进行清算，已完成部分补差和退款工作，2024年度运营补贴同样完成据实清算，并对年度结余资金通过下一年度预算申报时予以抵扣消化。</w:t>
      </w:r>
    </w:p>
  </w:footnote>
  <w:footnote w:id="2">
    <w:p w14:paraId="00BBB732">
      <w:pPr>
        <w:pStyle w:val="14"/>
        <w:snapToGrid w:val="0"/>
        <w:rPr>
          <w:rFonts w:hint="eastAsia" w:ascii="宋体" w:hAnsi="宋体" w:eastAsia="宋体" w:cs="宋体"/>
          <w:sz w:val="21"/>
          <w:szCs w:val="21"/>
          <w:lang w:val="en-US" w:eastAsia="zh-CN"/>
        </w:rPr>
      </w:pPr>
      <w:r>
        <w:rPr>
          <w:rStyle w:val="25"/>
          <w:rFonts w:hint="eastAsia" w:ascii="宋体" w:hAnsi="宋体" w:eastAsia="宋体" w:cs="宋体"/>
          <w:sz w:val="21"/>
          <w:szCs w:val="21"/>
        </w:rPr>
        <w:footnoteRef/>
      </w:r>
      <w:r>
        <w:rPr>
          <w:rFonts w:hint="eastAsia" w:ascii="宋体" w:hAnsi="宋体" w:eastAsia="宋体" w:cs="宋体"/>
          <w:sz w:val="21"/>
          <w:szCs w:val="21"/>
          <w:lang w:val="en-US" w:eastAsia="zh-CN"/>
        </w:rPr>
        <w:t>该问题经发现已完成整改，退回资金。</w:t>
      </w:r>
    </w:p>
  </w:footnote>
  <w:footnote w:id="3">
    <w:p w14:paraId="05CB51F1">
      <w:pPr>
        <w:pStyle w:val="14"/>
        <w:snapToGrid w:val="0"/>
        <w:rPr>
          <w:rFonts w:hint="eastAsia" w:ascii="宋体" w:hAnsi="宋体" w:eastAsia="宋体" w:cs="宋体"/>
          <w:sz w:val="28"/>
          <w:szCs w:val="28"/>
          <w:lang w:val="en-US" w:eastAsia="zh-CN"/>
        </w:rPr>
      </w:pPr>
      <w:r>
        <w:rPr>
          <w:rStyle w:val="25"/>
          <w:rFonts w:hint="eastAsia" w:ascii="宋体" w:hAnsi="宋体" w:eastAsia="宋体" w:cs="宋体"/>
          <w:sz w:val="28"/>
          <w:szCs w:val="28"/>
        </w:rPr>
        <w:footnoteRef/>
      </w:r>
      <w:r>
        <w:rPr>
          <w:rFonts w:hint="eastAsia" w:ascii="宋体" w:hAnsi="宋体" w:eastAsia="宋体" w:cs="宋体"/>
          <w:sz w:val="28"/>
          <w:szCs w:val="28"/>
          <w:lang w:val="en-US" w:eastAsia="zh-CN"/>
        </w:rPr>
        <w:t>根据实地评估情况，</w:t>
      </w: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启用床位数</w:t>
      </w:r>
      <w:r>
        <w:rPr>
          <w:rFonts w:hint="eastAsia" w:ascii="宋体" w:hAnsi="宋体" w:eastAsia="宋体" w:cs="宋体"/>
          <w:sz w:val="28"/>
          <w:szCs w:val="28"/>
          <w:lang w:eastAsia="zh-CN"/>
        </w:rPr>
        <w:t>”反映的是床位是否处于可使用状态，而非实际入住人数</w:t>
      </w:r>
      <w:r>
        <w:rPr>
          <w:rFonts w:hint="eastAsia" w:ascii="宋体" w:hAnsi="宋体" w:eastAsia="宋体" w:cs="宋体"/>
          <w:sz w:val="28"/>
          <w:szCs w:val="28"/>
          <w:lang w:val="en-US" w:eastAsia="zh-CN"/>
        </w:rPr>
        <w:t>。</w:t>
      </w:r>
    </w:p>
    <w:p w14:paraId="668343D5">
      <w:pPr>
        <w:pStyle w:val="14"/>
        <w:snapToGrid w:val="0"/>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4CD4C3A"/>
    <w:multiLevelType w:val="singleLevel"/>
    <w:tmpl w:val="F4CD4C3A"/>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removePersonalInformation/>
  <w:embedTrueTypeFonts/>
  <w:embedSystemFonts/>
  <w:saveSubsetFonts/>
  <w:bordersDoNotSurroundHeader w:val="0"/>
  <w:bordersDoNotSurroundFooter w:val="0"/>
  <w:documentProtection w:enforcement="0"/>
  <w:defaultTabStop w:val="420"/>
  <w:evenAndOddHeaders w:val="1"/>
  <w:drawingGridHorizontalSpacing w:val="158"/>
  <w:drawingGridVerticalSpacing w:val="579"/>
  <w:displayHorizontalDrawingGridEvery w:val="1"/>
  <w:displayVerticalDrawingGridEvery w:val="1"/>
  <w:noPunctuationKerning w:val="1"/>
  <w:characterSpacingControl w:val="compressPunctuation"/>
  <w:footnotePr>
    <w:footnote w:id="8"/>
    <w:footnote w:id="9"/>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RmYjUxYjRhZDlmMjQ1ZGFjNGY3ZjQ5YTU1MTkxNjEifQ=="/>
  </w:docVars>
  <w:rsids>
    <w:rsidRoot w:val="00763D8D"/>
    <w:rsid w:val="000027B8"/>
    <w:rsid w:val="00003457"/>
    <w:rsid w:val="000053D4"/>
    <w:rsid w:val="000101DC"/>
    <w:rsid w:val="000109E6"/>
    <w:rsid w:val="00011162"/>
    <w:rsid w:val="000163D2"/>
    <w:rsid w:val="00021B6D"/>
    <w:rsid w:val="00022FFA"/>
    <w:rsid w:val="00023FF0"/>
    <w:rsid w:val="000302F4"/>
    <w:rsid w:val="00030BA6"/>
    <w:rsid w:val="00032A27"/>
    <w:rsid w:val="00032BAE"/>
    <w:rsid w:val="000377E6"/>
    <w:rsid w:val="00037F46"/>
    <w:rsid w:val="0004014B"/>
    <w:rsid w:val="00044EEC"/>
    <w:rsid w:val="00046291"/>
    <w:rsid w:val="00046463"/>
    <w:rsid w:val="00050813"/>
    <w:rsid w:val="00073C73"/>
    <w:rsid w:val="00075831"/>
    <w:rsid w:val="000761D2"/>
    <w:rsid w:val="00077515"/>
    <w:rsid w:val="0008006D"/>
    <w:rsid w:val="0008270C"/>
    <w:rsid w:val="00082DC6"/>
    <w:rsid w:val="000910C9"/>
    <w:rsid w:val="000913F5"/>
    <w:rsid w:val="000926D7"/>
    <w:rsid w:val="00093656"/>
    <w:rsid w:val="00095539"/>
    <w:rsid w:val="000A3ED9"/>
    <w:rsid w:val="000A4562"/>
    <w:rsid w:val="000A60AC"/>
    <w:rsid w:val="000C04DE"/>
    <w:rsid w:val="000C0984"/>
    <w:rsid w:val="000C1909"/>
    <w:rsid w:val="000C3CE0"/>
    <w:rsid w:val="000C5033"/>
    <w:rsid w:val="000D71DD"/>
    <w:rsid w:val="000E21D8"/>
    <w:rsid w:val="000E6F75"/>
    <w:rsid w:val="000F1534"/>
    <w:rsid w:val="000F3E60"/>
    <w:rsid w:val="000F46ED"/>
    <w:rsid w:val="000F6595"/>
    <w:rsid w:val="00106A8B"/>
    <w:rsid w:val="001075E2"/>
    <w:rsid w:val="001114F0"/>
    <w:rsid w:val="00114580"/>
    <w:rsid w:val="001146BA"/>
    <w:rsid w:val="00116445"/>
    <w:rsid w:val="00122361"/>
    <w:rsid w:val="00124FFE"/>
    <w:rsid w:val="00125D9C"/>
    <w:rsid w:val="001308E4"/>
    <w:rsid w:val="00142242"/>
    <w:rsid w:val="001439E1"/>
    <w:rsid w:val="00147856"/>
    <w:rsid w:val="00147F84"/>
    <w:rsid w:val="00150F3E"/>
    <w:rsid w:val="001513E5"/>
    <w:rsid w:val="00152B2B"/>
    <w:rsid w:val="001537D8"/>
    <w:rsid w:val="00153BC6"/>
    <w:rsid w:val="00155A7C"/>
    <w:rsid w:val="00157E96"/>
    <w:rsid w:val="0016290B"/>
    <w:rsid w:val="00162B90"/>
    <w:rsid w:val="00167E57"/>
    <w:rsid w:val="001722F7"/>
    <w:rsid w:val="00175976"/>
    <w:rsid w:val="00182613"/>
    <w:rsid w:val="001836BB"/>
    <w:rsid w:val="00183D89"/>
    <w:rsid w:val="001844AE"/>
    <w:rsid w:val="00184577"/>
    <w:rsid w:val="0018788E"/>
    <w:rsid w:val="001905A5"/>
    <w:rsid w:val="001A2410"/>
    <w:rsid w:val="001A2D6F"/>
    <w:rsid w:val="001A644B"/>
    <w:rsid w:val="001A77EE"/>
    <w:rsid w:val="001A7B0F"/>
    <w:rsid w:val="001B4784"/>
    <w:rsid w:val="001D4E03"/>
    <w:rsid w:val="001D58D7"/>
    <w:rsid w:val="001E07CC"/>
    <w:rsid w:val="001E410D"/>
    <w:rsid w:val="001E6E29"/>
    <w:rsid w:val="001E713D"/>
    <w:rsid w:val="001F1285"/>
    <w:rsid w:val="001F1844"/>
    <w:rsid w:val="001F1E4B"/>
    <w:rsid w:val="001F3638"/>
    <w:rsid w:val="001F46E7"/>
    <w:rsid w:val="001F566D"/>
    <w:rsid w:val="00200263"/>
    <w:rsid w:val="00201C2D"/>
    <w:rsid w:val="002115B2"/>
    <w:rsid w:val="00212FA7"/>
    <w:rsid w:val="00217869"/>
    <w:rsid w:val="0021797F"/>
    <w:rsid w:val="00217AA8"/>
    <w:rsid w:val="002229E2"/>
    <w:rsid w:val="0022365E"/>
    <w:rsid w:val="002260C9"/>
    <w:rsid w:val="00226E95"/>
    <w:rsid w:val="00227678"/>
    <w:rsid w:val="00227EAF"/>
    <w:rsid w:val="00230719"/>
    <w:rsid w:val="00230C67"/>
    <w:rsid w:val="00235C5D"/>
    <w:rsid w:val="002422DC"/>
    <w:rsid w:val="00243F53"/>
    <w:rsid w:val="00246276"/>
    <w:rsid w:val="00251346"/>
    <w:rsid w:val="00252898"/>
    <w:rsid w:val="002532A4"/>
    <w:rsid w:val="00254804"/>
    <w:rsid w:val="00254B91"/>
    <w:rsid w:val="002554E5"/>
    <w:rsid w:val="002567E0"/>
    <w:rsid w:val="00256D4E"/>
    <w:rsid w:val="002606F4"/>
    <w:rsid w:val="00274648"/>
    <w:rsid w:val="00277ACC"/>
    <w:rsid w:val="00282CC8"/>
    <w:rsid w:val="00283F38"/>
    <w:rsid w:val="00285265"/>
    <w:rsid w:val="00290595"/>
    <w:rsid w:val="002917E5"/>
    <w:rsid w:val="0029356B"/>
    <w:rsid w:val="002A020A"/>
    <w:rsid w:val="002A1DF7"/>
    <w:rsid w:val="002A5AD2"/>
    <w:rsid w:val="002A6EAA"/>
    <w:rsid w:val="002B3F00"/>
    <w:rsid w:val="002B7B5E"/>
    <w:rsid w:val="002C46F4"/>
    <w:rsid w:val="002C555C"/>
    <w:rsid w:val="002D1D67"/>
    <w:rsid w:val="002D3C45"/>
    <w:rsid w:val="002D498A"/>
    <w:rsid w:val="002D55A2"/>
    <w:rsid w:val="002E06C9"/>
    <w:rsid w:val="002E1041"/>
    <w:rsid w:val="002E280F"/>
    <w:rsid w:val="002E5BDD"/>
    <w:rsid w:val="002E60CA"/>
    <w:rsid w:val="002F4221"/>
    <w:rsid w:val="002F516E"/>
    <w:rsid w:val="002F59F0"/>
    <w:rsid w:val="002F7BE7"/>
    <w:rsid w:val="00301F5D"/>
    <w:rsid w:val="003020B9"/>
    <w:rsid w:val="00307963"/>
    <w:rsid w:val="00307B63"/>
    <w:rsid w:val="003116BB"/>
    <w:rsid w:val="00313C52"/>
    <w:rsid w:val="00321FF5"/>
    <w:rsid w:val="003270CD"/>
    <w:rsid w:val="003305B8"/>
    <w:rsid w:val="0033130B"/>
    <w:rsid w:val="0033489A"/>
    <w:rsid w:val="0033762E"/>
    <w:rsid w:val="0034304B"/>
    <w:rsid w:val="00347579"/>
    <w:rsid w:val="00347950"/>
    <w:rsid w:val="00353796"/>
    <w:rsid w:val="003568A8"/>
    <w:rsid w:val="00357576"/>
    <w:rsid w:val="0036565B"/>
    <w:rsid w:val="00365B28"/>
    <w:rsid w:val="00371BB6"/>
    <w:rsid w:val="00371CAA"/>
    <w:rsid w:val="00375AF4"/>
    <w:rsid w:val="003761AE"/>
    <w:rsid w:val="00376534"/>
    <w:rsid w:val="00376A60"/>
    <w:rsid w:val="00380118"/>
    <w:rsid w:val="003807BD"/>
    <w:rsid w:val="00381F0D"/>
    <w:rsid w:val="0038336A"/>
    <w:rsid w:val="00384495"/>
    <w:rsid w:val="0038721F"/>
    <w:rsid w:val="00392745"/>
    <w:rsid w:val="00393295"/>
    <w:rsid w:val="003A3987"/>
    <w:rsid w:val="003A5711"/>
    <w:rsid w:val="003A6AB4"/>
    <w:rsid w:val="003B2603"/>
    <w:rsid w:val="003B355C"/>
    <w:rsid w:val="003B5FE1"/>
    <w:rsid w:val="003B74B5"/>
    <w:rsid w:val="003D112A"/>
    <w:rsid w:val="003D12B5"/>
    <w:rsid w:val="003D2104"/>
    <w:rsid w:val="003D35C0"/>
    <w:rsid w:val="003D6830"/>
    <w:rsid w:val="003E0E49"/>
    <w:rsid w:val="003E28AB"/>
    <w:rsid w:val="003E37CD"/>
    <w:rsid w:val="003E3857"/>
    <w:rsid w:val="003F1515"/>
    <w:rsid w:val="003F16E7"/>
    <w:rsid w:val="003F402E"/>
    <w:rsid w:val="003F6354"/>
    <w:rsid w:val="00400D06"/>
    <w:rsid w:val="0040239B"/>
    <w:rsid w:val="00402CE7"/>
    <w:rsid w:val="00405226"/>
    <w:rsid w:val="00405C75"/>
    <w:rsid w:val="00406D6A"/>
    <w:rsid w:val="00420BEC"/>
    <w:rsid w:val="0042251D"/>
    <w:rsid w:val="00426FE5"/>
    <w:rsid w:val="004272A6"/>
    <w:rsid w:val="0043119F"/>
    <w:rsid w:val="00433CAA"/>
    <w:rsid w:val="00436B3B"/>
    <w:rsid w:val="00437980"/>
    <w:rsid w:val="004401ED"/>
    <w:rsid w:val="00440843"/>
    <w:rsid w:val="0044349C"/>
    <w:rsid w:val="00452585"/>
    <w:rsid w:val="00452895"/>
    <w:rsid w:val="00453319"/>
    <w:rsid w:val="004542C8"/>
    <w:rsid w:val="004549D1"/>
    <w:rsid w:val="00457099"/>
    <w:rsid w:val="00460E4C"/>
    <w:rsid w:val="00462343"/>
    <w:rsid w:val="00464A91"/>
    <w:rsid w:val="00465B8C"/>
    <w:rsid w:val="004671F2"/>
    <w:rsid w:val="00472258"/>
    <w:rsid w:val="00474787"/>
    <w:rsid w:val="0048081D"/>
    <w:rsid w:val="0048089A"/>
    <w:rsid w:val="004811D4"/>
    <w:rsid w:val="004839EA"/>
    <w:rsid w:val="00484612"/>
    <w:rsid w:val="004860CD"/>
    <w:rsid w:val="004866EA"/>
    <w:rsid w:val="004949AC"/>
    <w:rsid w:val="004A0A75"/>
    <w:rsid w:val="004A3DDB"/>
    <w:rsid w:val="004A4700"/>
    <w:rsid w:val="004A711A"/>
    <w:rsid w:val="004B34FB"/>
    <w:rsid w:val="004B448D"/>
    <w:rsid w:val="004C51F5"/>
    <w:rsid w:val="004C5D7B"/>
    <w:rsid w:val="004C6BF0"/>
    <w:rsid w:val="004D0D4D"/>
    <w:rsid w:val="004D2649"/>
    <w:rsid w:val="004D31B0"/>
    <w:rsid w:val="004D34AD"/>
    <w:rsid w:val="004D5F2D"/>
    <w:rsid w:val="004D678B"/>
    <w:rsid w:val="004E013B"/>
    <w:rsid w:val="004E0906"/>
    <w:rsid w:val="004E5E85"/>
    <w:rsid w:val="004F0288"/>
    <w:rsid w:val="004F0B47"/>
    <w:rsid w:val="004F43AA"/>
    <w:rsid w:val="004F47FC"/>
    <w:rsid w:val="004F5DE3"/>
    <w:rsid w:val="004F6CCC"/>
    <w:rsid w:val="00500179"/>
    <w:rsid w:val="005102A2"/>
    <w:rsid w:val="00510BAB"/>
    <w:rsid w:val="00514671"/>
    <w:rsid w:val="00515734"/>
    <w:rsid w:val="005215F0"/>
    <w:rsid w:val="00522A6C"/>
    <w:rsid w:val="00526431"/>
    <w:rsid w:val="00536F5B"/>
    <w:rsid w:val="00542670"/>
    <w:rsid w:val="00545001"/>
    <w:rsid w:val="00550937"/>
    <w:rsid w:val="0055330D"/>
    <w:rsid w:val="005578D6"/>
    <w:rsid w:val="00561795"/>
    <w:rsid w:val="00562BA8"/>
    <w:rsid w:val="0056376A"/>
    <w:rsid w:val="00564552"/>
    <w:rsid w:val="00566921"/>
    <w:rsid w:val="005750C4"/>
    <w:rsid w:val="00576CB6"/>
    <w:rsid w:val="00576FBF"/>
    <w:rsid w:val="00577FAD"/>
    <w:rsid w:val="00585784"/>
    <w:rsid w:val="00587462"/>
    <w:rsid w:val="00587C8D"/>
    <w:rsid w:val="00591EF2"/>
    <w:rsid w:val="00592198"/>
    <w:rsid w:val="0059320E"/>
    <w:rsid w:val="005953FB"/>
    <w:rsid w:val="00597B52"/>
    <w:rsid w:val="005A2E6F"/>
    <w:rsid w:val="005A3998"/>
    <w:rsid w:val="005A50E5"/>
    <w:rsid w:val="005B0482"/>
    <w:rsid w:val="005B6066"/>
    <w:rsid w:val="005B70F0"/>
    <w:rsid w:val="005C40D3"/>
    <w:rsid w:val="005D06E4"/>
    <w:rsid w:val="005E0F3C"/>
    <w:rsid w:val="005E4ABD"/>
    <w:rsid w:val="005E6172"/>
    <w:rsid w:val="005F1102"/>
    <w:rsid w:val="00613763"/>
    <w:rsid w:val="00620526"/>
    <w:rsid w:val="00621602"/>
    <w:rsid w:val="00623AF9"/>
    <w:rsid w:val="006251E6"/>
    <w:rsid w:val="00626208"/>
    <w:rsid w:val="00627439"/>
    <w:rsid w:val="006323C6"/>
    <w:rsid w:val="00634466"/>
    <w:rsid w:val="00636016"/>
    <w:rsid w:val="006366BA"/>
    <w:rsid w:val="00643CC5"/>
    <w:rsid w:val="0064402F"/>
    <w:rsid w:val="0065445B"/>
    <w:rsid w:val="00655674"/>
    <w:rsid w:val="00656020"/>
    <w:rsid w:val="00656A9A"/>
    <w:rsid w:val="00656F7D"/>
    <w:rsid w:val="006571CA"/>
    <w:rsid w:val="00657FEB"/>
    <w:rsid w:val="006633E2"/>
    <w:rsid w:val="00663BBB"/>
    <w:rsid w:val="00671269"/>
    <w:rsid w:val="00674DB5"/>
    <w:rsid w:val="00682BA0"/>
    <w:rsid w:val="0068495B"/>
    <w:rsid w:val="00687D46"/>
    <w:rsid w:val="00693295"/>
    <w:rsid w:val="00694B78"/>
    <w:rsid w:val="00694EAF"/>
    <w:rsid w:val="006960BB"/>
    <w:rsid w:val="006A28E5"/>
    <w:rsid w:val="006A2942"/>
    <w:rsid w:val="006A2A32"/>
    <w:rsid w:val="006A5995"/>
    <w:rsid w:val="006A5FFB"/>
    <w:rsid w:val="006A6752"/>
    <w:rsid w:val="006B5BCF"/>
    <w:rsid w:val="006B610A"/>
    <w:rsid w:val="006B70DE"/>
    <w:rsid w:val="006C0244"/>
    <w:rsid w:val="006C0E35"/>
    <w:rsid w:val="006D012E"/>
    <w:rsid w:val="006D2836"/>
    <w:rsid w:val="006E342B"/>
    <w:rsid w:val="006E36CF"/>
    <w:rsid w:val="006E3A23"/>
    <w:rsid w:val="006E76CA"/>
    <w:rsid w:val="006E79B8"/>
    <w:rsid w:val="006F09DA"/>
    <w:rsid w:val="006F29FB"/>
    <w:rsid w:val="00701599"/>
    <w:rsid w:val="00703419"/>
    <w:rsid w:val="00704906"/>
    <w:rsid w:val="00704B20"/>
    <w:rsid w:val="0070532D"/>
    <w:rsid w:val="007061AB"/>
    <w:rsid w:val="00706C0E"/>
    <w:rsid w:val="00707272"/>
    <w:rsid w:val="00711BD6"/>
    <w:rsid w:val="0071646D"/>
    <w:rsid w:val="00723885"/>
    <w:rsid w:val="007258CC"/>
    <w:rsid w:val="0072647A"/>
    <w:rsid w:val="00727017"/>
    <w:rsid w:val="007319A2"/>
    <w:rsid w:val="00733D12"/>
    <w:rsid w:val="00733E02"/>
    <w:rsid w:val="0073677A"/>
    <w:rsid w:val="007431B7"/>
    <w:rsid w:val="00746DEF"/>
    <w:rsid w:val="007474F3"/>
    <w:rsid w:val="0075085D"/>
    <w:rsid w:val="00751985"/>
    <w:rsid w:val="00752CA1"/>
    <w:rsid w:val="00753514"/>
    <w:rsid w:val="00754346"/>
    <w:rsid w:val="007622C7"/>
    <w:rsid w:val="00763D8D"/>
    <w:rsid w:val="00763F0B"/>
    <w:rsid w:val="00771DBA"/>
    <w:rsid w:val="00774689"/>
    <w:rsid w:val="00775421"/>
    <w:rsid w:val="00780354"/>
    <w:rsid w:val="00780EAF"/>
    <w:rsid w:val="00780F68"/>
    <w:rsid w:val="00783983"/>
    <w:rsid w:val="007854FB"/>
    <w:rsid w:val="00786B54"/>
    <w:rsid w:val="00795893"/>
    <w:rsid w:val="00796558"/>
    <w:rsid w:val="007A0D31"/>
    <w:rsid w:val="007A1C7C"/>
    <w:rsid w:val="007A2BCD"/>
    <w:rsid w:val="007A58C0"/>
    <w:rsid w:val="007A6474"/>
    <w:rsid w:val="007A7277"/>
    <w:rsid w:val="007B064B"/>
    <w:rsid w:val="007B2D33"/>
    <w:rsid w:val="007B72C4"/>
    <w:rsid w:val="007C023F"/>
    <w:rsid w:val="007C1423"/>
    <w:rsid w:val="007C2CA2"/>
    <w:rsid w:val="007C38FA"/>
    <w:rsid w:val="007C3BD4"/>
    <w:rsid w:val="007C3CB2"/>
    <w:rsid w:val="007C7E73"/>
    <w:rsid w:val="007D051F"/>
    <w:rsid w:val="007D0BBA"/>
    <w:rsid w:val="007D2550"/>
    <w:rsid w:val="007D3332"/>
    <w:rsid w:val="007D333C"/>
    <w:rsid w:val="007D6583"/>
    <w:rsid w:val="007D778F"/>
    <w:rsid w:val="007E0FFD"/>
    <w:rsid w:val="007E18FC"/>
    <w:rsid w:val="007E494F"/>
    <w:rsid w:val="007E5BBF"/>
    <w:rsid w:val="007E68BF"/>
    <w:rsid w:val="007F0B94"/>
    <w:rsid w:val="007F26DD"/>
    <w:rsid w:val="007F2884"/>
    <w:rsid w:val="007F2CFD"/>
    <w:rsid w:val="007F3CED"/>
    <w:rsid w:val="00801696"/>
    <w:rsid w:val="00803FFB"/>
    <w:rsid w:val="00805C6A"/>
    <w:rsid w:val="00807246"/>
    <w:rsid w:val="008126C8"/>
    <w:rsid w:val="00812AFF"/>
    <w:rsid w:val="00814803"/>
    <w:rsid w:val="00814C48"/>
    <w:rsid w:val="00822129"/>
    <w:rsid w:val="00832C5F"/>
    <w:rsid w:val="00833991"/>
    <w:rsid w:val="00834B6A"/>
    <w:rsid w:val="008369B8"/>
    <w:rsid w:val="00837E6A"/>
    <w:rsid w:val="0084288D"/>
    <w:rsid w:val="008429AF"/>
    <w:rsid w:val="008444BD"/>
    <w:rsid w:val="00846B79"/>
    <w:rsid w:val="00851B24"/>
    <w:rsid w:val="00851F54"/>
    <w:rsid w:val="00866AB0"/>
    <w:rsid w:val="00867F1E"/>
    <w:rsid w:val="00870D8D"/>
    <w:rsid w:val="008735D5"/>
    <w:rsid w:val="00873D83"/>
    <w:rsid w:val="008767B4"/>
    <w:rsid w:val="00877854"/>
    <w:rsid w:val="00882E11"/>
    <w:rsid w:val="00884635"/>
    <w:rsid w:val="00885EF1"/>
    <w:rsid w:val="00890F31"/>
    <w:rsid w:val="00894CB7"/>
    <w:rsid w:val="00896267"/>
    <w:rsid w:val="00896DBE"/>
    <w:rsid w:val="008A096F"/>
    <w:rsid w:val="008A3471"/>
    <w:rsid w:val="008A5EF0"/>
    <w:rsid w:val="008B035B"/>
    <w:rsid w:val="008B4790"/>
    <w:rsid w:val="008C134F"/>
    <w:rsid w:val="008C1413"/>
    <w:rsid w:val="008C33C4"/>
    <w:rsid w:val="008C3699"/>
    <w:rsid w:val="008D007F"/>
    <w:rsid w:val="008D5ECA"/>
    <w:rsid w:val="008D6C00"/>
    <w:rsid w:val="008D7D2E"/>
    <w:rsid w:val="008E077D"/>
    <w:rsid w:val="008E0FBB"/>
    <w:rsid w:val="008E70EF"/>
    <w:rsid w:val="008F0F4B"/>
    <w:rsid w:val="008F0F5E"/>
    <w:rsid w:val="008F2F92"/>
    <w:rsid w:val="008F689B"/>
    <w:rsid w:val="00901D0E"/>
    <w:rsid w:val="009034E6"/>
    <w:rsid w:val="00903C2E"/>
    <w:rsid w:val="0090678C"/>
    <w:rsid w:val="00907115"/>
    <w:rsid w:val="00910184"/>
    <w:rsid w:val="00910CE3"/>
    <w:rsid w:val="0091256C"/>
    <w:rsid w:val="00915956"/>
    <w:rsid w:val="00920E07"/>
    <w:rsid w:val="0092374D"/>
    <w:rsid w:val="00923BAA"/>
    <w:rsid w:val="00924970"/>
    <w:rsid w:val="009267F6"/>
    <w:rsid w:val="009317C0"/>
    <w:rsid w:val="009326BF"/>
    <w:rsid w:val="0093778C"/>
    <w:rsid w:val="0093787B"/>
    <w:rsid w:val="00937BC1"/>
    <w:rsid w:val="00942C8E"/>
    <w:rsid w:val="0095111A"/>
    <w:rsid w:val="00954F31"/>
    <w:rsid w:val="009607A3"/>
    <w:rsid w:val="00961330"/>
    <w:rsid w:val="00961BEE"/>
    <w:rsid w:val="00963095"/>
    <w:rsid w:val="00964F1C"/>
    <w:rsid w:val="00965869"/>
    <w:rsid w:val="009672A4"/>
    <w:rsid w:val="00973859"/>
    <w:rsid w:val="00974A70"/>
    <w:rsid w:val="00982B62"/>
    <w:rsid w:val="00983C33"/>
    <w:rsid w:val="00983EB5"/>
    <w:rsid w:val="009900E6"/>
    <w:rsid w:val="00990F17"/>
    <w:rsid w:val="009912B5"/>
    <w:rsid w:val="00991437"/>
    <w:rsid w:val="009914DC"/>
    <w:rsid w:val="00993E30"/>
    <w:rsid w:val="009A3DA3"/>
    <w:rsid w:val="009A3DE0"/>
    <w:rsid w:val="009B2564"/>
    <w:rsid w:val="009B4C1C"/>
    <w:rsid w:val="009C07AA"/>
    <w:rsid w:val="009C3ECB"/>
    <w:rsid w:val="009C5FAB"/>
    <w:rsid w:val="009C6BDC"/>
    <w:rsid w:val="009C6D8D"/>
    <w:rsid w:val="009D25F6"/>
    <w:rsid w:val="009D3B4B"/>
    <w:rsid w:val="009D4D5E"/>
    <w:rsid w:val="009E56D5"/>
    <w:rsid w:val="009E662A"/>
    <w:rsid w:val="009E7A09"/>
    <w:rsid w:val="009F0910"/>
    <w:rsid w:val="009F17BE"/>
    <w:rsid w:val="009F2679"/>
    <w:rsid w:val="009F41F3"/>
    <w:rsid w:val="00A000D9"/>
    <w:rsid w:val="00A00612"/>
    <w:rsid w:val="00A02D03"/>
    <w:rsid w:val="00A02E94"/>
    <w:rsid w:val="00A057DC"/>
    <w:rsid w:val="00A0725B"/>
    <w:rsid w:val="00A10153"/>
    <w:rsid w:val="00A11EC9"/>
    <w:rsid w:val="00A121FB"/>
    <w:rsid w:val="00A12F69"/>
    <w:rsid w:val="00A13BE9"/>
    <w:rsid w:val="00A17A74"/>
    <w:rsid w:val="00A22A04"/>
    <w:rsid w:val="00A23FCD"/>
    <w:rsid w:val="00A24BBF"/>
    <w:rsid w:val="00A24E49"/>
    <w:rsid w:val="00A25F38"/>
    <w:rsid w:val="00A27411"/>
    <w:rsid w:val="00A27C51"/>
    <w:rsid w:val="00A31048"/>
    <w:rsid w:val="00A33005"/>
    <w:rsid w:val="00A34C99"/>
    <w:rsid w:val="00A36910"/>
    <w:rsid w:val="00A370A6"/>
    <w:rsid w:val="00A375F1"/>
    <w:rsid w:val="00A41B24"/>
    <w:rsid w:val="00A43DC7"/>
    <w:rsid w:val="00A444BF"/>
    <w:rsid w:val="00A5152D"/>
    <w:rsid w:val="00A57205"/>
    <w:rsid w:val="00A57436"/>
    <w:rsid w:val="00A605F9"/>
    <w:rsid w:val="00A60E45"/>
    <w:rsid w:val="00A63BA5"/>
    <w:rsid w:val="00A66EE9"/>
    <w:rsid w:val="00A6714F"/>
    <w:rsid w:val="00A7047C"/>
    <w:rsid w:val="00A7287F"/>
    <w:rsid w:val="00A73844"/>
    <w:rsid w:val="00A76165"/>
    <w:rsid w:val="00A77E6F"/>
    <w:rsid w:val="00A80D20"/>
    <w:rsid w:val="00A83F2E"/>
    <w:rsid w:val="00A8504E"/>
    <w:rsid w:val="00A86EA4"/>
    <w:rsid w:val="00A91A3E"/>
    <w:rsid w:val="00A92139"/>
    <w:rsid w:val="00A95E98"/>
    <w:rsid w:val="00AA01D4"/>
    <w:rsid w:val="00AA2D96"/>
    <w:rsid w:val="00AB0EEC"/>
    <w:rsid w:val="00AB312A"/>
    <w:rsid w:val="00AB5B2F"/>
    <w:rsid w:val="00AB738C"/>
    <w:rsid w:val="00AC240E"/>
    <w:rsid w:val="00AC318C"/>
    <w:rsid w:val="00AC3F10"/>
    <w:rsid w:val="00AC42D0"/>
    <w:rsid w:val="00AC5A44"/>
    <w:rsid w:val="00AC66C5"/>
    <w:rsid w:val="00AC779A"/>
    <w:rsid w:val="00AD619D"/>
    <w:rsid w:val="00AD6AB3"/>
    <w:rsid w:val="00AD6DA0"/>
    <w:rsid w:val="00AD712B"/>
    <w:rsid w:val="00AE0A63"/>
    <w:rsid w:val="00AE1B7C"/>
    <w:rsid w:val="00AE1D02"/>
    <w:rsid w:val="00AE1EF8"/>
    <w:rsid w:val="00AE4EBF"/>
    <w:rsid w:val="00AF0B62"/>
    <w:rsid w:val="00B020FB"/>
    <w:rsid w:val="00B0556F"/>
    <w:rsid w:val="00B06A9C"/>
    <w:rsid w:val="00B07B88"/>
    <w:rsid w:val="00B10C1D"/>
    <w:rsid w:val="00B2516C"/>
    <w:rsid w:val="00B2587E"/>
    <w:rsid w:val="00B300AD"/>
    <w:rsid w:val="00B327D2"/>
    <w:rsid w:val="00B35B22"/>
    <w:rsid w:val="00B36265"/>
    <w:rsid w:val="00B45B74"/>
    <w:rsid w:val="00B53412"/>
    <w:rsid w:val="00B53751"/>
    <w:rsid w:val="00B54DC6"/>
    <w:rsid w:val="00B55B57"/>
    <w:rsid w:val="00B567D7"/>
    <w:rsid w:val="00B57693"/>
    <w:rsid w:val="00B61B4E"/>
    <w:rsid w:val="00B70DE9"/>
    <w:rsid w:val="00B74E74"/>
    <w:rsid w:val="00B873B5"/>
    <w:rsid w:val="00B93260"/>
    <w:rsid w:val="00B93F28"/>
    <w:rsid w:val="00B93F2F"/>
    <w:rsid w:val="00B972CB"/>
    <w:rsid w:val="00BA0FD9"/>
    <w:rsid w:val="00BA40D9"/>
    <w:rsid w:val="00BB0BA8"/>
    <w:rsid w:val="00BB37A8"/>
    <w:rsid w:val="00BB51EC"/>
    <w:rsid w:val="00BB6206"/>
    <w:rsid w:val="00BC66F9"/>
    <w:rsid w:val="00BC6820"/>
    <w:rsid w:val="00BC6C03"/>
    <w:rsid w:val="00BC6F02"/>
    <w:rsid w:val="00BC6F77"/>
    <w:rsid w:val="00BD1031"/>
    <w:rsid w:val="00BD455D"/>
    <w:rsid w:val="00BE2CD8"/>
    <w:rsid w:val="00BE2E79"/>
    <w:rsid w:val="00BE36D4"/>
    <w:rsid w:val="00BE4487"/>
    <w:rsid w:val="00BF212F"/>
    <w:rsid w:val="00BF373E"/>
    <w:rsid w:val="00BF43FA"/>
    <w:rsid w:val="00BF652B"/>
    <w:rsid w:val="00C045BB"/>
    <w:rsid w:val="00C06CB9"/>
    <w:rsid w:val="00C12472"/>
    <w:rsid w:val="00C127E3"/>
    <w:rsid w:val="00C12993"/>
    <w:rsid w:val="00C14194"/>
    <w:rsid w:val="00C1562E"/>
    <w:rsid w:val="00C15C47"/>
    <w:rsid w:val="00C20FD7"/>
    <w:rsid w:val="00C21C6A"/>
    <w:rsid w:val="00C226BA"/>
    <w:rsid w:val="00C25D38"/>
    <w:rsid w:val="00C3203F"/>
    <w:rsid w:val="00C322A8"/>
    <w:rsid w:val="00C342E1"/>
    <w:rsid w:val="00C377A0"/>
    <w:rsid w:val="00C40B0E"/>
    <w:rsid w:val="00C40CCE"/>
    <w:rsid w:val="00C41346"/>
    <w:rsid w:val="00C4210A"/>
    <w:rsid w:val="00C43BD6"/>
    <w:rsid w:val="00C45B16"/>
    <w:rsid w:val="00C45EBD"/>
    <w:rsid w:val="00C466DC"/>
    <w:rsid w:val="00C468DC"/>
    <w:rsid w:val="00C47B12"/>
    <w:rsid w:val="00C534CE"/>
    <w:rsid w:val="00C5415C"/>
    <w:rsid w:val="00C541D9"/>
    <w:rsid w:val="00C62615"/>
    <w:rsid w:val="00C6335B"/>
    <w:rsid w:val="00C63F3D"/>
    <w:rsid w:val="00C645D0"/>
    <w:rsid w:val="00C65119"/>
    <w:rsid w:val="00C67B4F"/>
    <w:rsid w:val="00C71AC0"/>
    <w:rsid w:val="00C72787"/>
    <w:rsid w:val="00C80468"/>
    <w:rsid w:val="00C82510"/>
    <w:rsid w:val="00C83288"/>
    <w:rsid w:val="00C83A49"/>
    <w:rsid w:val="00C846E1"/>
    <w:rsid w:val="00C90211"/>
    <w:rsid w:val="00C90783"/>
    <w:rsid w:val="00C95C0B"/>
    <w:rsid w:val="00CA0927"/>
    <w:rsid w:val="00CA0E05"/>
    <w:rsid w:val="00CA4623"/>
    <w:rsid w:val="00CA4B6A"/>
    <w:rsid w:val="00CA7A9C"/>
    <w:rsid w:val="00CB007D"/>
    <w:rsid w:val="00CB0544"/>
    <w:rsid w:val="00CB140F"/>
    <w:rsid w:val="00CC1977"/>
    <w:rsid w:val="00CC1F56"/>
    <w:rsid w:val="00CC2185"/>
    <w:rsid w:val="00CC28DD"/>
    <w:rsid w:val="00CC4601"/>
    <w:rsid w:val="00CC75A2"/>
    <w:rsid w:val="00CD2162"/>
    <w:rsid w:val="00CD49EF"/>
    <w:rsid w:val="00CE0348"/>
    <w:rsid w:val="00CE423E"/>
    <w:rsid w:val="00CE67AF"/>
    <w:rsid w:val="00D02747"/>
    <w:rsid w:val="00D029A4"/>
    <w:rsid w:val="00D03FFF"/>
    <w:rsid w:val="00D107B7"/>
    <w:rsid w:val="00D1120B"/>
    <w:rsid w:val="00D11B8A"/>
    <w:rsid w:val="00D14664"/>
    <w:rsid w:val="00D175D4"/>
    <w:rsid w:val="00D226A0"/>
    <w:rsid w:val="00D27175"/>
    <w:rsid w:val="00D304CE"/>
    <w:rsid w:val="00D3157C"/>
    <w:rsid w:val="00D32626"/>
    <w:rsid w:val="00D33D96"/>
    <w:rsid w:val="00D35671"/>
    <w:rsid w:val="00D364E5"/>
    <w:rsid w:val="00D37658"/>
    <w:rsid w:val="00D41184"/>
    <w:rsid w:val="00D42666"/>
    <w:rsid w:val="00D428E9"/>
    <w:rsid w:val="00D434B3"/>
    <w:rsid w:val="00D47CF4"/>
    <w:rsid w:val="00D5212F"/>
    <w:rsid w:val="00D52D57"/>
    <w:rsid w:val="00D52EB8"/>
    <w:rsid w:val="00D53012"/>
    <w:rsid w:val="00D543E3"/>
    <w:rsid w:val="00D557FA"/>
    <w:rsid w:val="00D56D8A"/>
    <w:rsid w:val="00D6208B"/>
    <w:rsid w:val="00D6323D"/>
    <w:rsid w:val="00D65736"/>
    <w:rsid w:val="00D67916"/>
    <w:rsid w:val="00D70277"/>
    <w:rsid w:val="00D7082A"/>
    <w:rsid w:val="00D76498"/>
    <w:rsid w:val="00D824D2"/>
    <w:rsid w:val="00D86780"/>
    <w:rsid w:val="00D86E4E"/>
    <w:rsid w:val="00D878B0"/>
    <w:rsid w:val="00D94156"/>
    <w:rsid w:val="00D94439"/>
    <w:rsid w:val="00DA15E3"/>
    <w:rsid w:val="00DB4813"/>
    <w:rsid w:val="00DB6228"/>
    <w:rsid w:val="00DC5F49"/>
    <w:rsid w:val="00DC77D8"/>
    <w:rsid w:val="00DC7BEC"/>
    <w:rsid w:val="00DE073C"/>
    <w:rsid w:val="00DE16E9"/>
    <w:rsid w:val="00DE4365"/>
    <w:rsid w:val="00DE4C6F"/>
    <w:rsid w:val="00E01B46"/>
    <w:rsid w:val="00E05F95"/>
    <w:rsid w:val="00E06324"/>
    <w:rsid w:val="00E109B2"/>
    <w:rsid w:val="00E11C47"/>
    <w:rsid w:val="00E1400B"/>
    <w:rsid w:val="00E17B51"/>
    <w:rsid w:val="00E2249A"/>
    <w:rsid w:val="00E2474A"/>
    <w:rsid w:val="00E271BE"/>
    <w:rsid w:val="00E30C20"/>
    <w:rsid w:val="00E30E91"/>
    <w:rsid w:val="00E30EBB"/>
    <w:rsid w:val="00E32B5E"/>
    <w:rsid w:val="00E33420"/>
    <w:rsid w:val="00E33D2F"/>
    <w:rsid w:val="00E35D4E"/>
    <w:rsid w:val="00E363D3"/>
    <w:rsid w:val="00E41E7A"/>
    <w:rsid w:val="00E4272F"/>
    <w:rsid w:val="00E42FD5"/>
    <w:rsid w:val="00E4395F"/>
    <w:rsid w:val="00E503CA"/>
    <w:rsid w:val="00E57717"/>
    <w:rsid w:val="00E6040B"/>
    <w:rsid w:val="00E610C7"/>
    <w:rsid w:val="00E66C39"/>
    <w:rsid w:val="00E67AC7"/>
    <w:rsid w:val="00E70CC7"/>
    <w:rsid w:val="00E727B4"/>
    <w:rsid w:val="00E758B8"/>
    <w:rsid w:val="00E773A0"/>
    <w:rsid w:val="00E77F0E"/>
    <w:rsid w:val="00E82285"/>
    <w:rsid w:val="00E85022"/>
    <w:rsid w:val="00E85235"/>
    <w:rsid w:val="00E91702"/>
    <w:rsid w:val="00E9493D"/>
    <w:rsid w:val="00EA48FC"/>
    <w:rsid w:val="00EA69C3"/>
    <w:rsid w:val="00EB0D59"/>
    <w:rsid w:val="00EB2203"/>
    <w:rsid w:val="00EB3CD1"/>
    <w:rsid w:val="00EB3FD4"/>
    <w:rsid w:val="00EB5501"/>
    <w:rsid w:val="00EB75FE"/>
    <w:rsid w:val="00EB7684"/>
    <w:rsid w:val="00EC031D"/>
    <w:rsid w:val="00EC2985"/>
    <w:rsid w:val="00EC33B7"/>
    <w:rsid w:val="00EC366B"/>
    <w:rsid w:val="00EC5738"/>
    <w:rsid w:val="00EC5BA4"/>
    <w:rsid w:val="00ED063F"/>
    <w:rsid w:val="00ED2A43"/>
    <w:rsid w:val="00ED7CDD"/>
    <w:rsid w:val="00ED7FF2"/>
    <w:rsid w:val="00EE7F07"/>
    <w:rsid w:val="00EF18F6"/>
    <w:rsid w:val="00EF6E58"/>
    <w:rsid w:val="00F00DC9"/>
    <w:rsid w:val="00F03A6F"/>
    <w:rsid w:val="00F078B5"/>
    <w:rsid w:val="00F12E05"/>
    <w:rsid w:val="00F15CE1"/>
    <w:rsid w:val="00F15F42"/>
    <w:rsid w:val="00F1642E"/>
    <w:rsid w:val="00F1677C"/>
    <w:rsid w:val="00F22E84"/>
    <w:rsid w:val="00F24F9C"/>
    <w:rsid w:val="00F30AB9"/>
    <w:rsid w:val="00F361CB"/>
    <w:rsid w:val="00F3751F"/>
    <w:rsid w:val="00F448F4"/>
    <w:rsid w:val="00F50FEA"/>
    <w:rsid w:val="00F51A53"/>
    <w:rsid w:val="00F52C04"/>
    <w:rsid w:val="00F53597"/>
    <w:rsid w:val="00F56C74"/>
    <w:rsid w:val="00F57207"/>
    <w:rsid w:val="00F5747F"/>
    <w:rsid w:val="00F606DB"/>
    <w:rsid w:val="00F63A66"/>
    <w:rsid w:val="00F644D9"/>
    <w:rsid w:val="00F656A9"/>
    <w:rsid w:val="00F66DF8"/>
    <w:rsid w:val="00F67ECF"/>
    <w:rsid w:val="00F70120"/>
    <w:rsid w:val="00F72138"/>
    <w:rsid w:val="00F73E58"/>
    <w:rsid w:val="00F74539"/>
    <w:rsid w:val="00F8365B"/>
    <w:rsid w:val="00F842CC"/>
    <w:rsid w:val="00F8543D"/>
    <w:rsid w:val="00F86C2F"/>
    <w:rsid w:val="00F9086D"/>
    <w:rsid w:val="00F908C4"/>
    <w:rsid w:val="00F94389"/>
    <w:rsid w:val="00F9496E"/>
    <w:rsid w:val="00F96741"/>
    <w:rsid w:val="00FA211A"/>
    <w:rsid w:val="00FA215F"/>
    <w:rsid w:val="00FA390E"/>
    <w:rsid w:val="00FA3A5D"/>
    <w:rsid w:val="00FA5054"/>
    <w:rsid w:val="00FA6FA2"/>
    <w:rsid w:val="00FB1764"/>
    <w:rsid w:val="00FB5172"/>
    <w:rsid w:val="00FB698D"/>
    <w:rsid w:val="00FC0283"/>
    <w:rsid w:val="00FC076E"/>
    <w:rsid w:val="00FC11EF"/>
    <w:rsid w:val="00FC24B4"/>
    <w:rsid w:val="00FC2B68"/>
    <w:rsid w:val="00FC49E1"/>
    <w:rsid w:val="00FD1537"/>
    <w:rsid w:val="00FD7AFE"/>
    <w:rsid w:val="00FE0ABD"/>
    <w:rsid w:val="00FE12EB"/>
    <w:rsid w:val="00FE1A58"/>
    <w:rsid w:val="00FE2D4E"/>
    <w:rsid w:val="00FE3AFA"/>
    <w:rsid w:val="00FE6D8D"/>
    <w:rsid w:val="00FE7715"/>
    <w:rsid w:val="00FF362B"/>
    <w:rsid w:val="01483505"/>
    <w:rsid w:val="01562C75"/>
    <w:rsid w:val="016025FC"/>
    <w:rsid w:val="01AA3877"/>
    <w:rsid w:val="01CC7C92"/>
    <w:rsid w:val="01DD1E9F"/>
    <w:rsid w:val="02587777"/>
    <w:rsid w:val="03327FC8"/>
    <w:rsid w:val="0335629C"/>
    <w:rsid w:val="036A574B"/>
    <w:rsid w:val="03757E97"/>
    <w:rsid w:val="039B5B6E"/>
    <w:rsid w:val="0415532F"/>
    <w:rsid w:val="044700BE"/>
    <w:rsid w:val="04706FFA"/>
    <w:rsid w:val="04E15802"/>
    <w:rsid w:val="04E47868"/>
    <w:rsid w:val="05243941"/>
    <w:rsid w:val="053142BB"/>
    <w:rsid w:val="053242B0"/>
    <w:rsid w:val="05793C8D"/>
    <w:rsid w:val="059C797B"/>
    <w:rsid w:val="05AD0CE9"/>
    <w:rsid w:val="05BE1FE7"/>
    <w:rsid w:val="05CF5FA2"/>
    <w:rsid w:val="05E76E48"/>
    <w:rsid w:val="069D7E4F"/>
    <w:rsid w:val="06D05B2E"/>
    <w:rsid w:val="07780026"/>
    <w:rsid w:val="07801652"/>
    <w:rsid w:val="07A174CB"/>
    <w:rsid w:val="081D2FF5"/>
    <w:rsid w:val="08250E89"/>
    <w:rsid w:val="084B7744"/>
    <w:rsid w:val="08E458C1"/>
    <w:rsid w:val="09630EDC"/>
    <w:rsid w:val="09730682"/>
    <w:rsid w:val="09CE3AAA"/>
    <w:rsid w:val="0A2E095D"/>
    <w:rsid w:val="0A387E1D"/>
    <w:rsid w:val="0A670558"/>
    <w:rsid w:val="0AA55524"/>
    <w:rsid w:val="0AD846EB"/>
    <w:rsid w:val="0ADA657C"/>
    <w:rsid w:val="0B5C1160"/>
    <w:rsid w:val="0B98693F"/>
    <w:rsid w:val="0BE83427"/>
    <w:rsid w:val="0C1A784C"/>
    <w:rsid w:val="0C6C00A7"/>
    <w:rsid w:val="0C7F0FC8"/>
    <w:rsid w:val="0CAA6E21"/>
    <w:rsid w:val="0D0512FE"/>
    <w:rsid w:val="0D5154EF"/>
    <w:rsid w:val="0D692839"/>
    <w:rsid w:val="0DAB10A3"/>
    <w:rsid w:val="0DB93D54"/>
    <w:rsid w:val="0DC161D1"/>
    <w:rsid w:val="0E056A05"/>
    <w:rsid w:val="0E165445"/>
    <w:rsid w:val="0E216503"/>
    <w:rsid w:val="0E582C0E"/>
    <w:rsid w:val="0E8611C8"/>
    <w:rsid w:val="0E8F61C0"/>
    <w:rsid w:val="0EA21BDD"/>
    <w:rsid w:val="0EC248F6"/>
    <w:rsid w:val="0F2566CF"/>
    <w:rsid w:val="0F6F2DD3"/>
    <w:rsid w:val="0F8120BC"/>
    <w:rsid w:val="0F8F1193"/>
    <w:rsid w:val="0FA233AC"/>
    <w:rsid w:val="0FE4089C"/>
    <w:rsid w:val="101E5851"/>
    <w:rsid w:val="102B523A"/>
    <w:rsid w:val="106A0DA2"/>
    <w:rsid w:val="10843A6C"/>
    <w:rsid w:val="10C85AC8"/>
    <w:rsid w:val="10CD1330"/>
    <w:rsid w:val="10DF0E3F"/>
    <w:rsid w:val="11263F89"/>
    <w:rsid w:val="116E48C1"/>
    <w:rsid w:val="1193510B"/>
    <w:rsid w:val="119A7465"/>
    <w:rsid w:val="12696F23"/>
    <w:rsid w:val="128D6FC9"/>
    <w:rsid w:val="12AD31C8"/>
    <w:rsid w:val="12E92064"/>
    <w:rsid w:val="13825809"/>
    <w:rsid w:val="138B11F3"/>
    <w:rsid w:val="146B50E8"/>
    <w:rsid w:val="1513634C"/>
    <w:rsid w:val="159A4C5C"/>
    <w:rsid w:val="15B10F1E"/>
    <w:rsid w:val="15C03212"/>
    <w:rsid w:val="15CF3FDF"/>
    <w:rsid w:val="163C4F8E"/>
    <w:rsid w:val="16B06D36"/>
    <w:rsid w:val="16BF171B"/>
    <w:rsid w:val="16FF0653"/>
    <w:rsid w:val="17577BA6"/>
    <w:rsid w:val="17EB2DCD"/>
    <w:rsid w:val="180C273E"/>
    <w:rsid w:val="183121A5"/>
    <w:rsid w:val="1890336F"/>
    <w:rsid w:val="18934C0E"/>
    <w:rsid w:val="19067AD5"/>
    <w:rsid w:val="19094ED0"/>
    <w:rsid w:val="191044B0"/>
    <w:rsid w:val="196A44ED"/>
    <w:rsid w:val="19C35321"/>
    <w:rsid w:val="19F422B4"/>
    <w:rsid w:val="19F636A6"/>
    <w:rsid w:val="1A1C2335"/>
    <w:rsid w:val="1A534654"/>
    <w:rsid w:val="1A604FC3"/>
    <w:rsid w:val="1A606D71"/>
    <w:rsid w:val="1A766595"/>
    <w:rsid w:val="1A7A42D7"/>
    <w:rsid w:val="1AAE01C2"/>
    <w:rsid w:val="1B2D40CD"/>
    <w:rsid w:val="1B6464C0"/>
    <w:rsid w:val="1C163B8C"/>
    <w:rsid w:val="1C872CDB"/>
    <w:rsid w:val="1C9153BD"/>
    <w:rsid w:val="1C965EB7"/>
    <w:rsid w:val="1CF163A7"/>
    <w:rsid w:val="1D43137A"/>
    <w:rsid w:val="1DA33B45"/>
    <w:rsid w:val="1DB93368"/>
    <w:rsid w:val="1DC92DDB"/>
    <w:rsid w:val="1DDE2DCF"/>
    <w:rsid w:val="1E000596"/>
    <w:rsid w:val="1E0B5246"/>
    <w:rsid w:val="1E0B76C7"/>
    <w:rsid w:val="1E222CBC"/>
    <w:rsid w:val="1E4A23BC"/>
    <w:rsid w:val="1E51534F"/>
    <w:rsid w:val="1E6A4663"/>
    <w:rsid w:val="1E7B061E"/>
    <w:rsid w:val="1F5E5F75"/>
    <w:rsid w:val="1FC55FF4"/>
    <w:rsid w:val="1FD004F5"/>
    <w:rsid w:val="1FE87F35"/>
    <w:rsid w:val="205D622D"/>
    <w:rsid w:val="208714FC"/>
    <w:rsid w:val="20C73087"/>
    <w:rsid w:val="210F0963"/>
    <w:rsid w:val="211A2370"/>
    <w:rsid w:val="21584554"/>
    <w:rsid w:val="216E7B59"/>
    <w:rsid w:val="21A659B2"/>
    <w:rsid w:val="21D56297"/>
    <w:rsid w:val="22631AF5"/>
    <w:rsid w:val="22682C67"/>
    <w:rsid w:val="228F28EA"/>
    <w:rsid w:val="2297354C"/>
    <w:rsid w:val="231D1CA3"/>
    <w:rsid w:val="239C0AC9"/>
    <w:rsid w:val="23B5012E"/>
    <w:rsid w:val="23EB7FF4"/>
    <w:rsid w:val="23F21382"/>
    <w:rsid w:val="240A19EC"/>
    <w:rsid w:val="240D1D18"/>
    <w:rsid w:val="24262DDA"/>
    <w:rsid w:val="24961D0D"/>
    <w:rsid w:val="24C10BC5"/>
    <w:rsid w:val="24C839DC"/>
    <w:rsid w:val="252A06A8"/>
    <w:rsid w:val="257F1390"/>
    <w:rsid w:val="25BE6FE6"/>
    <w:rsid w:val="25ED1E01"/>
    <w:rsid w:val="25F52A64"/>
    <w:rsid w:val="25FB6727"/>
    <w:rsid w:val="26267F98"/>
    <w:rsid w:val="263E318C"/>
    <w:rsid w:val="26B40111"/>
    <w:rsid w:val="26F62F37"/>
    <w:rsid w:val="27174C5C"/>
    <w:rsid w:val="273245C8"/>
    <w:rsid w:val="27377E1D"/>
    <w:rsid w:val="274041B2"/>
    <w:rsid w:val="279C4550"/>
    <w:rsid w:val="27D0617A"/>
    <w:rsid w:val="28326196"/>
    <w:rsid w:val="28550131"/>
    <w:rsid w:val="287A1946"/>
    <w:rsid w:val="28A51D7B"/>
    <w:rsid w:val="292B0FEE"/>
    <w:rsid w:val="292E4C0A"/>
    <w:rsid w:val="29485B73"/>
    <w:rsid w:val="29C4731D"/>
    <w:rsid w:val="2A1132FB"/>
    <w:rsid w:val="2A187669"/>
    <w:rsid w:val="2A2102CB"/>
    <w:rsid w:val="2AE17A5A"/>
    <w:rsid w:val="2B0100FD"/>
    <w:rsid w:val="2B147E30"/>
    <w:rsid w:val="2B5216A4"/>
    <w:rsid w:val="2B7910D2"/>
    <w:rsid w:val="2B7E174D"/>
    <w:rsid w:val="2BAE4370"/>
    <w:rsid w:val="2BF85A2B"/>
    <w:rsid w:val="2BFF463C"/>
    <w:rsid w:val="2C3D33B6"/>
    <w:rsid w:val="2C4402A1"/>
    <w:rsid w:val="2C536736"/>
    <w:rsid w:val="2C870BE6"/>
    <w:rsid w:val="2CCF6918"/>
    <w:rsid w:val="2CE657FC"/>
    <w:rsid w:val="2CF021D7"/>
    <w:rsid w:val="2DC2524D"/>
    <w:rsid w:val="2DC62A23"/>
    <w:rsid w:val="2DD24D42"/>
    <w:rsid w:val="2E154DC4"/>
    <w:rsid w:val="2E163DF8"/>
    <w:rsid w:val="2E6A6D7F"/>
    <w:rsid w:val="2ECA0C2A"/>
    <w:rsid w:val="2FD9510C"/>
    <w:rsid w:val="3014746B"/>
    <w:rsid w:val="30640F12"/>
    <w:rsid w:val="30E91417"/>
    <w:rsid w:val="30FC196D"/>
    <w:rsid w:val="316311C9"/>
    <w:rsid w:val="317E1016"/>
    <w:rsid w:val="31EB11BF"/>
    <w:rsid w:val="323E6406"/>
    <w:rsid w:val="327C2595"/>
    <w:rsid w:val="32BD2B5B"/>
    <w:rsid w:val="32EF7D87"/>
    <w:rsid w:val="33010C9A"/>
    <w:rsid w:val="339A2E9C"/>
    <w:rsid w:val="33A000F5"/>
    <w:rsid w:val="33A14B7F"/>
    <w:rsid w:val="33B65F28"/>
    <w:rsid w:val="33B850E7"/>
    <w:rsid w:val="33D43BBE"/>
    <w:rsid w:val="33E83DA6"/>
    <w:rsid w:val="34056568"/>
    <w:rsid w:val="3406276A"/>
    <w:rsid w:val="34170724"/>
    <w:rsid w:val="344A2458"/>
    <w:rsid w:val="347B2CCE"/>
    <w:rsid w:val="34930017"/>
    <w:rsid w:val="34E25909"/>
    <w:rsid w:val="34F308B0"/>
    <w:rsid w:val="35156C7E"/>
    <w:rsid w:val="35847960"/>
    <w:rsid w:val="359C73A0"/>
    <w:rsid w:val="35A818A1"/>
    <w:rsid w:val="35C67F79"/>
    <w:rsid w:val="35E129A9"/>
    <w:rsid w:val="360832AE"/>
    <w:rsid w:val="360F36CE"/>
    <w:rsid w:val="36472A7C"/>
    <w:rsid w:val="36BA5D2F"/>
    <w:rsid w:val="36D97248"/>
    <w:rsid w:val="36EE3C2B"/>
    <w:rsid w:val="37012B98"/>
    <w:rsid w:val="370A20E7"/>
    <w:rsid w:val="377834F5"/>
    <w:rsid w:val="37B02C8E"/>
    <w:rsid w:val="37F9CEBC"/>
    <w:rsid w:val="382D2E86"/>
    <w:rsid w:val="39331DC9"/>
    <w:rsid w:val="396E2C48"/>
    <w:rsid w:val="39E43054"/>
    <w:rsid w:val="3A21709C"/>
    <w:rsid w:val="3A2B06B8"/>
    <w:rsid w:val="3A811D9E"/>
    <w:rsid w:val="3AAE4DA9"/>
    <w:rsid w:val="3BF770DE"/>
    <w:rsid w:val="3C1C0EB1"/>
    <w:rsid w:val="3C5A2A57"/>
    <w:rsid w:val="3CF11D7F"/>
    <w:rsid w:val="3D09356D"/>
    <w:rsid w:val="3DC213DF"/>
    <w:rsid w:val="3DF543DA"/>
    <w:rsid w:val="3E135D25"/>
    <w:rsid w:val="3E5661DC"/>
    <w:rsid w:val="3EB43064"/>
    <w:rsid w:val="3F2006FA"/>
    <w:rsid w:val="3FAA4467"/>
    <w:rsid w:val="3FE200A5"/>
    <w:rsid w:val="40582115"/>
    <w:rsid w:val="40700EAE"/>
    <w:rsid w:val="41AF045B"/>
    <w:rsid w:val="41B25855"/>
    <w:rsid w:val="41BB295C"/>
    <w:rsid w:val="41D57EC1"/>
    <w:rsid w:val="41DD50E7"/>
    <w:rsid w:val="42240501"/>
    <w:rsid w:val="42604D39"/>
    <w:rsid w:val="427B20EB"/>
    <w:rsid w:val="42B06238"/>
    <w:rsid w:val="42CE66BF"/>
    <w:rsid w:val="432D1637"/>
    <w:rsid w:val="43A318F9"/>
    <w:rsid w:val="43BB6C43"/>
    <w:rsid w:val="441E2437"/>
    <w:rsid w:val="444C1F91"/>
    <w:rsid w:val="44B7553B"/>
    <w:rsid w:val="44BD3991"/>
    <w:rsid w:val="44C1472D"/>
    <w:rsid w:val="45187DF5"/>
    <w:rsid w:val="45232CF2"/>
    <w:rsid w:val="4527538D"/>
    <w:rsid w:val="45350C77"/>
    <w:rsid w:val="45BD3146"/>
    <w:rsid w:val="46207657"/>
    <w:rsid w:val="463B1C84"/>
    <w:rsid w:val="465515D1"/>
    <w:rsid w:val="47152B0E"/>
    <w:rsid w:val="471636A5"/>
    <w:rsid w:val="4746716B"/>
    <w:rsid w:val="47777520"/>
    <w:rsid w:val="47833F1C"/>
    <w:rsid w:val="47A66060"/>
    <w:rsid w:val="47AC3472"/>
    <w:rsid w:val="47CA1B4A"/>
    <w:rsid w:val="47F941DE"/>
    <w:rsid w:val="481E1E96"/>
    <w:rsid w:val="48D04F3E"/>
    <w:rsid w:val="49105C83"/>
    <w:rsid w:val="49A60395"/>
    <w:rsid w:val="49A95790"/>
    <w:rsid w:val="4A0A52C4"/>
    <w:rsid w:val="4A162E25"/>
    <w:rsid w:val="4A1B043B"/>
    <w:rsid w:val="4A2258B9"/>
    <w:rsid w:val="4A297457"/>
    <w:rsid w:val="4A4473E5"/>
    <w:rsid w:val="4BE156B5"/>
    <w:rsid w:val="4C1E06B7"/>
    <w:rsid w:val="4C2C2DD4"/>
    <w:rsid w:val="4C312198"/>
    <w:rsid w:val="4CFB4554"/>
    <w:rsid w:val="4D344A7D"/>
    <w:rsid w:val="4D8277CA"/>
    <w:rsid w:val="4DE90850"/>
    <w:rsid w:val="4DF0398D"/>
    <w:rsid w:val="4DF9A0BE"/>
    <w:rsid w:val="4E6F0D56"/>
    <w:rsid w:val="4E7C41EA"/>
    <w:rsid w:val="4E955004"/>
    <w:rsid w:val="4EAC01FC"/>
    <w:rsid w:val="4EE47996"/>
    <w:rsid w:val="4EFF657E"/>
    <w:rsid w:val="4F714FA1"/>
    <w:rsid w:val="50004A96"/>
    <w:rsid w:val="500E459E"/>
    <w:rsid w:val="505A569A"/>
    <w:rsid w:val="505B3C87"/>
    <w:rsid w:val="50D61560"/>
    <w:rsid w:val="50FF2147"/>
    <w:rsid w:val="51DA126D"/>
    <w:rsid w:val="51E43809"/>
    <w:rsid w:val="52A20CDF"/>
    <w:rsid w:val="52FC321E"/>
    <w:rsid w:val="530F33D5"/>
    <w:rsid w:val="53130849"/>
    <w:rsid w:val="53364665"/>
    <w:rsid w:val="536F7A4A"/>
    <w:rsid w:val="53715570"/>
    <w:rsid w:val="538C23AA"/>
    <w:rsid w:val="53D26161"/>
    <w:rsid w:val="53DA5A83"/>
    <w:rsid w:val="53F35F85"/>
    <w:rsid w:val="54E3492E"/>
    <w:rsid w:val="556A671B"/>
    <w:rsid w:val="55AD05A3"/>
    <w:rsid w:val="55C909B3"/>
    <w:rsid w:val="55DB20F6"/>
    <w:rsid w:val="55FB55C5"/>
    <w:rsid w:val="560973B6"/>
    <w:rsid w:val="5619797C"/>
    <w:rsid w:val="56270168"/>
    <w:rsid w:val="5663302B"/>
    <w:rsid w:val="56835CE6"/>
    <w:rsid w:val="568C1C4C"/>
    <w:rsid w:val="56ED7603"/>
    <w:rsid w:val="56FA762A"/>
    <w:rsid w:val="57281234"/>
    <w:rsid w:val="57C049B1"/>
    <w:rsid w:val="57C235CC"/>
    <w:rsid w:val="57E073CC"/>
    <w:rsid w:val="58597148"/>
    <w:rsid w:val="58800458"/>
    <w:rsid w:val="588E6443"/>
    <w:rsid w:val="58EA00BE"/>
    <w:rsid w:val="58F670FB"/>
    <w:rsid w:val="59271254"/>
    <w:rsid w:val="59B937CD"/>
    <w:rsid w:val="5A8042EB"/>
    <w:rsid w:val="5BA7B33B"/>
    <w:rsid w:val="5BB57D8D"/>
    <w:rsid w:val="5BE82147"/>
    <w:rsid w:val="5C0F1DCA"/>
    <w:rsid w:val="5C386B5C"/>
    <w:rsid w:val="5C6043D4"/>
    <w:rsid w:val="5C6C6ABA"/>
    <w:rsid w:val="5C7560D1"/>
    <w:rsid w:val="5D170F36"/>
    <w:rsid w:val="5D196F6B"/>
    <w:rsid w:val="5D4E0DD5"/>
    <w:rsid w:val="5D704748"/>
    <w:rsid w:val="5D8977E8"/>
    <w:rsid w:val="5DC271B2"/>
    <w:rsid w:val="5DF1209A"/>
    <w:rsid w:val="5DF503DE"/>
    <w:rsid w:val="5EAC56AE"/>
    <w:rsid w:val="5ED54C05"/>
    <w:rsid w:val="5F3E6C4E"/>
    <w:rsid w:val="5F5F6BC4"/>
    <w:rsid w:val="5F93445D"/>
    <w:rsid w:val="5FFA669F"/>
    <w:rsid w:val="6039546A"/>
    <w:rsid w:val="608F5287"/>
    <w:rsid w:val="610C4B2A"/>
    <w:rsid w:val="611508E0"/>
    <w:rsid w:val="61161505"/>
    <w:rsid w:val="612D4731"/>
    <w:rsid w:val="6162587E"/>
    <w:rsid w:val="6174271D"/>
    <w:rsid w:val="61B256D1"/>
    <w:rsid w:val="61DE0274"/>
    <w:rsid w:val="61DE64C6"/>
    <w:rsid w:val="61E541B0"/>
    <w:rsid w:val="61FA5617"/>
    <w:rsid w:val="621041A6"/>
    <w:rsid w:val="6261136A"/>
    <w:rsid w:val="62FB1290"/>
    <w:rsid w:val="638A25E9"/>
    <w:rsid w:val="63B55005"/>
    <w:rsid w:val="63F7561D"/>
    <w:rsid w:val="640A35A3"/>
    <w:rsid w:val="64412D3D"/>
    <w:rsid w:val="644C1F76"/>
    <w:rsid w:val="644F38EF"/>
    <w:rsid w:val="6454016C"/>
    <w:rsid w:val="647D490B"/>
    <w:rsid w:val="648F3B4C"/>
    <w:rsid w:val="65257F68"/>
    <w:rsid w:val="65366B7F"/>
    <w:rsid w:val="65670581"/>
    <w:rsid w:val="656942F9"/>
    <w:rsid w:val="65864EAB"/>
    <w:rsid w:val="65E72ED2"/>
    <w:rsid w:val="65EE47FE"/>
    <w:rsid w:val="65F02088"/>
    <w:rsid w:val="6632293D"/>
    <w:rsid w:val="6671439C"/>
    <w:rsid w:val="668877D1"/>
    <w:rsid w:val="6692162D"/>
    <w:rsid w:val="669254FE"/>
    <w:rsid w:val="66B07D06"/>
    <w:rsid w:val="66B81CBE"/>
    <w:rsid w:val="66DE35CC"/>
    <w:rsid w:val="672422F9"/>
    <w:rsid w:val="672E57FA"/>
    <w:rsid w:val="6751DDA7"/>
    <w:rsid w:val="68721717"/>
    <w:rsid w:val="68B452B3"/>
    <w:rsid w:val="68F3054B"/>
    <w:rsid w:val="694766FF"/>
    <w:rsid w:val="69855479"/>
    <w:rsid w:val="6A010FA4"/>
    <w:rsid w:val="6A841BD5"/>
    <w:rsid w:val="6AB04778"/>
    <w:rsid w:val="6AC83870"/>
    <w:rsid w:val="6ADC65C6"/>
    <w:rsid w:val="6B0D5727"/>
    <w:rsid w:val="6B2018FE"/>
    <w:rsid w:val="6B2A499F"/>
    <w:rsid w:val="6B560E7C"/>
    <w:rsid w:val="6B911237"/>
    <w:rsid w:val="6B947BF6"/>
    <w:rsid w:val="6B9A16B0"/>
    <w:rsid w:val="6BEF307E"/>
    <w:rsid w:val="6C007039"/>
    <w:rsid w:val="6C8A5A80"/>
    <w:rsid w:val="6CA337E1"/>
    <w:rsid w:val="6D65184A"/>
    <w:rsid w:val="6D9E4D5C"/>
    <w:rsid w:val="6DD16EDF"/>
    <w:rsid w:val="6DD62AF8"/>
    <w:rsid w:val="6DF130DE"/>
    <w:rsid w:val="6E282CAB"/>
    <w:rsid w:val="6E763D92"/>
    <w:rsid w:val="6EBE157C"/>
    <w:rsid w:val="6EC25149"/>
    <w:rsid w:val="6FC767EC"/>
    <w:rsid w:val="6FE733CE"/>
    <w:rsid w:val="700B0E1C"/>
    <w:rsid w:val="7080774D"/>
    <w:rsid w:val="70D54F38"/>
    <w:rsid w:val="713D663A"/>
    <w:rsid w:val="71724535"/>
    <w:rsid w:val="72001D2A"/>
    <w:rsid w:val="724C7C4B"/>
    <w:rsid w:val="725D6F93"/>
    <w:rsid w:val="72C214EC"/>
    <w:rsid w:val="72FF629D"/>
    <w:rsid w:val="731A6C33"/>
    <w:rsid w:val="737E18B7"/>
    <w:rsid w:val="73AE03DF"/>
    <w:rsid w:val="73B40E35"/>
    <w:rsid w:val="73C03C7E"/>
    <w:rsid w:val="73CC8BE2"/>
    <w:rsid w:val="7434641A"/>
    <w:rsid w:val="74650381"/>
    <w:rsid w:val="749710DC"/>
    <w:rsid w:val="74E7523A"/>
    <w:rsid w:val="75256265"/>
    <w:rsid w:val="75347015"/>
    <w:rsid w:val="75577A04"/>
    <w:rsid w:val="75679AAF"/>
    <w:rsid w:val="757A1C0A"/>
    <w:rsid w:val="758B3E18"/>
    <w:rsid w:val="759233F8"/>
    <w:rsid w:val="75F57246"/>
    <w:rsid w:val="764D1285"/>
    <w:rsid w:val="76610B37"/>
    <w:rsid w:val="76A03415"/>
    <w:rsid w:val="76CE66B2"/>
    <w:rsid w:val="76D67314"/>
    <w:rsid w:val="76EF5277"/>
    <w:rsid w:val="770110A1"/>
    <w:rsid w:val="77416E84"/>
    <w:rsid w:val="77A0580F"/>
    <w:rsid w:val="77E837A3"/>
    <w:rsid w:val="77F3781A"/>
    <w:rsid w:val="78050134"/>
    <w:rsid w:val="782567A5"/>
    <w:rsid w:val="78410BAE"/>
    <w:rsid w:val="7851759A"/>
    <w:rsid w:val="78C37D6C"/>
    <w:rsid w:val="78CC4E73"/>
    <w:rsid w:val="78F46178"/>
    <w:rsid w:val="795D3D1D"/>
    <w:rsid w:val="79986B03"/>
    <w:rsid w:val="799C2A97"/>
    <w:rsid w:val="79A67FBF"/>
    <w:rsid w:val="79CD2C51"/>
    <w:rsid w:val="7A7E219D"/>
    <w:rsid w:val="7AAD2A82"/>
    <w:rsid w:val="7B462A30"/>
    <w:rsid w:val="7BA704BB"/>
    <w:rsid w:val="7BBB4D2B"/>
    <w:rsid w:val="7BED2B12"/>
    <w:rsid w:val="7C330D65"/>
    <w:rsid w:val="7C402DF3"/>
    <w:rsid w:val="7C7E0232"/>
    <w:rsid w:val="7C8141C6"/>
    <w:rsid w:val="7C883F5E"/>
    <w:rsid w:val="7D731E8E"/>
    <w:rsid w:val="7D944B7B"/>
    <w:rsid w:val="7DA65A5D"/>
    <w:rsid w:val="7DD87E16"/>
    <w:rsid w:val="7DF6754C"/>
    <w:rsid w:val="7DFD97AF"/>
    <w:rsid w:val="7E1F77F3"/>
    <w:rsid w:val="7E926217"/>
    <w:rsid w:val="7ECD724F"/>
    <w:rsid w:val="7EE03426"/>
    <w:rsid w:val="7F032D2D"/>
    <w:rsid w:val="7F08472B"/>
    <w:rsid w:val="7F511C2E"/>
    <w:rsid w:val="7F970422"/>
    <w:rsid w:val="7FBB354B"/>
    <w:rsid w:val="7FE64A6C"/>
    <w:rsid w:val="7FF32CE5"/>
    <w:rsid w:val="B5DBA6EF"/>
    <w:rsid w:val="B9FB2F1B"/>
    <w:rsid w:val="DBF7F817"/>
    <w:rsid w:val="DF7745DD"/>
    <w:rsid w:val="F44A1E25"/>
    <w:rsid w:val="F7E78E8A"/>
    <w:rsid w:val="F7FF1F1E"/>
    <w:rsid w:val="FAFF26C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nhideWhenUsed="0" w:uiPriority="9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仿宋" w:hAnsi="Times New Roman" w:eastAsia="仿宋" w:cs="Times New Roman"/>
      <w:kern w:val="30"/>
      <w:sz w:val="30"/>
      <w:szCs w:val="21"/>
      <w:lang w:val="en-US" w:eastAsia="zh-CN" w:bidi="ar-SA"/>
    </w:rPr>
  </w:style>
  <w:style w:type="paragraph" w:styleId="2">
    <w:name w:val="heading 1"/>
    <w:basedOn w:val="1"/>
    <w:next w:val="1"/>
    <w:link w:val="27"/>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8"/>
    <w:autoRedefine/>
    <w:qFormat/>
    <w:uiPriority w:val="99"/>
    <w:pPr>
      <w:keepNext/>
      <w:keepLines/>
      <w:spacing w:before="260" w:after="260" w:line="416" w:lineRule="auto"/>
      <w:outlineLvl w:val="1"/>
    </w:pPr>
    <w:rPr>
      <w:rFonts w:ascii="Cambria" w:hAnsi="Cambria"/>
      <w:b/>
      <w:bCs/>
      <w:kern w:val="0"/>
      <w:sz w:val="32"/>
      <w:szCs w:val="32"/>
    </w:rPr>
  </w:style>
  <w:style w:type="paragraph" w:styleId="4">
    <w:name w:val="heading 3"/>
    <w:basedOn w:val="1"/>
    <w:next w:val="1"/>
    <w:link w:val="29"/>
    <w:autoRedefine/>
    <w:qFormat/>
    <w:uiPriority w:val="99"/>
    <w:pPr>
      <w:keepNext/>
      <w:keepLines/>
      <w:spacing w:before="260" w:after="260" w:line="416" w:lineRule="auto"/>
      <w:outlineLvl w:val="2"/>
    </w:pPr>
    <w:rPr>
      <w:b/>
      <w:bCs/>
      <w:kern w:val="0"/>
      <w:sz w:val="32"/>
      <w:szCs w:val="32"/>
    </w:rPr>
  </w:style>
  <w:style w:type="paragraph" w:styleId="5">
    <w:name w:val="heading 4"/>
    <w:basedOn w:val="1"/>
    <w:next w:val="1"/>
    <w:autoRedefine/>
    <w:unhideWhenUsed/>
    <w:qFormat/>
    <w:uiPriority w:val="9"/>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0">
    <w:name w:val="Default Paragraph Font"/>
    <w:autoRedefine/>
    <w:semiHidden/>
    <w:unhideWhenUsed/>
    <w:qFormat/>
    <w:uiPriority w:val="1"/>
  </w:style>
  <w:style w:type="table" w:default="1" w:styleId="18">
    <w:name w:val="Normal Table"/>
    <w:autoRedefine/>
    <w:semiHidden/>
    <w:unhideWhenUsed/>
    <w:qFormat/>
    <w:uiPriority w:val="99"/>
    <w:tblPr>
      <w:tblCellMar>
        <w:top w:w="0" w:type="dxa"/>
        <w:left w:w="108" w:type="dxa"/>
        <w:bottom w:w="0" w:type="dxa"/>
        <w:right w:w="108" w:type="dxa"/>
      </w:tblCellMar>
    </w:tblPr>
  </w:style>
  <w:style w:type="paragraph" w:styleId="6">
    <w:name w:val="Document Map"/>
    <w:basedOn w:val="1"/>
    <w:link w:val="35"/>
    <w:autoRedefine/>
    <w:unhideWhenUsed/>
    <w:qFormat/>
    <w:uiPriority w:val="99"/>
    <w:rPr>
      <w:rFonts w:ascii="宋体"/>
      <w:sz w:val="18"/>
      <w:szCs w:val="18"/>
    </w:rPr>
  </w:style>
  <w:style w:type="paragraph" w:styleId="7">
    <w:name w:val="annotation text"/>
    <w:basedOn w:val="1"/>
    <w:link w:val="33"/>
    <w:autoRedefine/>
    <w:unhideWhenUsed/>
    <w:qFormat/>
    <w:uiPriority w:val="99"/>
    <w:pPr>
      <w:jc w:val="left"/>
    </w:pPr>
  </w:style>
  <w:style w:type="paragraph" w:styleId="8">
    <w:name w:val="Body Text"/>
    <w:basedOn w:val="1"/>
    <w:link w:val="40"/>
    <w:autoRedefine/>
    <w:qFormat/>
    <w:uiPriority w:val="1"/>
    <w:pPr>
      <w:ind w:left="119"/>
      <w:jc w:val="left"/>
    </w:pPr>
    <w:rPr>
      <w:rFonts w:ascii="仿宋_GB2312" w:hAnsi="仿宋_GB2312" w:eastAsia="仿宋_GB2312" w:cstheme="minorBidi"/>
      <w:kern w:val="0"/>
      <w:szCs w:val="30"/>
      <w:lang w:eastAsia="en-US"/>
    </w:rPr>
  </w:style>
  <w:style w:type="paragraph" w:styleId="9">
    <w:name w:val="toc 3"/>
    <w:basedOn w:val="1"/>
    <w:next w:val="1"/>
    <w:autoRedefine/>
    <w:unhideWhenUsed/>
    <w:qFormat/>
    <w:uiPriority w:val="39"/>
    <w:pPr>
      <w:widowControl/>
      <w:spacing w:after="100" w:line="259" w:lineRule="auto"/>
      <w:ind w:left="440"/>
      <w:jc w:val="left"/>
    </w:pPr>
    <w:rPr>
      <w:rFonts w:asciiTheme="minorHAnsi" w:hAnsiTheme="minorHAnsi" w:eastAsiaTheme="minorEastAsia"/>
      <w:kern w:val="0"/>
      <w:sz w:val="22"/>
      <w:szCs w:val="22"/>
    </w:rPr>
  </w:style>
  <w:style w:type="paragraph" w:styleId="10">
    <w:name w:val="Balloon Text"/>
    <w:basedOn w:val="1"/>
    <w:link w:val="32"/>
    <w:autoRedefine/>
    <w:unhideWhenUsed/>
    <w:qFormat/>
    <w:uiPriority w:val="99"/>
    <w:rPr>
      <w:sz w:val="18"/>
      <w:szCs w:val="18"/>
    </w:rPr>
  </w:style>
  <w:style w:type="paragraph" w:styleId="11">
    <w:name w:val="footer"/>
    <w:basedOn w:val="1"/>
    <w:link w:val="31"/>
    <w:autoRedefine/>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12">
    <w:name w:val="header"/>
    <w:basedOn w:val="1"/>
    <w:link w:val="30"/>
    <w:autoRedefine/>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3">
    <w:name w:val="toc 1"/>
    <w:basedOn w:val="1"/>
    <w:next w:val="1"/>
    <w:autoRedefine/>
    <w:unhideWhenUsed/>
    <w:qFormat/>
    <w:uiPriority w:val="39"/>
    <w:pPr>
      <w:widowControl/>
      <w:tabs>
        <w:tab w:val="right" w:leader="dot" w:pos="8931"/>
      </w:tabs>
      <w:spacing w:line="400" w:lineRule="exact"/>
      <w:jc w:val="left"/>
    </w:pPr>
    <w:rPr>
      <w:rFonts w:asciiTheme="minorHAnsi" w:hAnsiTheme="minorHAnsi" w:eastAsiaTheme="minorEastAsia"/>
      <w:kern w:val="0"/>
      <w:sz w:val="22"/>
      <w:szCs w:val="22"/>
    </w:rPr>
  </w:style>
  <w:style w:type="paragraph" w:styleId="14">
    <w:name w:val="footnote text"/>
    <w:basedOn w:val="1"/>
    <w:autoRedefine/>
    <w:semiHidden/>
    <w:unhideWhenUsed/>
    <w:qFormat/>
    <w:uiPriority w:val="99"/>
    <w:pPr>
      <w:snapToGrid w:val="0"/>
      <w:jc w:val="left"/>
    </w:pPr>
    <w:rPr>
      <w:sz w:val="18"/>
    </w:rPr>
  </w:style>
  <w:style w:type="paragraph" w:styleId="15">
    <w:name w:val="toc 2"/>
    <w:basedOn w:val="1"/>
    <w:next w:val="1"/>
    <w:autoRedefine/>
    <w:unhideWhenUsed/>
    <w:qFormat/>
    <w:uiPriority w:val="39"/>
    <w:pPr>
      <w:widowControl/>
      <w:tabs>
        <w:tab w:val="right" w:leader="dot" w:pos="8789"/>
      </w:tabs>
      <w:spacing w:line="400" w:lineRule="exact"/>
      <w:jc w:val="left"/>
    </w:pPr>
    <w:rPr>
      <w:rFonts w:ascii="仿宋_GB2312" w:eastAsia="仿宋_GB2312" w:hAnsiTheme="minorHAnsi"/>
      <w:b/>
      <w:bCs/>
      <w:kern w:val="0"/>
      <w:sz w:val="24"/>
      <w:szCs w:val="24"/>
      <w:lang w:val="zh-CN"/>
    </w:rPr>
  </w:style>
  <w:style w:type="paragraph" w:styleId="16">
    <w:name w:val="Normal (Web)"/>
    <w:basedOn w:val="1"/>
    <w:autoRedefine/>
    <w:semiHidden/>
    <w:unhideWhenUsed/>
    <w:qFormat/>
    <w:uiPriority w:val="99"/>
    <w:rPr>
      <w:sz w:val="24"/>
    </w:rPr>
  </w:style>
  <w:style w:type="paragraph" w:styleId="17">
    <w:name w:val="annotation subject"/>
    <w:basedOn w:val="7"/>
    <w:next w:val="7"/>
    <w:link w:val="34"/>
    <w:autoRedefine/>
    <w:unhideWhenUsed/>
    <w:qFormat/>
    <w:uiPriority w:val="99"/>
    <w:rPr>
      <w:b/>
      <w:bCs/>
    </w:rPr>
  </w:style>
  <w:style w:type="table" w:styleId="19">
    <w:name w:val="Table Grid"/>
    <w:basedOn w:val="18"/>
    <w:autoRedefine/>
    <w:qFormat/>
    <w:uiPriority w:val="3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21">
    <w:name w:val="Strong"/>
    <w:basedOn w:val="20"/>
    <w:autoRedefine/>
    <w:qFormat/>
    <w:uiPriority w:val="22"/>
    <w:rPr>
      <w:b/>
    </w:rPr>
  </w:style>
  <w:style w:type="character" w:styleId="22">
    <w:name w:val="page number"/>
    <w:basedOn w:val="20"/>
    <w:autoRedefine/>
    <w:qFormat/>
    <w:uiPriority w:val="0"/>
  </w:style>
  <w:style w:type="character" w:styleId="23">
    <w:name w:val="Hyperlink"/>
    <w:basedOn w:val="20"/>
    <w:autoRedefine/>
    <w:unhideWhenUsed/>
    <w:qFormat/>
    <w:uiPriority w:val="99"/>
    <w:rPr>
      <w:color w:val="0000FF" w:themeColor="hyperlink"/>
      <w:u w:val="single"/>
      <w14:textFill>
        <w14:solidFill>
          <w14:schemeClr w14:val="hlink"/>
        </w14:solidFill>
      </w14:textFill>
    </w:rPr>
  </w:style>
  <w:style w:type="character" w:styleId="24">
    <w:name w:val="annotation reference"/>
    <w:basedOn w:val="20"/>
    <w:autoRedefine/>
    <w:unhideWhenUsed/>
    <w:qFormat/>
    <w:uiPriority w:val="99"/>
    <w:rPr>
      <w:sz w:val="21"/>
      <w:szCs w:val="21"/>
    </w:rPr>
  </w:style>
  <w:style w:type="character" w:styleId="25">
    <w:name w:val="footnote reference"/>
    <w:basedOn w:val="20"/>
    <w:autoRedefine/>
    <w:semiHidden/>
    <w:unhideWhenUsed/>
    <w:qFormat/>
    <w:uiPriority w:val="99"/>
    <w:rPr>
      <w:vertAlign w:val="superscript"/>
    </w:rPr>
  </w:style>
  <w:style w:type="paragraph" w:customStyle="1" w:styleId="26">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7">
    <w:name w:val="标题 1 字符"/>
    <w:basedOn w:val="20"/>
    <w:link w:val="2"/>
    <w:autoRedefine/>
    <w:qFormat/>
    <w:uiPriority w:val="9"/>
    <w:rPr>
      <w:rFonts w:ascii="Times New Roman" w:hAnsi="Times New Roman" w:eastAsia="宋体" w:cs="Times New Roman"/>
      <w:b/>
      <w:bCs/>
      <w:kern w:val="44"/>
      <w:sz w:val="44"/>
      <w:szCs w:val="44"/>
    </w:rPr>
  </w:style>
  <w:style w:type="character" w:customStyle="1" w:styleId="28">
    <w:name w:val="标题 2 字符"/>
    <w:basedOn w:val="20"/>
    <w:link w:val="3"/>
    <w:autoRedefine/>
    <w:qFormat/>
    <w:uiPriority w:val="99"/>
    <w:rPr>
      <w:rFonts w:ascii="Cambria" w:hAnsi="Cambria" w:eastAsia="宋体" w:cs="Times New Roman"/>
      <w:b/>
      <w:bCs/>
      <w:kern w:val="0"/>
      <w:sz w:val="32"/>
      <w:szCs w:val="32"/>
    </w:rPr>
  </w:style>
  <w:style w:type="character" w:customStyle="1" w:styleId="29">
    <w:name w:val="标题 3 字符"/>
    <w:basedOn w:val="20"/>
    <w:link w:val="4"/>
    <w:autoRedefine/>
    <w:qFormat/>
    <w:uiPriority w:val="99"/>
    <w:rPr>
      <w:rFonts w:ascii="Times New Roman" w:hAnsi="Times New Roman" w:eastAsia="宋体" w:cs="Times New Roman"/>
      <w:b/>
      <w:bCs/>
      <w:kern w:val="0"/>
      <w:sz w:val="32"/>
      <w:szCs w:val="32"/>
    </w:rPr>
  </w:style>
  <w:style w:type="character" w:customStyle="1" w:styleId="30">
    <w:name w:val="页眉 字符"/>
    <w:basedOn w:val="20"/>
    <w:link w:val="12"/>
    <w:autoRedefine/>
    <w:qFormat/>
    <w:uiPriority w:val="99"/>
    <w:rPr>
      <w:sz w:val="18"/>
      <w:szCs w:val="18"/>
    </w:rPr>
  </w:style>
  <w:style w:type="character" w:customStyle="1" w:styleId="31">
    <w:name w:val="页脚 字符"/>
    <w:basedOn w:val="20"/>
    <w:link w:val="11"/>
    <w:autoRedefine/>
    <w:qFormat/>
    <w:uiPriority w:val="0"/>
    <w:rPr>
      <w:sz w:val="18"/>
      <w:szCs w:val="18"/>
    </w:rPr>
  </w:style>
  <w:style w:type="character" w:customStyle="1" w:styleId="32">
    <w:name w:val="批注框文本 字符"/>
    <w:basedOn w:val="20"/>
    <w:link w:val="10"/>
    <w:autoRedefine/>
    <w:semiHidden/>
    <w:qFormat/>
    <w:uiPriority w:val="99"/>
    <w:rPr>
      <w:rFonts w:ascii="Times New Roman" w:hAnsi="Times New Roman" w:eastAsia="宋体" w:cs="Times New Roman"/>
      <w:sz w:val="18"/>
      <w:szCs w:val="18"/>
    </w:rPr>
  </w:style>
  <w:style w:type="character" w:customStyle="1" w:styleId="33">
    <w:name w:val="批注文字 字符"/>
    <w:basedOn w:val="20"/>
    <w:link w:val="7"/>
    <w:autoRedefine/>
    <w:qFormat/>
    <w:uiPriority w:val="99"/>
    <w:rPr>
      <w:rFonts w:ascii="Times New Roman" w:hAnsi="Times New Roman" w:eastAsia="宋体" w:cs="Times New Roman"/>
      <w:szCs w:val="21"/>
    </w:rPr>
  </w:style>
  <w:style w:type="character" w:customStyle="1" w:styleId="34">
    <w:name w:val="批注主题 字符"/>
    <w:basedOn w:val="33"/>
    <w:link w:val="17"/>
    <w:autoRedefine/>
    <w:semiHidden/>
    <w:qFormat/>
    <w:uiPriority w:val="99"/>
    <w:rPr>
      <w:rFonts w:ascii="Times New Roman" w:hAnsi="Times New Roman" w:eastAsia="宋体" w:cs="Times New Roman"/>
      <w:b/>
      <w:bCs/>
      <w:szCs w:val="21"/>
    </w:rPr>
  </w:style>
  <w:style w:type="character" w:customStyle="1" w:styleId="35">
    <w:name w:val="文档结构图 字符"/>
    <w:basedOn w:val="20"/>
    <w:link w:val="6"/>
    <w:autoRedefine/>
    <w:semiHidden/>
    <w:qFormat/>
    <w:uiPriority w:val="99"/>
    <w:rPr>
      <w:rFonts w:ascii="宋体" w:hAnsi="Times New Roman" w:eastAsia="宋体" w:cs="Times New Roman"/>
      <w:sz w:val="18"/>
      <w:szCs w:val="18"/>
    </w:rPr>
  </w:style>
  <w:style w:type="paragraph" w:customStyle="1" w:styleId="36">
    <w:name w:val="TOC 标题1"/>
    <w:basedOn w:val="2"/>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paragraph" w:customStyle="1" w:styleId="37">
    <w:name w:val="修订1"/>
    <w:autoRedefine/>
    <w:hidden/>
    <w:semiHidden/>
    <w:qFormat/>
    <w:uiPriority w:val="99"/>
    <w:rPr>
      <w:rFonts w:ascii="Times New Roman" w:hAnsi="Times New Roman" w:eastAsia="宋体" w:cs="Times New Roman"/>
      <w:kern w:val="2"/>
      <w:sz w:val="21"/>
      <w:szCs w:val="21"/>
      <w:lang w:val="en-US" w:eastAsia="zh-CN" w:bidi="ar-SA"/>
    </w:rPr>
  </w:style>
  <w:style w:type="character" w:customStyle="1" w:styleId="38">
    <w:name w:val="页码 New New"/>
    <w:basedOn w:val="20"/>
    <w:autoRedefine/>
    <w:qFormat/>
    <w:uiPriority w:val="0"/>
  </w:style>
  <w:style w:type="paragraph" w:customStyle="1" w:styleId="39">
    <w:name w:val="列表段落1"/>
    <w:basedOn w:val="1"/>
    <w:autoRedefine/>
    <w:qFormat/>
    <w:uiPriority w:val="34"/>
    <w:pPr>
      <w:ind w:firstLine="420" w:firstLineChars="200"/>
    </w:pPr>
  </w:style>
  <w:style w:type="character" w:customStyle="1" w:styleId="40">
    <w:name w:val="正文文本 字符"/>
    <w:basedOn w:val="20"/>
    <w:link w:val="8"/>
    <w:autoRedefine/>
    <w:qFormat/>
    <w:uiPriority w:val="1"/>
    <w:rPr>
      <w:rFonts w:ascii="仿宋_GB2312" w:hAnsi="仿宋_GB2312" w:eastAsia="仿宋_GB2312"/>
      <w:kern w:val="0"/>
      <w:sz w:val="30"/>
      <w:szCs w:val="30"/>
      <w:lang w:eastAsia="en-US"/>
    </w:rPr>
  </w:style>
  <w:style w:type="character" w:customStyle="1" w:styleId="41">
    <w:name w:val="未处理的提及1"/>
    <w:basedOn w:val="20"/>
    <w:autoRedefine/>
    <w:unhideWhenUsed/>
    <w:qFormat/>
    <w:uiPriority w:val="99"/>
    <w:rPr>
      <w:color w:val="605E5C"/>
      <w:shd w:val="clear" w:color="auto" w:fill="E1DFDD"/>
    </w:rPr>
  </w:style>
  <w:style w:type="character" w:customStyle="1" w:styleId="42">
    <w:name w:val="font31"/>
    <w:basedOn w:val="20"/>
    <w:autoRedefine/>
    <w:qFormat/>
    <w:uiPriority w:val="0"/>
    <w:rPr>
      <w:rFonts w:hint="eastAsia" w:ascii="宋体" w:hAnsi="宋体" w:eastAsia="宋体" w:cs="宋体"/>
      <w:color w:val="0F1115"/>
      <w:sz w:val="23"/>
      <w:szCs w:val="23"/>
      <w:u w:val="none"/>
    </w:rPr>
  </w:style>
  <w:style w:type="character" w:customStyle="1" w:styleId="43">
    <w:name w:val="font21"/>
    <w:basedOn w:val="20"/>
    <w:autoRedefine/>
    <w:qFormat/>
    <w:uiPriority w:val="0"/>
    <w:rPr>
      <w:rFonts w:hint="default" w:ascii="Segoe UI" w:hAnsi="Segoe UI" w:eastAsia="Segoe UI" w:cs="Segoe UI"/>
      <w:color w:val="0F1115"/>
      <w:sz w:val="23"/>
      <w:szCs w:val="23"/>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59</Pages>
  <Words>35878</Words>
  <Characters>38470</Characters>
  <Lines>30</Lines>
  <Paragraphs>8</Paragraphs>
  <TotalTime>33</TotalTime>
  <ScaleCrop>false</ScaleCrop>
  <LinksUpToDate>false</LinksUpToDate>
  <CharactersWithSpaces>38809</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2017-11-01T23:15:00Z</dcterms:created>
  <dcterms:modified xsi:type="dcterms:W3CDTF">2026-09-28T18:04:17Z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2ECB5D03FBBAD48D3A42B36AF4B67242_43</vt:lpwstr>
  </property>
  <property fmtid="{D5CDD505-2E9C-101B-9397-08002B2CF9AE}" pid="4" name="KSOTemplateDocerSaveRecord">
    <vt:lpwstr>eyJoZGlkIjoiNTQxZDc3Y2ExYWQyOTUwOGZhYzM4MTU1Nzk0YWZkMDAiLCJ1c2VySWQiOiIxODYyODE0MTQ1In0=</vt:lpwstr>
  </property>
</Properties>
</file>