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E329E">
      <w:pPr>
        <w:jc w:val="center"/>
        <w:rPr>
          <w:rFonts w:hint="default" w:ascii="Times New Roman" w:hAnsi="Times New Roman" w:eastAsia="宋体" w:cs="Times New Roman"/>
          <w:sz w:val="44"/>
          <w:szCs w:val="44"/>
        </w:rPr>
      </w:pPr>
    </w:p>
    <w:p w14:paraId="15F37798">
      <w:pPr>
        <w:pStyle w:val="2"/>
        <w:rPr>
          <w:rFonts w:hint="default" w:ascii="Times New Roman" w:hAnsi="Times New Roman" w:eastAsia="宋体" w:cs="Times New Roman"/>
          <w:sz w:val="44"/>
          <w:szCs w:val="44"/>
        </w:rPr>
      </w:pPr>
    </w:p>
    <w:p w14:paraId="3097AC2E">
      <w:pPr>
        <w:rPr>
          <w:rFonts w:hint="default" w:ascii="Times New Roman" w:hAnsi="Times New Roman" w:eastAsia="宋体" w:cs="Times New Roman"/>
          <w:sz w:val="44"/>
          <w:szCs w:val="44"/>
        </w:rPr>
      </w:pPr>
    </w:p>
    <w:p w14:paraId="3CCB1411">
      <w:pPr>
        <w:pStyle w:val="2"/>
        <w:rPr>
          <w:rFonts w:hint="default" w:ascii="Times New Roman" w:hAnsi="Times New Roman" w:cs="Times New Roman"/>
        </w:rPr>
      </w:pPr>
    </w:p>
    <w:p w14:paraId="05DBF653">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宋体" w:cs="Times New Roman"/>
          <w:b/>
          <w:bCs/>
          <w:sz w:val="44"/>
          <w:szCs w:val="44"/>
          <w:highlight w:val="none"/>
        </w:rPr>
      </w:pPr>
      <w:r>
        <w:rPr>
          <w:rFonts w:hint="default" w:ascii="Times New Roman" w:hAnsi="Times New Roman" w:eastAsia="方正小标宋_GBK" w:cs="Times New Roman"/>
          <w:b w:val="0"/>
          <w:bCs w:val="0"/>
          <w:sz w:val="44"/>
          <w:szCs w:val="44"/>
          <w:highlight w:val="none"/>
        </w:rPr>
        <w:t>新疆维吾尔自治区中央集中彩票公益金支持社会福利事业资金（第一批）转移支付202</w:t>
      </w:r>
      <w:r>
        <w:rPr>
          <w:rFonts w:hint="default" w:ascii="Times New Roman" w:hAnsi="Times New Roman" w:eastAsia="方正小标宋_GBK" w:cs="Times New Roman"/>
          <w:b w:val="0"/>
          <w:bCs w:val="0"/>
          <w:sz w:val="44"/>
          <w:szCs w:val="44"/>
          <w:highlight w:val="none"/>
          <w:lang w:val="en-US" w:eastAsia="zh-CN"/>
        </w:rPr>
        <w:t>5</w:t>
      </w:r>
      <w:r>
        <w:rPr>
          <w:rFonts w:hint="default" w:ascii="Times New Roman" w:hAnsi="Times New Roman" w:eastAsia="方正小标宋_GBK" w:cs="Times New Roman"/>
          <w:b w:val="0"/>
          <w:bCs w:val="0"/>
          <w:sz w:val="44"/>
          <w:szCs w:val="44"/>
          <w:highlight w:val="none"/>
        </w:rPr>
        <w:t>年度绩效自评报告</w:t>
      </w:r>
    </w:p>
    <w:p w14:paraId="7C2432A5">
      <w:pPr>
        <w:rPr>
          <w:rFonts w:hint="default" w:ascii="Times New Roman" w:hAnsi="Times New Roman" w:eastAsia="宋体" w:cs="Times New Roman"/>
          <w:sz w:val="24"/>
          <w:szCs w:val="24"/>
        </w:rPr>
      </w:pPr>
    </w:p>
    <w:p w14:paraId="524CD1E2">
      <w:pPr>
        <w:pStyle w:val="2"/>
        <w:rPr>
          <w:rFonts w:hint="default" w:ascii="Times New Roman" w:hAnsi="Times New Roman" w:cs="Times New Roman"/>
        </w:rPr>
      </w:pPr>
    </w:p>
    <w:p w14:paraId="7B9AFC56">
      <w:pPr>
        <w:rPr>
          <w:rFonts w:hint="default" w:ascii="Times New Roman" w:hAnsi="Times New Roman" w:eastAsia="宋体" w:cs="Times New Roman"/>
          <w:sz w:val="28"/>
          <w:szCs w:val="28"/>
        </w:rPr>
      </w:pPr>
    </w:p>
    <w:p w14:paraId="45FAE2A6">
      <w:pPr>
        <w:rPr>
          <w:rFonts w:hint="default" w:ascii="Times New Roman" w:hAnsi="Times New Roman" w:eastAsia="宋体" w:cs="Times New Roman"/>
          <w:sz w:val="28"/>
          <w:szCs w:val="28"/>
        </w:rPr>
      </w:pPr>
    </w:p>
    <w:p w14:paraId="3722099B">
      <w:pPr>
        <w:pStyle w:val="2"/>
        <w:rPr>
          <w:rFonts w:hint="default" w:ascii="Times New Roman" w:hAnsi="Times New Roman" w:eastAsia="宋体" w:cs="Times New Roman"/>
          <w:sz w:val="28"/>
          <w:szCs w:val="28"/>
        </w:rPr>
      </w:pPr>
    </w:p>
    <w:p w14:paraId="29E75115">
      <w:pPr>
        <w:rPr>
          <w:rFonts w:hint="default" w:ascii="Times New Roman" w:hAnsi="Times New Roman" w:cs="Times New Roman"/>
        </w:rPr>
      </w:pPr>
    </w:p>
    <w:p w14:paraId="3EA92953">
      <w:pPr>
        <w:ind w:left="0" w:leftChars="0" w:firstLine="0" w:firstLineChars="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项目名称：中央集中彩票公益金支持社会福利事业资金（第一批</w:t>
      </w:r>
      <w:r>
        <w:rPr>
          <w:rFonts w:hint="default" w:ascii="Times New Roman" w:hAnsi="Times New Roman" w:cs="Times New Roman"/>
          <w:sz w:val="32"/>
          <w:szCs w:val="32"/>
          <w:highlight w:val="none"/>
          <w:lang w:eastAsia="zh-CN"/>
        </w:rPr>
        <w:t>）</w:t>
      </w:r>
    </w:p>
    <w:p w14:paraId="34AF30B4">
      <w:pPr>
        <w:ind w:left="0" w:leftChars="0" w:firstLine="0" w:firstLineChars="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实施单位（公章）：</w:t>
      </w:r>
      <w:r>
        <w:rPr>
          <w:rFonts w:hint="default" w:ascii="Times New Roman" w:hAnsi="Times New Roman" w:eastAsia="方正仿宋_GBK" w:cs="Times New Roman"/>
          <w:sz w:val="32"/>
          <w:szCs w:val="32"/>
          <w:highlight w:val="none"/>
          <w:lang w:eastAsia="zh-CN"/>
        </w:rPr>
        <w:t>各地民政部门</w:t>
      </w:r>
    </w:p>
    <w:p w14:paraId="156D109C">
      <w:pPr>
        <w:ind w:left="0" w:leftChars="0" w:firstLine="0" w:firstLineChars="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主管部门（公章）：</w:t>
      </w:r>
      <w:r>
        <w:rPr>
          <w:rFonts w:hint="default" w:ascii="Times New Roman" w:hAnsi="Times New Roman" w:eastAsia="方正仿宋_GBK" w:cs="Times New Roman"/>
          <w:sz w:val="32"/>
          <w:szCs w:val="32"/>
          <w:highlight w:val="none"/>
          <w:lang w:eastAsia="zh-CN"/>
        </w:rPr>
        <w:t>自治区民政厅</w:t>
      </w:r>
    </w:p>
    <w:p w14:paraId="3C2716AB">
      <w:pPr>
        <w:ind w:left="0" w:leftChars="0" w:firstLine="0" w:firstLineChars="0"/>
        <w:rPr>
          <w:rFonts w:hint="default" w:ascii="Times New Roman" w:hAnsi="Times New Roman" w:eastAsia="方正仿宋_GBK" w:cs="Times New Roman"/>
          <w:spacing w:val="-28"/>
          <w:sz w:val="32"/>
          <w:szCs w:val="32"/>
          <w:highlight w:val="none"/>
          <w:lang w:eastAsia="zh-CN"/>
        </w:rPr>
      </w:pPr>
      <w:r>
        <w:rPr>
          <w:rFonts w:hint="default" w:ascii="Times New Roman" w:hAnsi="Times New Roman" w:eastAsia="方正仿宋_GBK" w:cs="Times New Roman"/>
          <w:sz w:val="32"/>
          <w:szCs w:val="32"/>
          <w:highlight w:val="none"/>
        </w:rPr>
        <w:t>项目负责人（签章）：</w:t>
      </w:r>
      <w:r>
        <w:rPr>
          <w:rFonts w:hint="default" w:ascii="Times New Roman" w:hAnsi="Times New Roman" w:eastAsia="方正仿宋_GBK" w:cs="Times New Roman"/>
          <w:spacing w:val="-28"/>
          <w:sz w:val="32"/>
          <w:szCs w:val="32"/>
          <w:highlight w:val="none"/>
          <w:lang w:eastAsia="zh-CN"/>
        </w:rPr>
        <w:t>黄春晓、徐国强、韩文炎</w:t>
      </w:r>
    </w:p>
    <w:p w14:paraId="0E451114">
      <w:pPr>
        <w:ind w:left="0" w:leftChars="0" w:firstLine="0" w:firstLineChars="0"/>
        <w:rPr>
          <w:rFonts w:hint="default" w:ascii="Times New Roman" w:hAnsi="Times New Roman" w:eastAsia="方正仿宋_GBK" w:cs="Times New Roman"/>
          <w:sz w:val="32"/>
          <w:szCs w:val="32"/>
          <w:highlight w:val="none"/>
        </w:rPr>
        <w:sectPr>
          <w:pgSz w:w="11906" w:h="16838"/>
          <w:pgMar w:top="2098" w:right="1531" w:bottom="1984" w:left="1531" w:header="851" w:footer="992" w:gutter="0"/>
          <w:cols w:space="425" w:num="1"/>
          <w:docGrid w:type="lines" w:linePitch="312" w:charSpace="0"/>
        </w:sectPr>
      </w:pPr>
      <w:r>
        <w:rPr>
          <w:rFonts w:hint="default" w:ascii="Times New Roman" w:hAnsi="Times New Roman" w:eastAsia="方正仿宋_GBK" w:cs="Times New Roman"/>
          <w:sz w:val="32"/>
          <w:szCs w:val="32"/>
          <w:highlight w:val="none"/>
        </w:rPr>
        <w:t>填报时间：</w:t>
      </w:r>
      <w:r>
        <w:rPr>
          <w:rFonts w:hint="default" w:ascii="Times New Roman" w:hAnsi="Times New Roman" w:eastAsia="方正仿宋_GBK" w:cs="Times New Roman"/>
          <w:sz w:val="32"/>
          <w:szCs w:val="32"/>
          <w:highlight w:val="none"/>
          <w:lang w:val="en-US" w:eastAsia="zh-CN"/>
        </w:rPr>
        <w:t>202</w:t>
      </w:r>
      <w:r>
        <w:rPr>
          <w:rFonts w:hint="default" w:ascii="Times New Roman" w:hAnsi="Times New Roman"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default" w:ascii="Times New Roman" w:hAnsi="Times New Roman" w:cs="Times New Roman"/>
          <w:sz w:val="32"/>
          <w:szCs w:val="32"/>
          <w:highlight w:val="none"/>
          <w:lang w:val="en-US" w:eastAsia="zh-CN"/>
        </w:rPr>
        <w:t>31</w:t>
      </w:r>
      <w:r>
        <w:rPr>
          <w:rFonts w:hint="default" w:ascii="Times New Roman" w:hAnsi="Times New Roman" w:eastAsia="方正仿宋_GBK" w:cs="Times New Roman"/>
          <w:sz w:val="32"/>
          <w:szCs w:val="32"/>
          <w:highlight w:val="none"/>
        </w:rPr>
        <w:t>日</w:t>
      </w:r>
    </w:p>
    <w:p w14:paraId="67F972B8">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宋体" w:cs="Times New Roman"/>
          <w:b/>
          <w:bCs/>
          <w:sz w:val="44"/>
          <w:szCs w:val="44"/>
          <w:highlight w:val="none"/>
        </w:rPr>
      </w:pPr>
      <w:r>
        <w:rPr>
          <w:rFonts w:hint="default" w:ascii="Times New Roman" w:hAnsi="Times New Roman" w:eastAsia="方正小标宋_GBK" w:cs="Times New Roman"/>
          <w:b w:val="0"/>
          <w:bCs w:val="0"/>
          <w:sz w:val="44"/>
          <w:szCs w:val="44"/>
          <w:highlight w:val="none"/>
        </w:rPr>
        <w:t>新疆维吾尔自治区中央集中彩票公益金支持社会福利事业资金（第一批）转移支付202</w:t>
      </w:r>
      <w:r>
        <w:rPr>
          <w:rFonts w:hint="default" w:ascii="Times New Roman" w:hAnsi="Times New Roman" w:eastAsia="方正小标宋_GBK" w:cs="Times New Roman"/>
          <w:b w:val="0"/>
          <w:bCs w:val="0"/>
          <w:sz w:val="44"/>
          <w:szCs w:val="44"/>
          <w:highlight w:val="none"/>
          <w:lang w:val="en-US" w:eastAsia="zh-CN"/>
        </w:rPr>
        <w:t>5</w:t>
      </w:r>
      <w:r>
        <w:rPr>
          <w:rFonts w:hint="default" w:ascii="Times New Roman" w:hAnsi="Times New Roman" w:eastAsia="方正小标宋_GBK" w:cs="Times New Roman"/>
          <w:b w:val="0"/>
          <w:bCs w:val="0"/>
          <w:sz w:val="44"/>
          <w:szCs w:val="44"/>
          <w:highlight w:val="none"/>
        </w:rPr>
        <w:t>年度绩效自评报告</w:t>
      </w:r>
    </w:p>
    <w:p w14:paraId="4D74712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bCs/>
          <w:sz w:val="24"/>
          <w:szCs w:val="24"/>
        </w:rPr>
      </w:pPr>
    </w:p>
    <w:p w14:paraId="7E98F1A6">
      <w:pPr>
        <w:bidi w:val="0"/>
        <w:rPr>
          <w:rFonts w:hint="default" w:ascii="Times New Roman" w:hAnsi="Times New Roman" w:cs="Times New Roman"/>
        </w:rPr>
      </w:pPr>
      <w:r>
        <w:rPr>
          <w:rFonts w:hint="default" w:ascii="Times New Roman" w:hAnsi="Times New Roman" w:cs="Times New Roman"/>
          <w:lang w:eastAsia="zh-CN"/>
        </w:rPr>
        <w:t>为贯彻落实党中央全面实施预算绩效管理决策部署，根据《财政部关于开展2025年度中央对地方转移支付绩效自评工作的通知》（财监〔202</w:t>
      </w:r>
      <w:r>
        <w:rPr>
          <w:rFonts w:hint="default" w:ascii="Times New Roman" w:hAnsi="Times New Roman" w:cs="Times New Roman"/>
          <w:lang w:val="en-US" w:eastAsia="zh-CN"/>
        </w:rPr>
        <w:t>6</w:t>
      </w: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号），自治区民政厅、财政厅高度重视，严格按规范要求组织开展了202</w:t>
      </w:r>
      <w:r>
        <w:rPr>
          <w:rFonts w:hint="default" w:ascii="Times New Roman" w:hAnsi="Times New Roman" w:cs="Times New Roman"/>
          <w:lang w:val="en-US" w:eastAsia="zh-CN"/>
        </w:rPr>
        <w:t>5</w:t>
      </w:r>
      <w:r>
        <w:rPr>
          <w:rFonts w:hint="default" w:ascii="Times New Roman" w:hAnsi="Times New Roman" w:cs="Times New Roman"/>
          <w:lang w:eastAsia="zh-CN"/>
        </w:rPr>
        <w:t>年度中央集中彩票公益金支持社会福利事业资金（第一批）项目绩效自评工作，现将自评情况报告如下：</w:t>
      </w:r>
    </w:p>
    <w:p w14:paraId="5F75B30F">
      <w:pPr>
        <w:pStyle w:val="4"/>
        <w:bidi w:val="0"/>
        <w:rPr>
          <w:rFonts w:hint="default" w:ascii="Times New Roman" w:hAnsi="Times New Roman" w:cs="Times New Roman"/>
        </w:rPr>
      </w:pPr>
      <w:r>
        <w:rPr>
          <w:rFonts w:hint="default" w:ascii="Times New Roman" w:hAnsi="Times New Roman" w:cs="Times New Roman"/>
          <w:lang w:eastAsia="zh-CN"/>
        </w:rPr>
        <w:t>一、</w:t>
      </w:r>
      <w:r>
        <w:rPr>
          <w:rFonts w:hint="default" w:ascii="Times New Roman" w:hAnsi="Times New Roman" w:cs="Times New Roman"/>
        </w:rPr>
        <w:t>绩效目标分解下达情况</w:t>
      </w:r>
    </w:p>
    <w:p w14:paraId="07EEBD3F">
      <w:pPr>
        <w:pStyle w:val="5"/>
        <w:bidi w:val="0"/>
        <w:rPr>
          <w:rStyle w:val="15"/>
          <w:rFonts w:hint="default" w:ascii="Times New Roman" w:hAnsi="Times New Roman" w:eastAsia="方正楷体_GBK" w:cs="Times New Roman"/>
          <w:b w:val="0"/>
          <w:bCs w:val="0"/>
          <w:spacing w:val="-4"/>
          <w:szCs w:val="32"/>
          <w:highlight w:val="none"/>
        </w:rPr>
      </w:pPr>
      <w:r>
        <w:rPr>
          <w:rFonts w:hint="default" w:ascii="Times New Roman" w:hAnsi="Times New Roman" w:cs="Times New Roman"/>
          <w:lang w:eastAsia="zh-CN"/>
        </w:rPr>
        <w:t>（一）</w:t>
      </w:r>
      <w:r>
        <w:rPr>
          <w:rFonts w:hint="default" w:ascii="Times New Roman" w:hAnsi="Times New Roman" w:cs="Times New Roman"/>
        </w:rPr>
        <w:t>中央下达集中彩票公益金转移支付预算和绩效目标情况。</w:t>
      </w:r>
    </w:p>
    <w:p w14:paraId="34CAB4B5">
      <w:pPr>
        <w:bidi w:val="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下达预算情况</w:t>
      </w:r>
    </w:p>
    <w:p w14:paraId="39106E73">
      <w:pPr>
        <w:bidi w:val="0"/>
        <w:rPr>
          <w:rFonts w:hint="default" w:ascii="Times New Roman" w:hAnsi="Times New Roman" w:cs="Times New Roman"/>
          <w:lang w:eastAsia="zh-CN"/>
        </w:rPr>
      </w:pPr>
      <w:r>
        <w:rPr>
          <w:rFonts w:hint="default" w:ascii="Times New Roman" w:hAnsi="Times New Roman" w:cs="Times New Roman"/>
          <w:lang w:val="en-US" w:eastAsia="zh-CN"/>
        </w:rPr>
        <w:t>20</w:t>
      </w:r>
      <w:r>
        <w:rPr>
          <w:rFonts w:hint="default" w:ascii="Times New Roman" w:hAnsi="Times New Roman" w:cs="Times New Roman"/>
          <w:lang w:eastAsia="zh-CN"/>
        </w:rPr>
        <w:t>2</w:t>
      </w:r>
      <w:r>
        <w:rPr>
          <w:rFonts w:hint="default" w:ascii="Times New Roman" w:hAnsi="Times New Roman" w:cs="Times New Roman"/>
          <w:lang w:val="en-US" w:eastAsia="zh-CN"/>
        </w:rPr>
        <w:t>5</w:t>
      </w:r>
      <w:r>
        <w:rPr>
          <w:rFonts w:hint="default" w:ascii="Times New Roman" w:hAnsi="Times New Roman" w:cs="Times New Roman"/>
          <w:lang w:eastAsia="zh-CN"/>
        </w:rPr>
        <w:t>年度，财政部</w:t>
      </w:r>
      <w:r>
        <w:rPr>
          <w:rFonts w:hint="default" w:ascii="Times New Roman" w:hAnsi="Times New Roman" w:cs="Times New Roman"/>
          <w:lang w:val="en-US" w:eastAsia="zh-CN"/>
        </w:rPr>
        <w:t>共计下达我区中央集中彩票公益金支持社会福利事业专项资金项目资金</w:t>
      </w:r>
      <w:r>
        <w:rPr>
          <w:rFonts w:hint="default" w:ascii="Times New Roman" w:hAnsi="Times New Roman" w:cs="Times New Roman"/>
          <w:highlight w:val="none"/>
          <w:lang w:val="en-US" w:eastAsia="zh-CN"/>
        </w:rPr>
        <w:t>11558</w:t>
      </w:r>
      <w:r>
        <w:rPr>
          <w:rFonts w:hint="default" w:ascii="Times New Roman" w:hAnsi="Times New Roman" w:cs="Times New Roman"/>
          <w:lang w:val="en-US" w:eastAsia="zh-CN"/>
        </w:rPr>
        <w:t>万元</w:t>
      </w:r>
      <w:r>
        <w:rPr>
          <w:rFonts w:hint="default" w:ascii="Times New Roman" w:hAnsi="Times New Roman" w:cs="Times New Roman"/>
          <w:lang w:eastAsia="zh-CN"/>
        </w:rPr>
        <w:t>，</w:t>
      </w:r>
      <w:r>
        <w:rPr>
          <w:rFonts w:hint="default" w:ascii="Times New Roman" w:hAnsi="Times New Roman" w:cs="Times New Roman"/>
        </w:rPr>
        <w:t>用于支持老年人福利</w:t>
      </w:r>
      <w:r>
        <w:rPr>
          <w:rFonts w:hint="default" w:ascii="Times New Roman" w:hAnsi="Times New Roman" w:cs="Times New Roman"/>
          <w:lang w:eastAsia="zh-CN"/>
        </w:rPr>
        <w:t>类</w:t>
      </w:r>
      <w:r>
        <w:rPr>
          <w:rFonts w:hint="default" w:ascii="Times New Roman" w:hAnsi="Times New Roman" w:cs="Times New Roman"/>
        </w:rPr>
        <w:t>、残疾人福利</w:t>
      </w:r>
      <w:r>
        <w:rPr>
          <w:rFonts w:hint="default" w:ascii="Times New Roman" w:hAnsi="Times New Roman" w:cs="Times New Roman"/>
          <w:lang w:eastAsia="zh-CN"/>
        </w:rPr>
        <w:t>类</w:t>
      </w:r>
      <w:r>
        <w:rPr>
          <w:rFonts w:hint="default" w:ascii="Times New Roman" w:hAnsi="Times New Roman" w:cs="Times New Roman"/>
        </w:rPr>
        <w:t>、儿童福利</w:t>
      </w:r>
      <w:r>
        <w:rPr>
          <w:rFonts w:hint="default" w:ascii="Times New Roman" w:hAnsi="Times New Roman" w:cs="Times New Roman"/>
          <w:lang w:eastAsia="zh-CN"/>
        </w:rPr>
        <w:t>类、社会公益类</w:t>
      </w:r>
      <w:r>
        <w:rPr>
          <w:rFonts w:hint="default" w:ascii="Times New Roman" w:hAnsi="Times New Roman" w:cs="Times New Roman"/>
          <w:lang w:val="en-US" w:eastAsia="zh-CN"/>
        </w:rPr>
        <w:t>，</w:t>
      </w:r>
      <w:r>
        <w:rPr>
          <w:rFonts w:hint="default" w:ascii="Times New Roman" w:hAnsi="Times New Roman" w:cs="Times New Roman"/>
          <w:lang w:eastAsia="zh-CN"/>
        </w:rPr>
        <w:t>详细如下：</w:t>
      </w:r>
    </w:p>
    <w:p w14:paraId="5124AFD6">
      <w:pPr>
        <w:bidi w:val="0"/>
        <w:rPr>
          <w:rFonts w:hint="default" w:ascii="Times New Roman" w:hAnsi="Times New Roman" w:cs="Times New Roman"/>
          <w:lang w:val="en-US" w:eastAsia="zh-CN"/>
        </w:rPr>
      </w:pPr>
      <w:r>
        <w:rPr>
          <w:rFonts w:hint="default" w:ascii="Times New Roman" w:hAnsi="Times New Roman" w:cs="Times New Roman"/>
          <w:lang w:eastAsia="zh-CN"/>
        </w:rPr>
        <w:t>202</w:t>
      </w:r>
      <w:r>
        <w:rPr>
          <w:rFonts w:hint="default" w:ascii="Times New Roman" w:hAnsi="Times New Roman" w:cs="Times New Roman"/>
          <w:lang w:val="en-US" w:eastAsia="zh-CN"/>
        </w:rPr>
        <w:t>4</w:t>
      </w:r>
      <w:r>
        <w:rPr>
          <w:rFonts w:hint="default" w:ascii="Times New Roman" w:hAnsi="Times New Roman" w:cs="Times New Roman"/>
          <w:lang w:eastAsia="zh-CN"/>
        </w:rPr>
        <w:t>年</w:t>
      </w:r>
      <w:r>
        <w:rPr>
          <w:rFonts w:hint="default" w:ascii="Times New Roman" w:hAnsi="Times New Roman" w:cs="Times New Roman"/>
          <w:highlight w:val="none"/>
          <w:lang w:val="en-US" w:eastAsia="zh-CN"/>
        </w:rPr>
        <w:t>10</w:t>
      </w:r>
      <w:r>
        <w:rPr>
          <w:rFonts w:hint="default" w:ascii="Times New Roman" w:hAnsi="Times New Roman" w:cs="Times New Roman"/>
          <w:lang w:eastAsia="zh-CN"/>
        </w:rPr>
        <w:t>月，</w:t>
      </w:r>
      <w:r>
        <w:rPr>
          <w:rFonts w:hint="default" w:ascii="Times New Roman" w:hAnsi="Times New Roman" w:cs="Times New Roman"/>
        </w:rPr>
        <w:t>财政部、民政部</w:t>
      </w:r>
      <w:r>
        <w:rPr>
          <w:rFonts w:hint="default" w:ascii="Times New Roman" w:hAnsi="Times New Roman" w:cs="Times New Roman"/>
          <w:lang w:val="en-US" w:eastAsia="zh-CN"/>
        </w:rPr>
        <w:t>《关于提前下达2025年中央集中彩票公益金支持社会福利事业资金预算的通知》（财社〔2024〕135号）下达新疆中央集中彩票公益金支持社会福利事业资金项目，资金12535万元。</w:t>
      </w:r>
    </w:p>
    <w:p w14:paraId="42F08D00">
      <w:pPr>
        <w:bidi w:val="0"/>
        <w:rPr>
          <w:rFonts w:hint="default" w:ascii="Times New Roman" w:hAnsi="Times New Roman" w:cs="Times New Roman"/>
          <w:lang w:val="en-US" w:eastAsia="zh-CN"/>
        </w:rPr>
      </w:pPr>
      <w:r>
        <w:rPr>
          <w:rFonts w:hint="default" w:ascii="Times New Roman" w:hAnsi="Times New Roman" w:cs="Times New Roman"/>
          <w:lang w:eastAsia="zh-CN"/>
        </w:rPr>
        <w:t>202</w:t>
      </w:r>
      <w:r>
        <w:rPr>
          <w:rFonts w:hint="default" w:ascii="Times New Roman" w:hAnsi="Times New Roman" w:cs="Times New Roman"/>
          <w:lang w:val="en-US" w:eastAsia="zh-CN"/>
        </w:rPr>
        <w:t>5</w:t>
      </w:r>
      <w:r>
        <w:rPr>
          <w:rFonts w:hint="default" w:ascii="Times New Roman" w:hAnsi="Times New Roman" w:cs="Times New Roman"/>
          <w:lang w:eastAsia="zh-CN"/>
        </w:rPr>
        <w:t>年</w:t>
      </w:r>
      <w:r>
        <w:rPr>
          <w:rFonts w:hint="default" w:ascii="Times New Roman" w:hAnsi="Times New Roman" w:cs="Times New Roman"/>
          <w:lang w:val="en-US" w:eastAsia="zh-CN"/>
        </w:rPr>
        <w:t>5</w:t>
      </w:r>
      <w:r>
        <w:rPr>
          <w:rFonts w:hint="default" w:ascii="Times New Roman" w:hAnsi="Times New Roman" w:cs="Times New Roman"/>
          <w:lang w:eastAsia="zh-CN"/>
        </w:rPr>
        <w:t>月，</w:t>
      </w:r>
      <w:r>
        <w:rPr>
          <w:rFonts w:hint="default" w:ascii="Times New Roman" w:hAnsi="Times New Roman" w:cs="Times New Roman"/>
        </w:rPr>
        <w:t>财政部、民政部</w:t>
      </w:r>
      <w:r>
        <w:rPr>
          <w:rFonts w:hint="default" w:ascii="Times New Roman" w:hAnsi="Times New Roman" w:cs="Times New Roman"/>
          <w:lang w:val="en-US" w:eastAsia="zh-CN"/>
        </w:rPr>
        <w:t>《关于下达2025年中央集中彩票公益金支持社会福利事业资金预算（第一批）的通知》（财社〔2025〕51号）下达新疆中央集中彩票公益金支持社会福利事业资金项目，资金-977万元。</w:t>
      </w:r>
    </w:p>
    <w:p w14:paraId="2BC940AA">
      <w:pPr>
        <w:bidi w:val="0"/>
        <w:rPr>
          <w:rFonts w:hint="default" w:ascii="Times New Roman" w:hAnsi="Times New Roman" w:cs="Times New Roman"/>
          <w:lang w:val="en-US" w:eastAsia="zh-CN"/>
        </w:rPr>
      </w:pPr>
      <w:r>
        <w:rPr>
          <w:rFonts w:hint="default" w:ascii="Times New Roman" w:hAnsi="Times New Roman" w:cs="Times New Roman"/>
          <w:lang w:val="en-US" w:eastAsia="zh-CN"/>
        </w:rPr>
        <w:t>2.下达绩效目标情况</w:t>
      </w:r>
    </w:p>
    <w:p w14:paraId="457087EF">
      <w:pPr>
        <w:bidi w:val="0"/>
        <w:rPr>
          <w:rFonts w:hint="default" w:ascii="Times New Roman" w:hAnsi="Times New Roman" w:eastAsia="方正仿宋_GBK" w:cs="Times New Roman"/>
          <w:b w:val="0"/>
          <w:bCs w:val="0"/>
          <w:szCs w:val="32"/>
          <w:highlight w:val="none"/>
          <w:lang w:val="en-US" w:eastAsia="zh-CN"/>
        </w:rPr>
      </w:pPr>
      <w:r>
        <w:rPr>
          <w:rFonts w:hint="default" w:ascii="Times New Roman" w:hAnsi="Times New Roman" w:cs="Times New Roman"/>
          <w:lang w:val="en-US" w:eastAsia="zh-CN"/>
        </w:rPr>
        <w:t>财政部随文下达新疆区域绩效目标，情况详见下表</w:t>
      </w:r>
      <w:r>
        <w:rPr>
          <w:rFonts w:hint="default" w:ascii="Times New Roman" w:hAnsi="Times New Roman" w:eastAsia="方正仿宋_GBK" w:cs="Times New Roman"/>
          <w:b w:val="0"/>
          <w:bCs w:val="0"/>
          <w:szCs w:val="32"/>
          <w:highlight w:val="none"/>
          <w:lang w:val="en-US" w:eastAsia="zh-CN"/>
        </w:rPr>
        <w:t>：</w:t>
      </w:r>
    </w:p>
    <w:tbl>
      <w:tblPr>
        <w:tblStyle w:val="12"/>
        <w:tblpPr w:leftFromText="180" w:rightFromText="180" w:vertAnchor="text" w:horzAnchor="page" w:tblpXSpec="center" w:tblpY="550"/>
        <w:tblOverlap w:val="never"/>
        <w:tblW w:w="95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1184"/>
        <w:gridCol w:w="2252"/>
        <w:gridCol w:w="3731"/>
        <w:gridCol w:w="1545"/>
      </w:tblGrid>
      <w:tr w14:paraId="2F27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 w:hRule="atLeast"/>
          <w:jc w:val="center"/>
        </w:trPr>
        <w:tc>
          <w:tcPr>
            <w:tcW w:w="9508" w:type="dxa"/>
            <w:gridSpan w:val="5"/>
            <w:tcBorders>
              <w:top w:val="nil"/>
              <w:left w:val="nil"/>
              <w:bottom w:val="nil"/>
              <w:right w:val="nil"/>
            </w:tcBorders>
            <w:vAlign w:val="center"/>
          </w:tcPr>
          <w:p w14:paraId="2BB70CF9">
            <w:pPr>
              <w:keepNext w:val="0"/>
              <w:keepLines w:val="0"/>
              <w:widowControl/>
              <w:suppressLineNumbers w:val="0"/>
              <w:ind w:firstLine="601" w:firstLineChars="200"/>
              <w:jc w:val="center"/>
              <w:textAlignment w:val="center"/>
              <w:rPr>
                <w:rFonts w:hint="default" w:ascii="Times New Roman" w:hAnsi="Times New Roman" w:eastAsia="宋体" w:cs="Times New Roman"/>
                <w:b/>
                <w:i w:val="0"/>
                <w:color w:val="000000"/>
                <w:sz w:val="36"/>
                <w:szCs w:val="36"/>
                <w:highlight w:val="none"/>
                <w:u w:val="none"/>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中央对地方转移支付区域绩效目标表</w:t>
            </w:r>
          </w:p>
        </w:tc>
      </w:tr>
      <w:tr w14:paraId="4330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 w:hRule="atLeast"/>
          <w:jc w:val="center"/>
        </w:trPr>
        <w:tc>
          <w:tcPr>
            <w:tcW w:w="9508" w:type="dxa"/>
            <w:gridSpan w:val="5"/>
            <w:tcBorders>
              <w:top w:val="nil"/>
              <w:left w:val="nil"/>
              <w:bottom w:val="nil"/>
              <w:right w:val="nil"/>
            </w:tcBorders>
            <w:vAlign w:val="center"/>
          </w:tcPr>
          <w:p w14:paraId="6E5F2316">
            <w:pPr>
              <w:keepNext w:val="0"/>
              <w:keepLines w:val="0"/>
              <w:widowControl/>
              <w:suppressLineNumbers w:val="0"/>
              <w:ind w:firstLine="400" w:firstLineChars="20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（202</w:t>
            </w:r>
            <w:r>
              <w:rPr>
                <w:rFonts w:hint="default" w:ascii="Times New Roman" w:hAnsi="Times New Roman" w:eastAsia="宋体" w:cs="Times New Roman"/>
                <w:i w:val="0"/>
                <w:color w:val="000000"/>
                <w:kern w:val="0"/>
                <w:sz w:val="18"/>
                <w:szCs w:val="18"/>
                <w:highlight w:val="none"/>
                <w:u w:val="none"/>
                <w:lang w:val="en-US" w:eastAsia="zh-CN" w:bidi="ar"/>
              </w:rPr>
              <w:t>5年度</w:t>
            </w:r>
            <w:r>
              <w:rPr>
                <w:rFonts w:hint="default" w:ascii="Times New Roman" w:hAnsi="Times New Roman" w:eastAsia="宋体" w:cs="Times New Roman"/>
                <w:i w:val="0"/>
                <w:color w:val="000000"/>
                <w:kern w:val="0"/>
                <w:sz w:val="20"/>
                <w:szCs w:val="20"/>
                <w:highlight w:val="none"/>
                <w:u w:val="none"/>
                <w:lang w:val="en-US" w:eastAsia="zh-CN" w:bidi="ar"/>
              </w:rPr>
              <w:t>）</w:t>
            </w:r>
          </w:p>
        </w:tc>
      </w:tr>
      <w:tr w14:paraId="7388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vAlign w:val="center"/>
          </w:tcPr>
          <w:p w14:paraId="1514A98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项目名称</w:t>
            </w:r>
          </w:p>
        </w:tc>
        <w:tc>
          <w:tcPr>
            <w:tcW w:w="7528" w:type="dxa"/>
            <w:gridSpan w:val="3"/>
            <w:tcBorders>
              <w:top w:val="single" w:color="000000" w:sz="4" w:space="0"/>
              <w:left w:val="single" w:color="000000" w:sz="4" w:space="0"/>
              <w:bottom w:val="single" w:color="000000" w:sz="4" w:space="0"/>
              <w:right w:val="single" w:color="000000" w:sz="4" w:space="0"/>
            </w:tcBorders>
            <w:vAlign w:val="center"/>
          </w:tcPr>
          <w:p w14:paraId="5F1882BF">
            <w:pPr>
              <w:keepNext w:val="0"/>
              <w:keepLines w:val="0"/>
              <w:widowControl/>
              <w:suppressLineNumbers w:val="0"/>
              <w:spacing w:line="240" w:lineRule="auto"/>
              <w:ind w:firstLine="360" w:firstLineChars="20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中央集中彩票公益金支持社会福利事业资金（第一批）</w:t>
            </w:r>
          </w:p>
        </w:tc>
      </w:tr>
      <w:tr w14:paraId="491E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vAlign w:val="center"/>
          </w:tcPr>
          <w:p w14:paraId="6476E18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中央主管部门</w:t>
            </w:r>
          </w:p>
        </w:tc>
        <w:tc>
          <w:tcPr>
            <w:tcW w:w="7528" w:type="dxa"/>
            <w:gridSpan w:val="3"/>
            <w:tcBorders>
              <w:top w:val="single" w:color="000000" w:sz="4" w:space="0"/>
              <w:left w:val="single" w:color="000000" w:sz="4" w:space="0"/>
              <w:bottom w:val="single" w:color="000000" w:sz="4" w:space="0"/>
              <w:right w:val="single" w:color="000000" w:sz="4" w:space="0"/>
            </w:tcBorders>
            <w:vAlign w:val="center"/>
          </w:tcPr>
          <w:p w14:paraId="743FCA4D">
            <w:pPr>
              <w:keepNext w:val="0"/>
              <w:keepLines w:val="0"/>
              <w:widowControl/>
              <w:suppressLineNumbers w:val="0"/>
              <w:spacing w:line="240" w:lineRule="auto"/>
              <w:ind w:firstLine="360" w:firstLineChars="20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[118]民政部</w:t>
            </w:r>
          </w:p>
        </w:tc>
      </w:tr>
      <w:tr w14:paraId="3273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vAlign w:val="center"/>
          </w:tcPr>
          <w:p w14:paraId="131D1E2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省级财政部门</w:t>
            </w:r>
          </w:p>
        </w:tc>
        <w:tc>
          <w:tcPr>
            <w:tcW w:w="2252" w:type="dxa"/>
            <w:tcBorders>
              <w:top w:val="single" w:color="000000" w:sz="4" w:space="0"/>
              <w:left w:val="single" w:color="000000" w:sz="4" w:space="0"/>
              <w:bottom w:val="single" w:color="000000" w:sz="4" w:space="0"/>
              <w:right w:val="single" w:color="000000" w:sz="4" w:space="0"/>
            </w:tcBorders>
            <w:vAlign w:val="center"/>
          </w:tcPr>
          <w:p w14:paraId="716F741D">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新疆维吾尔自治区财政厅</w:t>
            </w:r>
          </w:p>
        </w:tc>
        <w:tc>
          <w:tcPr>
            <w:tcW w:w="3731" w:type="dxa"/>
            <w:tcBorders>
              <w:top w:val="single" w:color="000000" w:sz="4" w:space="0"/>
              <w:left w:val="single" w:color="000000" w:sz="4" w:space="0"/>
              <w:bottom w:val="single" w:color="000000" w:sz="4" w:space="0"/>
              <w:right w:val="single" w:color="000000" w:sz="4" w:space="0"/>
            </w:tcBorders>
            <w:vAlign w:val="center"/>
          </w:tcPr>
          <w:p w14:paraId="3E32592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省级主管部门</w:t>
            </w:r>
          </w:p>
        </w:tc>
        <w:tc>
          <w:tcPr>
            <w:tcW w:w="1545" w:type="dxa"/>
            <w:tcBorders>
              <w:top w:val="single" w:color="000000" w:sz="4" w:space="0"/>
              <w:left w:val="single" w:color="000000" w:sz="4" w:space="0"/>
              <w:bottom w:val="single" w:color="000000" w:sz="4" w:space="0"/>
              <w:right w:val="single" w:color="000000" w:sz="4" w:space="0"/>
            </w:tcBorders>
            <w:vAlign w:val="center"/>
          </w:tcPr>
          <w:p w14:paraId="54FF1923">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新疆维吾尔自治区民政厅</w:t>
            </w:r>
          </w:p>
        </w:tc>
      </w:tr>
      <w:tr w14:paraId="25C6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796" w:type="dxa"/>
            <w:vMerge w:val="restart"/>
            <w:tcBorders>
              <w:top w:val="single" w:color="000000" w:sz="4" w:space="0"/>
              <w:left w:val="single" w:color="000000" w:sz="4" w:space="0"/>
              <w:bottom w:val="single" w:color="000000" w:sz="4" w:space="0"/>
              <w:right w:val="single" w:color="000000" w:sz="4" w:space="0"/>
            </w:tcBorders>
            <w:vAlign w:val="center"/>
          </w:tcPr>
          <w:p w14:paraId="61929D01">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资金情况（万元）</w:t>
            </w:r>
          </w:p>
        </w:tc>
        <w:tc>
          <w:tcPr>
            <w:tcW w:w="3436" w:type="dxa"/>
            <w:gridSpan w:val="2"/>
            <w:tcBorders>
              <w:top w:val="single" w:color="000000" w:sz="4" w:space="0"/>
              <w:left w:val="single" w:color="000000" w:sz="4" w:space="0"/>
              <w:bottom w:val="single" w:color="000000" w:sz="4" w:space="0"/>
              <w:right w:val="single" w:color="000000" w:sz="4" w:space="0"/>
            </w:tcBorders>
            <w:vAlign w:val="center"/>
          </w:tcPr>
          <w:p w14:paraId="6C773FC4">
            <w:pPr>
              <w:keepNext w:val="0"/>
              <w:keepLines w:val="0"/>
              <w:widowControl/>
              <w:suppressLineNumbers w:val="0"/>
              <w:spacing w:line="240" w:lineRule="auto"/>
              <w:ind w:firstLine="360" w:firstLineChars="200"/>
              <w:jc w:val="both"/>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下达资金总额</w:t>
            </w:r>
          </w:p>
        </w:tc>
        <w:tc>
          <w:tcPr>
            <w:tcW w:w="5276" w:type="dxa"/>
            <w:gridSpan w:val="2"/>
            <w:tcBorders>
              <w:top w:val="single" w:color="000000" w:sz="4" w:space="0"/>
              <w:left w:val="single" w:color="000000" w:sz="4" w:space="0"/>
              <w:bottom w:val="single" w:color="000000" w:sz="4" w:space="0"/>
              <w:right w:val="single" w:color="000000" w:sz="4" w:space="0"/>
            </w:tcBorders>
            <w:vAlign w:val="center"/>
          </w:tcPr>
          <w:p w14:paraId="635FF61E">
            <w:pPr>
              <w:keepNext w:val="0"/>
              <w:keepLines w:val="0"/>
              <w:widowControl/>
              <w:suppressLineNumbers w:val="0"/>
              <w:spacing w:line="240" w:lineRule="auto"/>
              <w:ind w:firstLine="360" w:firstLineChars="200"/>
              <w:jc w:val="center"/>
              <w:textAlignment w:val="center"/>
              <w:rPr>
                <w:rFonts w:hint="default" w:ascii="Times New Roman" w:hAnsi="Times New Roman" w:eastAsia="宋体" w:cs="Times New Roman"/>
                <w:i w:val="0"/>
                <w:color w:val="000000"/>
                <w:sz w:val="18"/>
                <w:szCs w:val="18"/>
                <w:highlight w:val="none"/>
                <w:u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11558</w:t>
            </w:r>
          </w:p>
        </w:tc>
      </w:tr>
      <w:tr w14:paraId="21E5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vAlign w:val="center"/>
          </w:tcPr>
          <w:p w14:paraId="18435A13">
            <w:pPr>
              <w:spacing w:line="240" w:lineRule="auto"/>
              <w:jc w:val="both"/>
              <w:rPr>
                <w:rFonts w:hint="default" w:ascii="Times New Roman" w:hAnsi="Times New Roman" w:eastAsia="宋体" w:cs="Times New Roman"/>
                <w:i w:val="0"/>
                <w:color w:val="000000"/>
                <w:sz w:val="18"/>
                <w:szCs w:val="18"/>
                <w:highlight w:val="none"/>
                <w:u w:val="none"/>
              </w:rPr>
            </w:pPr>
          </w:p>
        </w:tc>
        <w:tc>
          <w:tcPr>
            <w:tcW w:w="3436" w:type="dxa"/>
            <w:gridSpan w:val="2"/>
            <w:tcBorders>
              <w:top w:val="single" w:color="000000" w:sz="4" w:space="0"/>
              <w:left w:val="single" w:color="000000" w:sz="4" w:space="0"/>
              <w:bottom w:val="single" w:color="000000" w:sz="4" w:space="0"/>
              <w:right w:val="single" w:color="000000" w:sz="4" w:space="0"/>
            </w:tcBorders>
            <w:vAlign w:val="center"/>
          </w:tcPr>
          <w:p w14:paraId="5F674C2A">
            <w:pPr>
              <w:keepNext w:val="0"/>
              <w:keepLines w:val="0"/>
              <w:widowControl/>
              <w:suppressLineNumbers w:val="0"/>
              <w:spacing w:line="240" w:lineRule="auto"/>
              <w:ind w:firstLine="360" w:firstLineChars="200"/>
              <w:jc w:val="both"/>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其中：中央财政补助</w:t>
            </w:r>
          </w:p>
        </w:tc>
        <w:tc>
          <w:tcPr>
            <w:tcW w:w="5276" w:type="dxa"/>
            <w:gridSpan w:val="2"/>
            <w:tcBorders>
              <w:top w:val="single" w:color="000000" w:sz="4" w:space="0"/>
              <w:left w:val="single" w:color="000000" w:sz="4" w:space="0"/>
              <w:bottom w:val="single" w:color="000000" w:sz="4" w:space="0"/>
              <w:right w:val="single" w:color="000000" w:sz="4" w:space="0"/>
            </w:tcBorders>
            <w:vAlign w:val="center"/>
          </w:tcPr>
          <w:p w14:paraId="13AAEE33">
            <w:pPr>
              <w:keepNext w:val="0"/>
              <w:keepLines w:val="0"/>
              <w:widowControl/>
              <w:suppressLineNumbers w:val="0"/>
              <w:spacing w:line="240" w:lineRule="auto"/>
              <w:ind w:firstLine="360" w:firstLineChars="200"/>
              <w:jc w:val="center"/>
              <w:textAlignment w:val="center"/>
              <w:rPr>
                <w:rFonts w:hint="default" w:ascii="Times New Roman" w:hAnsi="Times New Roman" w:eastAsia="宋体" w:cs="Times New Roman"/>
                <w:i w:val="0"/>
                <w:color w:val="000000"/>
                <w:sz w:val="18"/>
                <w:szCs w:val="18"/>
                <w:highlight w:val="none"/>
                <w:u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11558</w:t>
            </w:r>
          </w:p>
        </w:tc>
      </w:tr>
      <w:tr w14:paraId="4A8A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vAlign w:val="center"/>
          </w:tcPr>
          <w:p w14:paraId="126C187E">
            <w:pPr>
              <w:spacing w:line="240" w:lineRule="auto"/>
              <w:jc w:val="both"/>
              <w:rPr>
                <w:rFonts w:hint="default" w:ascii="Times New Roman" w:hAnsi="Times New Roman" w:eastAsia="宋体" w:cs="Times New Roman"/>
                <w:i w:val="0"/>
                <w:color w:val="000000"/>
                <w:sz w:val="18"/>
                <w:szCs w:val="18"/>
                <w:highlight w:val="none"/>
                <w:u w:val="none"/>
              </w:rPr>
            </w:pPr>
          </w:p>
        </w:tc>
        <w:tc>
          <w:tcPr>
            <w:tcW w:w="3436" w:type="dxa"/>
            <w:gridSpan w:val="2"/>
            <w:tcBorders>
              <w:top w:val="single" w:color="000000" w:sz="4" w:space="0"/>
              <w:left w:val="single" w:color="000000" w:sz="4" w:space="0"/>
              <w:bottom w:val="single" w:color="000000" w:sz="4" w:space="0"/>
              <w:right w:val="single" w:color="000000" w:sz="4" w:space="0"/>
            </w:tcBorders>
            <w:vAlign w:val="center"/>
          </w:tcPr>
          <w:p w14:paraId="58221E6E">
            <w:pPr>
              <w:keepNext w:val="0"/>
              <w:keepLines w:val="0"/>
              <w:widowControl/>
              <w:suppressLineNumbers w:val="0"/>
              <w:spacing w:line="240" w:lineRule="auto"/>
              <w:ind w:firstLine="360" w:firstLineChars="200"/>
              <w:jc w:val="both"/>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地方资金</w:t>
            </w:r>
          </w:p>
        </w:tc>
        <w:tc>
          <w:tcPr>
            <w:tcW w:w="5276" w:type="dxa"/>
            <w:gridSpan w:val="2"/>
            <w:tcBorders>
              <w:top w:val="single" w:color="000000" w:sz="4" w:space="0"/>
              <w:left w:val="single" w:color="000000" w:sz="4" w:space="0"/>
              <w:bottom w:val="single" w:color="000000" w:sz="4" w:space="0"/>
              <w:right w:val="single" w:color="000000" w:sz="4" w:space="0"/>
            </w:tcBorders>
            <w:vAlign w:val="center"/>
          </w:tcPr>
          <w:p w14:paraId="016DD338">
            <w:pPr>
              <w:spacing w:line="240" w:lineRule="auto"/>
              <w:jc w:val="center"/>
              <w:rPr>
                <w:rFonts w:hint="default" w:ascii="Times New Roman" w:hAnsi="Times New Roman" w:eastAsia="宋体" w:cs="Times New Roman"/>
                <w:i w:val="0"/>
                <w:color w:val="000000"/>
                <w:sz w:val="18"/>
                <w:szCs w:val="18"/>
                <w:highlight w:val="none"/>
                <w:u w:val="none"/>
              </w:rPr>
            </w:pPr>
          </w:p>
        </w:tc>
      </w:tr>
      <w:tr w14:paraId="3224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796" w:type="dxa"/>
            <w:vMerge w:val="restart"/>
            <w:tcBorders>
              <w:top w:val="single" w:color="000000" w:sz="4" w:space="0"/>
              <w:left w:val="single" w:color="000000" w:sz="4" w:space="0"/>
              <w:bottom w:val="single" w:color="000000" w:sz="4" w:space="0"/>
              <w:right w:val="single" w:color="000000" w:sz="4" w:space="0"/>
            </w:tcBorders>
            <w:vAlign w:val="center"/>
          </w:tcPr>
          <w:p w14:paraId="3A6E699F">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年度</w:t>
            </w:r>
            <w:r>
              <w:rPr>
                <w:rFonts w:hint="default" w:ascii="Times New Roman" w:hAnsi="Times New Roman" w:eastAsia="宋体" w:cs="Times New Roman"/>
                <w:i w:val="0"/>
                <w:color w:val="000000"/>
                <w:kern w:val="0"/>
                <w:sz w:val="18"/>
                <w:szCs w:val="18"/>
                <w:highlight w:val="none"/>
                <w:u w:val="none"/>
                <w:lang w:val="en-US" w:eastAsia="zh-CN" w:bidi="ar"/>
              </w:rPr>
              <w:br w:type="textWrapping"/>
            </w:r>
            <w:r>
              <w:rPr>
                <w:rFonts w:hint="default" w:ascii="Times New Roman" w:hAnsi="Times New Roman" w:eastAsia="宋体" w:cs="Times New Roman"/>
                <w:i w:val="0"/>
                <w:color w:val="000000"/>
                <w:kern w:val="0"/>
                <w:sz w:val="18"/>
                <w:szCs w:val="18"/>
                <w:highlight w:val="none"/>
                <w:u w:val="none"/>
                <w:lang w:val="en-US" w:eastAsia="zh-CN" w:bidi="ar"/>
              </w:rPr>
              <w:t>总体</w:t>
            </w:r>
            <w:r>
              <w:rPr>
                <w:rFonts w:hint="default" w:ascii="Times New Roman" w:hAnsi="Times New Roman" w:eastAsia="宋体" w:cs="Times New Roman"/>
                <w:i w:val="0"/>
                <w:color w:val="000000"/>
                <w:kern w:val="0"/>
                <w:sz w:val="18"/>
                <w:szCs w:val="18"/>
                <w:highlight w:val="none"/>
                <w:u w:val="none"/>
                <w:lang w:val="en-US" w:eastAsia="zh-CN" w:bidi="ar"/>
              </w:rPr>
              <w:br w:type="textWrapping"/>
            </w:r>
            <w:r>
              <w:rPr>
                <w:rFonts w:hint="default" w:ascii="Times New Roman" w:hAnsi="Times New Roman" w:eastAsia="宋体" w:cs="Times New Roman"/>
                <w:i w:val="0"/>
                <w:color w:val="000000"/>
                <w:kern w:val="0"/>
                <w:sz w:val="18"/>
                <w:szCs w:val="18"/>
                <w:highlight w:val="none"/>
                <w:u w:val="none"/>
                <w:lang w:val="en-US" w:eastAsia="zh-CN" w:bidi="ar"/>
              </w:rPr>
              <w:t>目标</w:t>
            </w:r>
          </w:p>
        </w:tc>
        <w:tc>
          <w:tcPr>
            <w:tcW w:w="8712" w:type="dxa"/>
            <w:gridSpan w:val="4"/>
            <w:vMerge w:val="restart"/>
            <w:tcBorders>
              <w:top w:val="single" w:color="000000" w:sz="4" w:space="0"/>
              <w:left w:val="single" w:color="000000" w:sz="4" w:space="0"/>
              <w:bottom w:val="single" w:color="000000" w:sz="4" w:space="0"/>
              <w:right w:val="single" w:color="000000" w:sz="4" w:space="0"/>
            </w:tcBorders>
            <w:vAlign w:val="center"/>
          </w:tcPr>
          <w:p w14:paraId="7B2DA704">
            <w:pPr>
              <w:keepNext w:val="0"/>
              <w:keepLines w:val="0"/>
              <w:widowControl/>
              <w:numPr>
                <w:ilvl w:val="0"/>
                <w:numId w:val="0"/>
              </w:numPr>
              <w:suppressLineNumbers w:val="0"/>
              <w:spacing w:line="240" w:lineRule="auto"/>
              <w:ind w:leftChars="0"/>
              <w:jc w:val="both"/>
              <w:textAlignment w:val="center"/>
              <w:rPr>
                <w:rFonts w:hint="default" w:ascii="Times New Roman" w:hAnsi="Times New Roman" w:eastAsia="宋体" w:cs="Times New Roman"/>
                <w:i w:val="0"/>
                <w:color w:val="000000"/>
                <w:sz w:val="18"/>
                <w:szCs w:val="18"/>
                <w:highlight w:val="none"/>
                <w:u w:val="none"/>
                <w:lang w:eastAsia="zh-CN"/>
              </w:rPr>
            </w:pPr>
            <w:r>
              <w:rPr>
                <w:rFonts w:hint="default" w:ascii="Times New Roman" w:hAnsi="Times New Roman" w:eastAsia="宋体" w:cs="Times New Roman"/>
                <w:i w:val="0"/>
                <w:color w:val="000000"/>
                <w:sz w:val="18"/>
                <w:szCs w:val="18"/>
                <w:highlight w:val="none"/>
                <w:u w:val="none"/>
                <w:lang w:eastAsia="zh-CN"/>
              </w:rPr>
              <w:t>一、支持以服务生活困难和失能失智老年人为主的养老机构（含特困人员供养服务设施）、街道（乡镇）和社区养老服务设施维修改造和设备配置；</w:t>
            </w:r>
            <w:r>
              <w:rPr>
                <w:rFonts w:hint="default" w:ascii="Times New Roman" w:hAnsi="Times New Roman" w:eastAsia="宋体" w:cs="Times New Roman"/>
                <w:i w:val="0"/>
                <w:color w:val="000000"/>
                <w:sz w:val="18"/>
                <w:szCs w:val="18"/>
                <w:highlight w:val="none"/>
                <w:u w:val="none"/>
                <w:lang w:val="en-US" w:eastAsia="zh-CN"/>
              </w:rPr>
              <w:t>支持开展老年人能力评估</w:t>
            </w:r>
            <w:r>
              <w:rPr>
                <w:rFonts w:hint="default" w:ascii="Times New Roman" w:hAnsi="Times New Roman" w:eastAsia="宋体" w:cs="Times New Roman"/>
                <w:i w:val="0"/>
                <w:color w:val="000000"/>
                <w:sz w:val="18"/>
                <w:szCs w:val="18"/>
                <w:highlight w:val="none"/>
                <w:u w:val="none"/>
                <w:lang w:eastAsia="zh-CN"/>
              </w:rPr>
              <w:t>。</w:t>
            </w:r>
          </w:p>
          <w:p w14:paraId="70EC74AD">
            <w:pPr>
              <w:keepNext w:val="0"/>
              <w:keepLines w:val="0"/>
              <w:widowControl/>
              <w:numPr>
                <w:ilvl w:val="0"/>
                <w:numId w:val="0"/>
              </w:numPr>
              <w:suppressLineNumbers w:val="0"/>
              <w:spacing w:line="240" w:lineRule="auto"/>
              <w:ind w:leftChars="0"/>
              <w:jc w:val="both"/>
              <w:textAlignment w:val="center"/>
              <w:rPr>
                <w:rFonts w:hint="default" w:ascii="Times New Roman" w:hAnsi="Times New Roman" w:eastAsia="宋体" w:cs="Times New Roman"/>
                <w:i w:val="0"/>
                <w:color w:val="000000"/>
                <w:sz w:val="18"/>
                <w:szCs w:val="18"/>
                <w:highlight w:val="none"/>
                <w:u w:val="none"/>
                <w:lang w:eastAsia="zh-CN"/>
              </w:rPr>
            </w:pPr>
            <w:r>
              <w:rPr>
                <w:rFonts w:hint="default" w:ascii="Times New Roman" w:hAnsi="Times New Roman" w:eastAsia="宋体" w:cs="Times New Roman"/>
                <w:i w:val="0"/>
                <w:color w:val="000000"/>
                <w:sz w:val="18"/>
                <w:szCs w:val="18"/>
                <w:highlight w:val="none"/>
                <w:u w:val="none"/>
                <w:lang w:eastAsia="zh-CN"/>
              </w:rPr>
              <w:t>二、支持精神卫生社会福利机构、</w:t>
            </w:r>
            <w:r>
              <w:rPr>
                <w:rFonts w:hint="default" w:ascii="Times New Roman" w:hAnsi="Times New Roman" w:eastAsia="宋体" w:cs="Times New Roman"/>
                <w:i w:val="0"/>
                <w:color w:val="000000"/>
                <w:sz w:val="18"/>
                <w:szCs w:val="18"/>
                <w:highlight w:val="none"/>
                <w:u w:val="none"/>
                <w:lang w:val="en-US" w:eastAsia="zh-CN"/>
              </w:rPr>
              <w:t>民政直属康复辅助器具机构设施设备配置</w:t>
            </w:r>
            <w:r>
              <w:rPr>
                <w:rFonts w:hint="default" w:ascii="Times New Roman" w:hAnsi="Times New Roman" w:eastAsia="宋体" w:cs="Times New Roman"/>
                <w:i w:val="0"/>
                <w:color w:val="000000"/>
                <w:sz w:val="18"/>
                <w:szCs w:val="18"/>
                <w:highlight w:val="none"/>
                <w:u w:val="none"/>
                <w:lang w:eastAsia="zh-CN"/>
              </w:rPr>
              <w:t>。</w:t>
            </w:r>
          </w:p>
          <w:p w14:paraId="0A8B8626">
            <w:pPr>
              <w:keepNext w:val="0"/>
              <w:keepLines w:val="0"/>
              <w:widowControl/>
              <w:numPr>
                <w:ilvl w:val="0"/>
                <w:numId w:val="0"/>
              </w:numPr>
              <w:suppressLineNumbers w:val="0"/>
              <w:spacing w:line="240" w:lineRule="auto"/>
              <w:ind w:leftChars="0"/>
              <w:jc w:val="both"/>
              <w:textAlignment w:val="center"/>
              <w:rPr>
                <w:rFonts w:hint="default" w:ascii="Times New Roman" w:hAnsi="Times New Roman" w:eastAsia="宋体" w:cs="Times New Roman"/>
                <w:i w:val="0"/>
                <w:color w:val="000000"/>
                <w:sz w:val="18"/>
                <w:szCs w:val="18"/>
                <w:highlight w:val="none"/>
                <w:u w:val="none"/>
                <w:lang w:eastAsia="zh-CN"/>
              </w:rPr>
            </w:pPr>
            <w:r>
              <w:rPr>
                <w:rFonts w:hint="default" w:ascii="Times New Roman" w:hAnsi="Times New Roman" w:eastAsia="宋体" w:cs="Times New Roman"/>
                <w:i w:val="0"/>
                <w:color w:val="000000"/>
                <w:sz w:val="18"/>
                <w:szCs w:val="18"/>
                <w:highlight w:val="none"/>
                <w:u w:val="none"/>
                <w:lang w:eastAsia="zh-CN"/>
              </w:rPr>
              <w:t>三、支持儿童福利服务机构设施设备配置。</w:t>
            </w:r>
          </w:p>
          <w:p w14:paraId="7D9C6EE3">
            <w:pPr>
              <w:keepNext w:val="0"/>
              <w:keepLines w:val="0"/>
              <w:widowControl/>
              <w:numPr>
                <w:ilvl w:val="0"/>
                <w:numId w:val="0"/>
              </w:numPr>
              <w:suppressLineNumbers w:val="0"/>
              <w:spacing w:line="240" w:lineRule="auto"/>
              <w:ind w:leftChars="0"/>
              <w:jc w:val="both"/>
              <w:textAlignment w:val="center"/>
              <w:rPr>
                <w:rFonts w:hint="default" w:ascii="Times New Roman" w:hAnsi="Times New Roman" w:cs="Times New Roman"/>
                <w:sz w:val="18"/>
                <w:szCs w:val="18"/>
                <w:lang w:eastAsia="zh-CN"/>
              </w:rPr>
            </w:pPr>
            <w:r>
              <w:rPr>
                <w:rFonts w:hint="default" w:ascii="Times New Roman" w:hAnsi="Times New Roman" w:eastAsia="宋体" w:cs="Times New Roman"/>
                <w:i w:val="0"/>
                <w:color w:val="000000"/>
                <w:sz w:val="18"/>
                <w:szCs w:val="18"/>
                <w:highlight w:val="none"/>
                <w:u w:val="none"/>
                <w:lang w:eastAsia="zh-CN"/>
              </w:rPr>
              <w:t>四、支持殡葬设施设备配置。</w:t>
            </w:r>
          </w:p>
        </w:tc>
      </w:tr>
      <w:tr w14:paraId="0CC5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vAlign w:val="center"/>
          </w:tcPr>
          <w:p w14:paraId="494D99E5">
            <w:pPr>
              <w:spacing w:line="240" w:lineRule="auto"/>
              <w:jc w:val="both"/>
              <w:rPr>
                <w:rFonts w:hint="default" w:ascii="Times New Roman" w:hAnsi="Times New Roman" w:eastAsia="宋体" w:cs="Times New Roman"/>
                <w:i w:val="0"/>
                <w:color w:val="000000"/>
                <w:sz w:val="18"/>
                <w:szCs w:val="18"/>
                <w:highlight w:val="none"/>
                <w:u w:val="none"/>
              </w:rPr>
            </w:pPr>
          </w:p>
        </w:tc>
        <w:tc>
          <w:tcPr>
            <w:tcW w:w="8712"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B6E8023">
            <w:pPr>
              <w:spacing w:line="240" w:lineRule="auto"/>
              <w:jc w:val="both"/>
              <w:rPr>
                <w:rFonts w:hint="default" w:ascii="Times New Roman" w:hAnsi="Times New Roman" w:eastAsia="宋体" w:cs="Times New Roman"/>
                <w:i w:val="0"/>
                <w:color w:val="000000"/>
                <w:sz w:val="18"/>
                <w:szCs w:val="18"/>
                <w:highlight w:val="none"/>
                <w:u w:val="none"/>
              </w:rPr>
            </w:pPr>
          </w:p>
        </w:tc>
      </w:tr>
      <w:tr w14:paraId="1053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vAlign w:val="center"/>
          </w:tcPr>
          <w:p w14:paraId="25FD53D2">
            <w:pPr>
              <w:spacing w:line="240" w:lineRule="auto"/>
              <w:jc w:val="both"/>
              <w:rPr>
                <w:rFonts w:hint="default" w:ascii="Times New Roman" w:hAnsi="Times New Roman" w:eastAsia="宋体" w:cs="Times New Roman"/>
                <w:i w:val="0"/>
                <w:color w:val="000000"/>
                <w:sz w:val="18"/>
                <w:szCs w:val="18"/>
                <w:highlight w:val="none"/>
                <w:u w:val="none"/>
              </w:rPr>
            </w:pPr>
          </w:p>
        </w:tc>
        <w:tc>
          <w:tcPr>
            <w:tcW w:w="8712"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4953435">
            <w:pPr>
              <w:spacing w:line="240" w:lineRule="auto"/>
              <w:jc w:val="both"/>
              <w:rPr>
                <w:rFonts w:hint="default" w:ascii="Times New Roman" w:hAnsi="Times New Roman" w:eastAsia="宋体" w:cs="Times New Roman"/>
                <w:i w:val="0"/>
                <w:color w:val="000000"/>
                <w:sz w:val="18"/>
                <w:szCs w:val="18"/>
                <w:highlight w:val="none"/>
                <w:u w:val="none"/>
              </w:rPr>
            </w:pPr>
          </w:p>
        </w:tc>
      </w:tr>
      <w:tr w14:paraId="69EC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vAlign w:val="center"/>
          </w:tcPr>
          <w:p w14:paraId="16B2E840">
            <w:pPr>
              <w:spacing w:line="240" w:lineRule="auto"/>
              <w:jc w:val="both"/>
              <w:rPr>
                <w:rFonts w:hint="default" w:ascii="Times New Roman" w:hAnsi="Times New Roman" w:eastAsia="宋体" w:cs="Times New Roman"/>
                <w:i w:val="0"/>
                <w:color w:val="000000"/>
                <w:sz w:val="18"/>
                <w:szCs w:val="18"/>
                <w:highlight w:val="none"/>
                <w:u w:val="none"/>
              </w:rPr>
            </w:pPr>
          </w:p>
        </w:tc>
        <w:tc>
          <w:tcPr>
            <w:tcW w:w="8712"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C586B21">
            <w:pPr>
              <w:spacing w:line="240" w:lineRule="auto"/>
              <w:jc w:val="both"/>
              <w:rPr>
                <w:rFonts w:hint="default" w:ascii="Times New Roman" w:hAnsi="Times New Roman" w:eastAsia="宋体" w:cs="Times New Roman"/>
                <w:i w:val="0"/>
                <w:color w:val="000000"/>
                <w:sz w:val="18"/>
                <w:szCs w:val="18"/>
                <w:highlight w:val="none"/>
                <w:u w:val="none"/>
              </w:rPr>
            </w:pPr>
          </w:p>
        </w:tc>
      </w:tr>
      <w:tr w14:paraId="5714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vAlign w:val="center"/>
          </w:tcPr>
          <w:p w14:paraId="33F44B40">
            <w:pPr>
              <w:spacing w:line="240" w:lineRule="auto"/>
              <w:jc w:val="both"/>
              <w:rPr>
                <w:rFonts w:hint="default" w:ascii="Times New Roman" w:hAnsi="Times New Roman" w:eastAsia="宋体" w:cs="Times New Roman"/>
                <w:i w:val="0"/>
                <w:color w:val="000000"/>
                <w:sz w:val="18"/>
                <w:szCs w:val="18"/>
                <w:highlight w:val="none"/>
                <w:u w:val="none"/>
              </w:rPr>
            </w:pPr>
          </w:p>
        </w:tc>
        <w:tc>
          <w:tcPr>
            <w:tcW w:w="8712"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267CA2A">
            <w:pPr>
              <w:spacing w:line="240" w:lineRule="auto"/>
              <w:jc w:val="both"/>
              <w:rPr>
                <w:rFonts w:hint="default" w:ascii="Times New Roman" w:hAnsi="Times New Roman" w:eastAsia="宋体" w:cs="Times New Roman"/>
                <w:i w:val="0"/>
                <w:color w:val="000000"/>
                <w:sz w:val="18"/>
                <w:szCs w:val="18"/>
                <w:highlight w:val="none"/>
                <w:u w:val="none"/>
              </w:rPr>
            </w:pPr>
          </w:p>
        </w:tc>
      </w:tr>
      <w:tr w14:paraId="4AF1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vAlign w:val="center"/>
          </w:tcPr>
          <w:p w14:paraId="62324D08">
            <w:pPr>
              <w:spacing w:line="240" w:lineRule="auto"/>
              <w:jc w:val="both"/>
              <w:rPr>
                <w:rFonts w:hint="default" w:ascii="Times New Roman" w:hAnsi="Times New Roman" w:eastAsia="宋体" w:cs="Times New Roman"/>
                <w:i w:val="0"/>
                <w:color w:val="000000"/>
                <w:sz w:val="18"/>
                <w:szCs w:val="18"/>
                <w:highlight w:val="none"/>
                <w:u w:val="none"/>
              </w:rPr>
            </w:pPr>
          </w:p>
        </w:tc>
        <w:tc>
          <w:tcPr>
            <w:tcW w:w="8712"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46068E7">
            <w:pPr>
              <w:spacing w:line="240" w:lineRule="auto"/>
              <w:jc w:val="both"/>
              <w:rPr>
                <w:rFonts w:hint="default" w:ascii="Times New Roman" w:hAnsi="Times New Roman" w:eastAsia="宋体" w:cs="Times New Roman"/>
                <w:i w:val="0"/>
                <w:color w:val="000000"/>
                <w:sz w:val="18"/>
                <w:szCs w:val="18"/>
                <w:highlight w:val="none"/>
                <w:u w:val="none"/>
              </w:rPr>
            </w:pPr>
          </w:p>
        </w:tc>
      </w:tr>
      <w:tr w14:paraId="296B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5" w:hRule="atLeast"/>
          <w:jc w:val="center"/>
        </w:trPr>
        <w:tc>
          <w:tcPr>
            <w:tcW w:w="796"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04BCA80B">
            <w:pPr>
              <w:keepNext w:val="0"/>
              <w:keepLines w:val="0"/>
              <w:widowControl/>
              <w:suppressLineNumbers w:val="0"/>
              <w:spacing w:line="240" w:lineRule="auto"/>
              <w:ind w:firstLine="360" w:firstLineChars="20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绩效指标</w:t>
            </w:r>
          </w:p>
        </w:tc>
        <w:tc>
          <w:tcPr>
            <w:tcW w:w="1184" w:type="dxa"/>
            <w:tcBorders>
              <w:top w:val="single" w:color="000000" w:sz="4" w:space="0"/>
              <w:left w:val="single" w:color="000000" w:sz="4" w:space="0"/>
              <w:bottom w:val="single" w:color="000000" w:sz="4" w:space="0"/>
              <w:right w:val="single" w:color="000000" w:sz="4" w:space="0"/>
            </w:tcBorders>
            <w:vAlign w:val="center"/>
          </w:tcPr>
          <w:p w14:paraId="5933D53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一级指标</w:t>
            </w:r>
          </w:p>
        </w:tc>
        <w:tc>
          <w:tcPr>
            <w:tcW w:w="2252" w:type="dxa"/>
            <w:tcBorders>
              <w:top w:val="single" w:color="000000" w:sz="4" w:space="0"/>
              <w:left w:val="single" w:color="000000" w:sz="4" w:space="0"/>
              <w:bottom w:val="single" w:color="000000" w:sz="4" w:space="0"/>
              <w:right w:val="single" w:color="000000" w:sz="4" w:space="0"/>
            </w:tcBorders>
            <w:vAlign w:val="center"/>
          </w:tcPr>
          <w:p w14:paraId="4F00443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二级指标</w:t>
            </w:r>
          </w:p>
        </w:tc>
        <w:tc>
          <w:tcPr>
            <w:tcW w:w="3731" w:type="dxa"/>
            <w:tcBorders>
              <w:top w:val="single" w:color="000000" w:sz="4" w:space="0"/>
              <w:left w:val="single" w:color="000000" w:sz="4" w:space="0"/>
              <w:bottom w:val="single" w:color="000000" w:sz="4" w:space="0"/>
              <w:right w:val="single" w:color="000000" w:sz="4" w:space="0"/>
            </w:tcBorders>
            <w:vAlign w:val="center"/>
          </w:tcPr>
          <w:p w14:paraId="37F03FFB">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三级指标</w:t>
            </w:r>
          </w:p>
        </w:tc>
        <w:tc>
          <w:tcPr>
            <w:tcW w:w="1545" w:type="dxa"/>
            <w:tcBorders>
              <w:top w:val="single" w:color="000000" w:sz="4" w:space="0"/>
              <w:left w:val="single" w:color="000000" w:sz="4" w:space="0"/>
              <w:bottom w:val="single" w:color="000000" w:sz="4" w:space="0"/>
              <w:right w:val="single" w:color="000000" w:sz="4" w:space="0"/>
            </w:tcBorders>
            <w:vAlign w:val="center"/>
          </w:tcPr>
          <w:p w14:paraId="461022A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指标值</w:t>
            </w:r>
          </w:p>
        </w:tc>
      </w:tr>
      <w:tr w14:paraId="6E2E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3BB509">
            <w:pPr>
              <w:spacing w:line="240" w:lineRule="auto"/>
              <w:jc w:val="both"/>
              <w:rPr>
                <w:rFonts w:hint="default" w:ascii="Times New Roman" w:hAnsi="Times New Roman" w:eastAsia="宋体" w:cs="Times New Roman"/>
                <w:i w:val="0"/>
                <w:color w:val="000000"/>
                <w:sz w:val="18"/>
                <w:szCs w:val="18"/>
                <w:highlight w:val="none"/>
                <w:u w:val="none"/>
              </w:rPr>
            </w:pPr>
          </w:p>
        </w:tc>
        <w:tc>
          <w:tcPr>
            <w:tcW w:w="1184" w:type="dxa"/>
            <w:vMerge w:val="restart"/>
            <w:tcBorders>
              <w:top w:val="single" w:color="000000" w:sz="4" w:space="0"/>
              <w:left w:val="single" w:color="000000" w:sz="4" w:space="0"/>
              <w:right w:val="single" w:color="000000" w:sz="4" w:space="0"/>
            </w:tcBorders>
            <w:shd w:val="clear" w:color="auto" w:fill="auto"/>
            <w:vAlign w:val="center"/>
          </w:tcPr>
          <w:p w14:paraId="02C18B2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产出指标</w:t>
            </w:r>
          </w:p>
        </w:tc>
        <w:tc>
          <w:tcPr>
            <w:tcW w:w="2252" w:type="dxa"/>
            <w:vMerge w:val="restart"/>
            <w:tcBorders>
              <w:top w:val="nil"/>
              <w:left w:val="single" w:color="000000" w:sz="4" w:space="0"/>
              <w:bottom w:val="nil"/>
              <w:right w:val="single" w:color="000000" w:sz="4" w:space="0"/>
            </w:tcBorders>
            <w:shd w:val="clear" w:color="auto" w:fill="FFFFFF"/>
            <w:vAlign w:val="center"/>
          </w:tcPr>
          <w:p w14:paraId="3C0D93C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数量指标</w:t>
            </w:r>
          </w:p>
        </w:tc>
        <w:tc>
          <w:tcPr>
            <w:tcW w:w="3731" w:type="dxa"/>
            <w:tcBorders>
              <w:top w:val="single" w:color="000000" w:sz="4" w:space="0"/>
              <w:left w:val="single" w:color="000000" w:sz="4" w:space="0"/>
              <w:bottom w:val="single" w:color="000000" w:sz="4" w:space="0"/>
              <w:right w:val="single" w:color="000000" w:sz="4" w:space="0"/>
            </w:tcBorders>
            <w:vAlign w:val="center"/>
          </w:tcPr>
          <w:p w14:paraId="61D9710F">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宋体" w:cs="Times New Roman"/>
                <w:i w:val="0"/>
                <w:color w:val="000000"/>
                <w:sz w:val="18"/>
                <w:szCs w:val="18"/>
                <w:highlight w:val="none"/>
                <w:u w:val="none"/>
                <w:lang w:val="en"/>
              </w:rPr>
            </w:pPr>
            <w:r>
              <w:rPr>
                <w:rFonts w:hint="default" w:ascii="Times New Roman" w:hAnsi="Times New Roman" w:eastAsia="宋体" w:cs="Times New Roman"/>
                <w:i w:val="0"/>
                <w:color w:val="000000"/>
                <w:kern w:val="0"/>
                <w:sz w:val="18"/>
                <w:szCs w:val="18"/>
                <w:highlight w:val="none"/>
                <w:u w:val="none"/>
                <w:lang w:val="en-US" w:eastAsia="zh-CN" w:bidi="ar"/>
              </w:rPr>
              <w:t>维修改造养老服务机构数</w:t>
            </w:r>
          </w:p>
        </w:tc>
        <w:tc>
          <w:tcPr>
            <w:tcW w:w="1545" w:type="dxa"/>
            <w:tcBorders>
              <w:top w:val="single" w:color="000000" w:sz="4" w:space="0"/>
              <w:left w:val="single" w:color="000000" w:sz="4" w:space="0"/>
              <w:bottom w:val="single" w:color="000000" w:sz="4" w:space="0"/>
              <w:right w:val="single" w:color="000000" w:sz="4" w:space="0"/>
            </w:tcBorders>
            <w:vAlign w:val="center"/>
          </w:tcPr>
          <w:p w14:paraId="492E495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≥13个</w:t>
            </w:r>
          </w:p>
        </w:tc>
      </w:tr>
      <w:tr w14:paraId="33F0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2A4D67">
            <w:pPr>
              <w:spacing w:line="240" w:lineRule="auto"/>
              <w:jc w:val="both"/>
              <w:rPr>
                <w:rFonts w:hint="default" w:ascii="Times New Roman" w:hAnsi="Times New Roman" w:eastAsia="宋体" w:cs="Times New Roman"/>
                <w:i w:val="0"/>
                <w:color w:val="000000"/>
                <w:sz w:val="18"/>
                <w:szCs w:val="18"/>
                <w:highlight w:val="none"/>
                <w:u w:val="none"/>
              </w:rPr>
            </w:pPr>
          </w:p>
        </w:tc>
        <w:tc>
          <w:tcPr>
            <w:tcW w:w="1184" w:type="dxa"/>
            <w:vMerge w:val="continue"/>
            <w:tcBorders>
              <w:left w:val="single" w:color="000000" w:sz="4" w:space="0"/>
              <w:right w:val="single" w:color="000000" w:sz="4" w:space="0"/>
            </w:tcBorders>
            <w:shd w:val="clear" w:color="auto" w:fill="auto"/>
            <w:vAlign w:val="center"/>
          </w:tcPr>
          <w:p w14:paraId="7F7EFAA2">
            <w:pPr>
              <w:spacing w:line="240" w:lineRule="auto"/>
              <w:jc w:val="center"/>
              <w:rPr>
                <w:rFonts w:hint="default" w:ascii="Times New Roman" w:hAnsi="Times New Roman" w:eastAsia="宋体" w:cs="Times New Roman"/>
                <w:i w:val="0"/>
                <w:color w:val="000000"/>
                <w:sz w:val="18"/>
                <w:szCs w:val="18"/>
                <w:highlight w:val="none"/>
                <w:u w:val="none"/>
              </w:rPr>
            </w:pPr>
          </w:p>
        </w:tc>
        <w:tc>
          <w:tcPr>
            <w:tcW w:w="2252" w:type="dxa"/>
            <w:vMerge w:val="continue"/>
            <w:tcBorders>
              <w:top w:val="nil"/>
              <w:left w:val="single" w:color="000000" w:sz="4" w:space="0"/>
              <w:bottom w:val="nil"/>
              <w:right w:val="single" w:color="000000" w:sz="4" w:space="0"/>
            </w:tcBorders>
            <w:shd w:val="clear" w:color="auto" w:fill="FFFFFF"/>
            <w:vAlign w:val="center"/>
          </w:tcPr>
          <w:p w14:paraId="740DED17">
            <w:pPr>
              <w:spacing w:line="240" w:lineRule="auto"/>
              <w:jc w:val="center"/>
              <w:rPr>
                <w:rFonts w:hint="default" w:ascii="Times New Roman" w:hAnsi="Times New Roman" w:eastAsia="宋体" w:cs="Times New Roman"/>
                <w:i w:val="0"/>
                <w:color w:val="000000"/>
                <w:sz w:val="18"/>
                <w:szCs w:val="18"/>
                <w:highlight w:val="none"/>
                <w:u w:val="none"/>
              </w:rPr>
            </w:pPr>
          </w:p>
        </w:tc>
        <w:tc>
          <w:tcPr>
            <w:tcW w:w="3731" w:type="dxa"/>
            <w:tcBorders>
              <w:top w:val="single" w:color="000000" w:sz="4" w:space="0"/>
              <w:left w:val="single" w:color="000000" w:sz="4" w:space="0"/>
              <w:bottom w:val="single" w:color="000000" w:sz="4" w:space="0"/>
              <w:right w:val="single" w:color="000000" w:sz="4" w:space="0"/>
            </w:tcBorders>
            <w:vAlign w:val="center"/>
          </w:tcPr>
          <w:p w14:paraId="19A5225D">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养老服务机构护理型床位新增数</w:t>
            </w:r>
          </w:p>
        </w:tc>
        <w:tc>
          <w:tcPr>
            <w:tcW w:w="1545" w:type="dxa"/>
            <w:tcBorders>
              <w:top w:val="single" w:color="000000" w:sz="4" w:space="0"/>
              <w:left w:val="single" w:color="000000" w:sz="4" w:space="0"/>
              <w:bottom w:val="single" w:color="000000" w:sz="4" w:space="0"/>
              <w:right w:val="single" w:color="000000" w:sz="4" w:space="0"/>
            </w:tcBorders>
            <w:vAlign w:val="center"/>
          </w:tcPr>
          <w:p w14:paraId="51FEC0A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≥385张</w:t>
            </w:r>
          </w:p>
        </w:tc>
      </w:tr>
      <w:tr w14:paraId="5544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B4DB05">
            <w:pPr>
              <w:spacing w:line="240" w:lineRule="auto"/>
              <w:jc w:val="both"/>
              <w:rPr>
                <w:rFonts w:hint="default" w:ascii="Times New Roman" w:hAnsi="Times New Roman" w:eastAsia="宋体" w:cs="Times New Roman"/>
                <w:i w:val="0"/>
                <w:color w:val="000000"/>
                <w:sz w:val="18"/>
                <w:szCs w:val="18"/>
                <w:highlight w:val="none"/>
                <w:u w:val="none"/>
              </w:rPr>
            </w:pPr>
          </w:p>
        </w:tc>
        <w:tc>
          <w:tcPr>
            <w:tcW w:w="1184" w:type="dxa"/>
            <w:vMerge w:val="continue"/>
            <w:tcBorders>
              <w:left w:val="single" w:color="000000" w:sz="4" w:space="0"/>
              <w:right w:val="single" w:color="000000" w:sz="4" w:space="0"/>
            </w:tcBorders>
            <w:shd w:val="clear" w:color="auto" w:fill="auto"/>
            <w:vAlign w:val="center"/>
          </w:tcPr>
          <w:p w14:paraId="0CD591D3">
            <w:pPr>
              <w:spacing w:line="240" w:lineRule="auto"/>
              <w:jc w:val="center"/>
              <w:rPr>
                <w:rFonts w:hint="default" w:ascii="Times New Roman" w:hAnsi="Times New Roman" w:eastAsia="宋体" w:cs="Times New Roman"/>
                <w:i w:val="0"/>
                <w:color w:val="000000"/>
                <w:sz w:val="18"/>
                <w:szCs w:val="18"/>
                <w:highlight w:val="none"/>
                <w:u w:val="none"/>
              </w:rPr>
            </w:pPr>
          </w:p>
        </w:tc>
        <w:tc>
          <w:tcPr>
            <w:tcW w:w="2252" w:type="dxa"/>
            <w:vMerge w:val="continue"/>
            <w:tcBorders>
              <w:top w:val="nil"/>
              <w:left w:val="single" w:color="000000" w:sz="4" w:space="0"/>
              <w:bottom w:val="nil"/>
              <w:right w:val="single" w:color="000000" w:sz="4" w:space="0"/>
            </w:tcBorders>
            <w:shd w:val="clear" w:color="auto" w:fill="FFFFFF"/>
            <w:vAlign w:val="center"/>
          </w:tcPr>
          <w:p w14:paraId="20006EED">
            <w:pPr>
              <w:spacing w:line="240" w:lineRule="auto"/>
              <w:jc w:val="center"/>
              <w:rPr>
                <w:rFonts w:hint="default" w:ascii="Times New Roman" w:hAnsi="Times New Roman" w:eastAsia="宋体" w:cs="Times New Roman"/>
                <w:i w:val="0"/>
                <w:color w:val="000000"/>
                <w:sz w:val="18"/>
                <w:szCs w:val="18"/>
                <w:highlight w:val="none"/>
                <w:u w:val="none"/>
              </w:rPr>
            </w:pPr>
          </w:p>
        </w:tc>
        <w:tc>
          <w:tcPr>
            <w:tcW w:w="3731" w:type="dxa"/>
            <w:tcBorders>
              <w:top w:val="single" w:color="000000" w:sz="4" w:space="0"/>
              <w:left w:val="single" w:color="000000" w:sz="4" w:space="0"/>
              <w:bottom w:val="single" w:color="000000" w:sz="4" w:space="0"/>
              <w:right w:val="single" w:color="000000" w:sz="4" w:space="0"/>
            </w:tcBorders>
            <w:vAlign w:val="center"/>
          </w:tcPr>
          <w:p w14:paraId="757CDCBB">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宋体" w:cs="Times New Roman"/>
                <w:i w:val="0"/>
                <w:color w:val="000000"/>
                <w:sz w:val="18"/>
                <w:szCs w:val="18"/>
                <w:highlight w:val="none"/>
                <w:u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老年人能力评估人次数</w:t>
            </w:r>
          </w:p>
        </w:tc>
        <w:tc>
          <w:tcPr>
            <w:tcW w:w="1545" w:type="dxa"/>
            <w:tcBorders>
              <w:top w:val="single" w:color="000000" w:sz="4" w:space="0"/>
              <w:left w:val="single" w:color="000000" w:sz="4" w:space="0"/>
              <w:bottom w:val="single" w:color="000000" w:sz="4" w:space="0"/>
              <w:right w:val="single" w:color="000000" w:sz="4" w:space="0"/>
            </w:tcBorders>
            <w:vAlign w:val="center"/>
          </w:tcPr>
          <w:p w14:paraId="7C70791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≥3000人次</w:t>
            </w:r>
          </w:p>
        </w:tc>
      </w:tr>
      <w:tr w14:paraId="5908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4"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903F6E">
            <w:pPr>
              <w:spacing w:line="240" w:lineRule="auto"/>
              <w:jc w:val="both"/>
              <w:rPr>
                <w:rFonts w:hint="default" w:ascii="Times New Roman" w:hAnsi="Times New Roman" w:eastAsia="宋体" w:cs="Times New Roman"/>
                <w:i w:val="0"/>
                <w:color w:val="000000"/>
                <w:sz w:val="18"/>
                <w:szCs w:val="18"/>
                <w:highlight w:val="none"/>
                <w:u w:val="none"/>
              </w:rPr>
            </w:pPr>
          </w:p>
        </w:tc>
        <w:tc>
          <w:tcPr>
            <w:tcW w:w="1184" w:type="dxa"/>
            <w:vMerge w:val="continue"/>
            <w:tcBorders>
              <w:left w:val="single" w:color="000000" w:sz="4" w:space="0"/>
              <w:right w:val="single" w:color="000000" w:sz="4" w:space="0"/>
            </w:tcBorders>
            <w:shd w:val="clear" w:color="auto" w:fill="auto"/>
            <w:vAlign w:val="center"/>
          </w:tcPr>
          <w:p w14:paraId="0F0F6904">
            <w:pPr>
              <w:spacing w:line="240" w:lineRule="auto"/>
              <w:jc w:val="center"/>
              <w:rPr>
                <w:rFonts w:hint="default" w:ascii="Times New Roman" w:hAnsi="Times New Roman" w:eastAsia="宋体" w:cs="Times New Roman"/>
                <w:i w:val="0"/>
                <w:color w:val="000000"/>
                <w:sz w:val="18"/>
                <w:szCs w:val="18"/>
                <w:highlight w:val="none"/>
                <w:u w:val="none"/>
              </w:rPr>
            </w:pPr>
          </w:p>
        </w:tc>
        <w:tc>
          <w:tcPr>
            <w:tcW w:w="2252" w:type="dxa"/>
            <w:vMerge w:val="continue"/>
            <w:tcBorders>
              <w:top w:val="nil"/>
              <w:left w:val="single" w:color="000000" w:sz="4" w:space="0"/>
              <w:bottom w:val="nil"/>
              <w:right w:val="single" w:color="000000" w:sz="4" w:space="0"/>
            </w:tcBorders>
            <w:shd w:val="clear" w:color="auto" w:fill="FFFFFF"/>
            <w:vAlign w:val="center"/>
          </w:tcPr>
          <w:p w14:paraId="4A7FA198">
            <w:pPr>
              <w:spacing w:line="240" w:lineRule="auto"/>
              <w:jc w:val="center"/>
              <w:rPr>
                <w:rFonts w:hint="default" w:ascii="Times New Roman" w:hAnsi="Times New Roman" w:eastAsia="宋体" w:cs="Times New Roman"/>
                <w:i w:val="0"/>
                <w:color w:val="000000"/>
                <w:sz w:val="18"/>
                <w:szCs w:val="18"/>
                <w:highlight w:val="none"/>
                <w:u w:val="none"/>
              </w:rPr>
            </w:pPr>
          </w:p>
        </w:tc>
        <w:tc>
          <w:tcPr>
            <w:tcW w:w="3731" w:type="dxa"/>
            <w:tcBorders>
              <w:top w:val="single" w:color="000000" w:sz="4" w:space="0"/>
              <w:left w:val="single" w:color="000000" w:sz="4" w:space="0"/>
              <w:bottom w:val="single" w:color="000000" w:sz="4" w:space="0"/>
              <w:right w:val="single" w:color="000000" w:sz="4" w:space="0"/>
            </w:tcBorders>
            <w:vAlign w:val="center"/>
          </w:tcPr>
          <w:p w14:paraId="25D3E223">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宋体" w:cs="Times New Roman"/>
                <w:i w:val="0"/>
                <w:color w:val="000000"/>
                <w:sz w:val="18"/>
                <w:szCs w:val="18"/>
                <w:highlight w:val="none"/>
                <w:u w:val="none"/>
                <w:lang w:eastAsia="zh-CN"/>
              </w:rPr>
            </w:pPr>
            <w:r>
              <w:rPr>
                <w:rFonts w:hint="default" w:ascii="Times New Roman" w:hAnsi="Times New Roman" w:eastAsia="宋体" w:cs="Times New Roman"/>
                <w:i w:val="0"/>
                <w:color w:val="000000"/>
                <w:sz w:val="18"/>
                <w:szCs w:val="18"/>
                <w:highlight w:val="none"/>
                <w:u w:val="none"/>
                <w:lang w:eastAsia="zh-CN"/>
              </w:rPr>
              <w:t>精神卫生社会福利机构</w:t>
            </w:r>
            <w:r>
              <w:rPr>
                <w:rFonts w:hint="default" w:ascii="Times New Roman" w:hAnsi="Times New Roman" w:eastAsia="宋体" w:cs="Times New Roman"/>
                <w:i w:val="0"/>
                <w:color w:val="000000"/>
                <w:sz w:val="18"/>
                <w:szCs w:val="18"/>
                <w:highlight w:val="none"/>
                <w:u w:val="none"/>
                <w:lang w:val="en-US" w:eastAsia="zh-CN"/>
              </w:rPr>
              <w:t>和</w:t>
            </w:r>
            <w:r>
              <w:rPr>
                <w:rFonts w:hint="default" w:ascii="Times New Roman" w:hAnsi="Times New Roman" w:eastAsia="宋体" w:cs="Times New Roman"/>
                <w:i w:val="0"/>
                <w:color w:val="000000"/>
                <w:sz w:val="18"/>
                <w:szCs w:val="18"/>
                <w:highlight w:val="none"/>
                <w:u w:val="none"/>
                <w:lang w:eastAsia="zh-CN"/>
              </w:rPr>
              <w:t>民政直属康复辅助器具机构</w:t>
            </w:r>
            <w:r>
              <w:rPr>
                <w:rFonts w:hint="default" w:ascii="Times New Roman" w:hAnsi="Times New Roman" w:eastAsia="宋体" w:cs="Times New Roman"/>
                <w:i w:val="0"/>
                <w:color w:val="000000"/>
                <w:sz w:val="18"/>
                <w:szCs w:val="18"/>
                <w:highlight w:val="none"/>
                <w:u w:val="none"/>
                <w:lang w:val="en-US" w:eastAsia="zh-CN"/>
              </w:rPr>
              <w:t>新配置</w:t>
            </w:r>
            <w:r>
              <w:rPr>
                <w:rFonts w:hint="default" w:ascii="Times New Roman" w:hAnsi="Times New Roman" w:eastAsia="宋体" w:cs="Times New Roman"/>
                <w:i w:val="0"/>
                <w:color w:val="000000"/>
                <w:sz w:val="18"/>
                <w:szCs w:val="18"/>
                <w:highlight w:val="none"/>
                <w:u w:val="none"/>
                <w:lang w:eastAsia="zh-CN"/>
              </w:rPr>
              <w:t>设施设备</w:t>
            </w:r>
            <w:r>
              <w:rPr>
                <w:rFonts w:hint="default" w:ascii="Times New Roman" w:hAnsi="Times New Roman" w:eastAsia="宋体" w:cs="Times New Roman"/>
                <w:i w:val="0"/>
                <w:color w:val="000000"/>
                <w:sz w:val="18"/>
                <w:szCs w:val="18"/>
                <w:highlight w:val="none"/>
                <w:u w:val="none"/>
                <w:lang w:val="en-US" w:eastAsia="zh-CN"/>
              </w:rPr>
              <w:t>数量</w:t>
            </w:r>
          </w:p>
        </w:tc>
        <w:tc>
          <w:tcPr>
            <w:tcW w:w="1545" w:type="dxa"/>
            <w:tcBorders>
              <w:top w:val="single" w:color="000000" w:sz="4" w:space="0"/>
              <w:left w:val="single" w:color="000000" w:sz="4" w:space="0"/>
              <w:bottom w:val="single" w:color="000000" w:sz="4" w:space="0"/>
              <w:right w:val="single" w:color="000000" w:sz="4" w:space="0"/>
            </w:tcBorders>
            <w:vAlign w:val="center"/>
          </w:tcPr>
          <w:p w14:paraId="629063F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≥1台（套）</w:t>
            </w:r>
          </w:p>
        </w:tc>
      </w:tr>
      <w:tr w14:paraId="661A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8772B8">
            <w:pPr>
              <w:spacing w:line="240" w:lineRule="auto"/>
              <w:jc w:val="both"/>
              <w:rPr>
                <w:rFonts w:hint="default" w:ascii="Times New Roman" w:hAnsi="Times New Roman" w:eastAsia="宋体" w:cs="Times New Roman"/>
                <w:i w:val="0"/>
                <w:color w:val="000000"/>
                <w:sz w:val="18"/>
                <w:szCs w:val="18"/>
                <w:highlight w:val="none"/>
                <w:u w:val="none"/>
              </w:rPr>
            </w:pPr>
          </w:p>
        </w:tc>
        <w:tc>
          <w:tcPr>
            <w:tcW w:w="1184" w:type="dxa"/>
            <w:vMerge w:val="continue"/>
            <w:tcBorders>
              <w:left w:val="single" w:color="000000" w:sz="4" w:space="0"/>
              <w:right w:val="single" w:color="000000" w:sz="4" w:space="0"/>
            </w:tcBorders>
            <w:shd w:val="clear" w:color="auto" w:fill="auto"/>
            <w:vAlign w:val="center"/>
          </w:tcPr>
          <w:p w14:paraId="5EC5B060">
            <w:pPr>
              <w:spacing w:line="240" w:lineRule="auto"/>
              <w:jc w:val="center"/>
              <w:rPr>
                <w:rFonts w:hint="default" w:ascii="Times New Roman" w:hAnsi="Times New Roman" w:eastAsia="宋体" w:cs="Times New Roman"/>
                <w:i w:val="0"/>
                <w:color w:val="000000"/>
                <w:sz w:val="18"/>
                <w:szCs w:val="18"/>
                <w:highlight w:val="none"/>
                <w:u w:val="none"/>
              </w:rPr>
            </w:pPr>
          </w:p>
        </w:tc>
        <w:tc>
          <w:tcPr>
            <w:tcW w:w="2252" w:type="dxa"/>
            <w:vMerge w:val="continue"/>
            <w:tcBorders>
              <w:top w:val="nil"/>
              <w:left w:val="single" w:color="000000" w:sz="4" w:space="0"/>
              <w:bottom w:val="nil"/>
              <w:right w:val="single" w:color="000000" w:sz="4" w:space="0"/>
            </w:tcBorders>
            <w:shd w:val="clear" w:color="auto" w:fill="FFFFFF"/>
            <w:vAlign w:val="center"/>
          </w:tcPr>
          <w:p w14:paraId="4A676FFB">
            <w:pPr>
              <w:spacing w:line="240" w:lineRule="auto"/>
              <w:jc w:val="center"/>
              <w:rPr>
                <w:rFonts w:hint="default" w:ascii="Times New Roman" w:hAnsi="Times New Roman" w:eastAsia="宋体" w:cs="Times New Roman"/>
                <w:i w:val="0"/>
                <w:color w:val="000000"/>
                <w:sz w:val="18"/>
                <w:szCs w:val="18"/>
                <w:highlight w:val="none"/>
                <w:u w:val="none"/>
              </w:rPr>
            </w:pPr>
          </w:p>
        </w:tc>
        <w:tc>
          <w:tcPr>
            <w:tcW w:w="3731" w:type="dxa"/>
            <w:tcBorders>
              <w:top w:val="single" w:color="000000" w:sz="4" w:space="0"/>
              <w:left w:val="single" w:color="000000" w:sz="4" w:space="0"/>
              <w:bottom w:val="single" w:color="000000" w:sz="4" w:space="0"/>
              <w:right w:val="single" w:color="000000" w:sz="4" w:space="0"/>
            </w:tcBorders>
            <w:vAlign w:val="center"/>
          </w:tcPr>
          <w:p w14:paraId="0DE06787">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宋体" w:cs="Times New Roman"/>
                <w:i w:val="0"/>
                <w:color w:val="000000"/>
                <w:sz w:val="18"/>
                <w:szCs w:val="18"/>
                <w:highlight w:val="none"/>
                <w:u w:val="none"/>
                <w:lang w:eastAsia="zh-CN"/>
              </w:rPr>
            </w:pPr>
            <w:r>
              <w:rPr>
                <w:rFonts w:hint="default" w:ascii="Times New Roman" w:hAnsi="Times New Roman" w:eastAsia="宋体" w:cs="Times New Roman"/>
                <w:i w:val="0"/>
                <w:color w:val="000000"/>
                <w:sz w:val="18"/>
                <w:szCs w:val="18"/>
                <w:highlight w:val="none"/>
                <w:u w:val="none"/>
                <w:lang w:eastAsia="zh-CN"/>
              </w:rPr>
              <w:t>儿童福利服务机构新配置设施设备数</w:t>
            </w:r>
          </w:p>
        </w:tc>
        <w:tc>
          <w:tcPr>
            <w:tcW w:w="1545" w:type="dxa"/>
            <w:tcBorders>
              <w:top w:val="single" w:color="000000" w:sz="4" w:space="0"/>
              <w:left w:val="single" w:color="000000" w:sz="4" w:space="0"/>
              <w:bottom w:val="single" w:color="000000" w:sz="4" w:space="0"/>
              <w:right w:val="single" w:color="000000" w:sz="4" w:space="0"/>
            </w:tcBorders>
            <w:vAlign w:val="center"/>
          </w:tcPr>
          <w:p w14:paraId="68F1D1C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≥4台（套）</w:t>
            </w:r>
          </w:p>
        </w:tc>
      </w:tr>
      <w:tr w14:paraId="2EB3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6683DA">
            <w:pPr>
              <w:spacing w:line="240" w:lineRule="auto"/>
              <w:jc w:val="both"/>
              <w:rPr>
                <w:rFonts w:hint="default" w:ascii="Times New Roman" w:hAnsi="Times New Roman" w:eastAsia="宋体" w:cs="Times New Roman"/>
                <w:i w:val="0"/>
                <w:color w:val="000000"/>
                <w:sz w:val="18"/>
                <w:szCs w:val="18"/>
                <w:highlight w:val="none"/>
                <w:u w:val="none"/>
              </w:rPr>
            </w:pPr>
          </w:p>
        </w:tc>
        <w:tc>
          <w:tcPr>
            <w:tcW w:w="1184" w:type="dxa"/>
            <w:vMerge w:val="continue"/>
            <w:tcBorders>
              <w:left w:val="single" w:color="000000" w:sz="4" w:space="0"/>
              <w:right w:val="single" w:color="000000" w:sz="4" w:space="0"/>
            </w:tcBorders>
            <w:shd w:val="clear" w:color="auto" w:fill="auto"/>
            <w:vAlign w:val="center"/>
          </w:tcPr>
          <w:p w14:paraId="4E2646C6">
            <w:pPr>
              <w:spacing w:line="240" w:lineRule="auto"/>
              <w:jc w:val="center"/>
              <w:rPr>
                <w:rFonts w:hint="default" w:ascii="Times New Roman" w:hAnsi="Times New Roman" w:eastAsia="宋体" w:cs="Times New Roman"/>
                <w:i w:val="0"/>
                <w:color w:val="000000"/>
                <w:sz w:val="18"/>
                <w:szCs w:val="18"/>
                <w:highlight w:val="none"/>
                <w:u w:val="none"/>
              </w:rPr>
            </w:pPr>
          </w:p>
        </w:tc>
        <w:tc>
          <w:tcPr>
            <w:tcW w:w="2252" w:type="dxa"/>
            <w:vMerge w:val="continue"/>
            <w:tcBorders>
              <w:top w:val="nil"/>
              <w:left w:val="single" w:color="000000" w:sz="4" w:space="0"/>
              <w:bottom w:val="nil"/>
              <w:right w:val="single" w:color="000000" w:sz="4" w:space="0"/>
            </w:tcBorders>
            <w:shd w:val="clear" w:color="auto" w:fill="FFFFFF"/>
            <w:vAlign w:val="center"/>
          </w:tcPr>
          <w:p w14:paraId="45E2E8D8">
            <w:pPr>
              <w:spacing w:line="240" w:lineRule="auto"/>
              <w:jc w:val="center"/>
              <w:rPr>
                <w:rFonts w:hint="default" w:ascii="Times New Roman" w:hAnsi="Times New Roman" w:eastAsia="宋体" w:cs="Times New Roman"/>
                <w:i w:val="0"/>
                <w:color w:val="000000"/>
                <w:sz w:val="18"/>
                <w:szCs w:val="18"/>
                <w:highlight w:val="none"/>
                <w:u w:val="none"/>
              </w:rPr>
            </w:pPr>
          </w:p>
        </w:tc>
        <w:tc>
          <w:tcPr>
            <w:tcW w:w="3731" w:type="dxa"/>
            <w:tcBorders>
              <w:top w:val="single" w:color="000000" w:sz="4" w:space="0"/>
              <w:left w:val="single" w:color="000000" w:sz="4" w:space="0"/>
              <w:bottom w:val="single" w:color="000000" w:sz="4" w:space="0"/>
              <w:right w:val="single" w:color="000000" w:sz="4" w:space="0"/>
            </w:tcBorders>
            <w:vAlign w:val="center"/>
          </w:tcPr>
          <w:p w14:paraId="1EAF7123">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殡葬设施设备配置数量</w:t>
            </w:r>
          </w:p>
        </w:tc>
        <w:tc>
          <w:tcPr>
            <w:tcW w:w="1545" w:type="dxa"/>
            <w:tcBorders>
              <w:top w:val="single" w:color="000000" w:sz="4" w:space="0"/>
              <w:left w:val="single" w:color="000000" w:sz="4" w:space="0"/>
              <w:bottom w:val="single" w:color="000000" w:sz="4" w:space="0"/>
              <w:right w:val="single" w:color="000000" w:sz="4" w:space="0"/>
            </w:tcBorders>
            <w:vAlign w:val="center"/>
          </w:tcPr>
          <w:p w14:paraId="156F219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≥2台（套）</w:t>
            </w:r>
          </w:p>
        </w:tc>
      </w:tr>
      <w:tr w14:paraId="4471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55C6D4">
            <w:pPr>
              <w:spacing w:line="240" w:lineRule="auto"/>
              <w:jc w:val="both"/>
              <w:rPr>
                <w:rFonts w:hint="default" w:ascii="Times New Roman" w:hAnsi="Times New Roman" w:eastAsia="宋体" w:cs="Times New Roman"/>
                <w:i w:val="0"/>
                <w:color w:val="000000"/>
                <w:sz w:val="18"/>
                <w:szCs w:val="18"/>
                <w:highlight w:val="none"/>
                <w:u w:val="none"/>
              </w:rPr>
            </w:pPr>
          </w:p>
        </w:tc>
        <w:tc>
          <w:tcPr>
            <w:tcW w:w="1184" w:type="dxa"/>
            <w:vMerge w:val="continue"/>
            <w:tcBorders>
              <w:left w:val="single" w:color="000000" w:sz="4" w:space="0"/>
              <w:right w:val="single" w:color="000000" w:sz="4" w:space="0"/>
            </w:tcBorders>
            <w:shd w:val="clear" w:color="auto" w:fill="auto"/>
            <w:vAlign w:val="center"/>
          </w:tcPr>
          <w:p w14:paraId="7E79D3F4">
            <w:pPr>
              <w:spacing w:line="240" w:lineRule="auto"/>
              <w:jc w:val="center"/>
              <w:rPr>
                <w:rFonts w:hint="default" w:ascii="Times New Roman" w:hAnsi="Times New Roman" w:eastAsia="宋体" w:cs="Times New Roman"/>
                <w:i w:val="0"/>
                <w:color w:val="000000"/>
                <w:sz w:val="18"/>
                <w:szCs w:val="18"/>
                <w:highlight w:val="none"/>
                <w:u w:val="none"/>
              </w:rPr>
            </w:pPr>
          </w:p>
        </w:tc>
        <w:tc>
          <w:tcPr>
            <w:tcW w:w="2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FC77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质量指标</w:t>
            </w:r>
          </w:p>
        </w:tc>
        <w:tc>
          <w:tcPr>
            <w:tcW w:w="3731" w:type="dxa"/>
            <w:tcBorders>
              <w:top w:val="single" w:color="000000" w:sz="4" w:space="0"/>
              <w:left w:val="single" w:color="000000" w:sz="4" w:space="0"/>
              <w:bottom w:val="single" w:color="000000" w:sz="4" w:space="0"/>
              <w:right w:val="single" w:color="000000" w:sz="4" w:space="0"/>
            </w:tcBorders>
            <w:vAlign w:val="center"/>
          </w:tcPr>
          <w:p w14:paraId="4A5829F2">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宋体" w:cs="Times New Roman"/>
                <w:i w:val="0"/>
                <w:color w:val="000000"/>
                <w:sz w:val="18"/>
                <w:szCs w:val="18"/>
                <w:highlight w:val="none"/>
                <w:u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配置的设施设备验收合格率</w:t>
            </w:r>
          </w:p>
        </w:tc>
        <w:tc>
          <w:tcPr>
            <w:tcW w:w="1545" w:type="dxa"/>
            <w:tcBorders>
              <w:top w:val="single" w:color="000000" w:sz="4" w:space="0"/>
              <w:left w:val="single" w:color="000000" w:sz="4" w:space="0"/>
              <w:bottom w:val="single" w:color="000000" w:sz="4" w:space="0"/>
              <w:right w:val="single" w:color="000000" w:sz="4" w:space="0"/>
            </w:tcBorders>
            <w:vAlign w:val="center"/>
          </w:tcPr>
          <w:p w14:paraId="75C1827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100%</w:t>
            </w:r>
          </w:p>
        </w:tc>
      </w:tr>
      <w:tr w14:paraId="2FDF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9"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D474C3B">
            <w:pPr>
              <w:spacing w:line="240" w:lineRule="auto"/>
              <w:jc w:val="both"/>
              <w:rPr>
                <w:rFonts w:hint="default" w:ascii="Times New Roman" w:hAnsi="Times New Roman" w:eastAsia="宋体" w:cs="Times New Roman"/>
                <w:i w:val="0"/>
                <w:color w:val="000000"/>
                <w:sz w:val="18"/>
                <w:szCs w:val="18"/>
                <w:highlight w:val="none"/>
                <w:u w:val="none"/>
              </w:rPr>
            </w:pPr>
          </w:p>
        </w:tc>
        <w:tc>
          <w:tcPr>
            <w:tcW w:w="1184" w:type="dxa"/>
            <w:tcBorders>
              <w:top w:val="single" w:color="000000" w:sz="4" w:space="0"/>
              <w:left w:val="single" w:color="000000" w:sz="4" w:space="0"/>
              <w:bottom w:val="single" w:color="000000" w:sz="4" w:space="0"/>
              <w:right w:val="nil"/>
            </w:tcBorders>
            <w:vAlign w:val="center"/>
          </w:tcPr>
          <w:p w14:paraId="1F467F5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效益指标</w:t>
            </w:r>
          </w:p>
        </w:tc>
        <w:tc>
          <w:tcPr>
            <w:tcW w:w="2252" w:type="dxa"/>
            <w:tcBorders>
              <w:top w:val="single" w:color="000000" w:sz="4" w:space="0"/>
              <w:left w:val="single" w:color="000000" w:sz="4" w:space="0"/>
              <w:bottom w:val="single" w:color="000000" w:sz="4" w:space="0"/>
              <w:right w:val="single" w:color="000000" w:sz="4" w:space="0"/>
            </w:tcBorders>
            <w:vAlign w:val="center"/>
          </w:tcPr>
          <w:p w14:paraId="6975B6F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社会效益</w:t>
            </w:r>
          </w:p>
        </w:tc>
        <w:tc>
          <w:tcPr>
            <w:tcW w:w="3731" w:type="dxa"/>
            <w:tcBorders>
              <w:top w:val="single" w:color="000000" w:sz="4" w:space="0"/>
              <w:left w:val="single" w:color="000000" w:sz="4" w:space="0"/>
              <w:bottom w:val="single" w:color="000000" w:sz="4" w:space="0"/>
              <w:right w:val="single" w:color="000000" w:sz="4" w:space="0"/>
            </w:tcBorders>
            <w:vAlign w:val="center"/>
          </w:tcPr>
          <w:p w14:paraId="49B0BE00">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宋体" w:cs="Times New Roman"/>
                <w:i w:val="0"/>
                <w:color w:val="000000"/>
                <w:sz w:val="18"/>
                <w:szCs w:val="18"/>
                <w:highlight w:val="none"/>
                <w:u w:val="none"/>
                <w:lang w:eastAsia="zh-CN"/>
              </w:rPr>
            </w:pPr>
            <w:r>
              <w:rPr>
                <w:rFonts w:hint="default" w:ascii="Times New Roman" w:hAnsi="Times New Roman" w:eastAsia="宋体" w:cs="Times New Roman"/>
                <w:i w:val="0"/>
                <w:color w:val="000000"/>
                <w:sz w:val="18"/>
                <w:szCs w:val="18"/>
                <w:highlight w:val="none"/>
                <w:u w:val="none"/>
                <w:lang w:eastAsia="zh-CN"/>
              </w:rPr>
              <w:t>中央集中彩票公益金支持社会福利事业资金支持社会福利事业发展成效</w:t>
            </w:r>
          </w:p>
        </w:tc>
        <w:tc>
          <w:tcPr>
            <w:tcW w:w="1545" w:type="dxa"/>
            <w:tcBorders>
              <w:top w:val="single" w:color="000000" w:sz="4" w:space="0"/>
              <w:left w:val="single" w:color="000000" w:sz="4" w:space="0"/>
              <w:bottom w:val="single" w:color="000000" w:sz="4" w:space="0"/>
              <w:right w:val="single" w:color="000000" w:sz="4" w:space="0"/>
            </w:tcBorders>
            <w:vAlign w:val="center"/>
          </w:tcPr>
          <w:p w14:paraId="3F7B78D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eastAsia="zh-CN"/>
              </w:rPr>
            </w:pPr>
            <w:r>
              <w:rPr>
                <w:rFonts w:hint="default" w:ascii="Times New Roman" w:hAnsi="Times New Roman" w:eastAsia="宋体" w:cs="Times New Roman"/>
                <w:i w:val="0"/>
                <w:color w:val="000000"/>
                <w:sz w:val="18"/>
                <w:szCs w:val="18"/>
                <w:highlight w:val="none"/>
                <w:u w:val="none"/>
                <w:lang w:eastAsia="zh-CN"/>
              </w:rPr>
              <w:t>成效显著</w:t>
            </w:r>
          </w:p>
        </w:tc>
      </w:tr>
      <w:tr w14:paraId="427B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796"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B8D2BB9">
            <w:pPr>
              <w:spacing w:line="240" w:lineRule="auto"/>
              <w:jc w:val="both"/>
              <w:rPr>
                <w:rFonts w:hint="default" w:ascii="Times New Roman" w:hAnsi="Times New Roman" w:eastAsia="宋体" w:cs="Times New Roman"/>
                <w:i w:val="0"/>
                <w:color w:val="000000"/>
                <w:sz w:val="18"/>
                <w:szCs w:val="18"/>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6A7D443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满意度指标</w:t>
            </w:r>
          </w:p>
        </w:tc>
        <w:tc>
          <w:tcPr>
            <w:tcW w:w="2252" w:type="dxa"/>
            <w:tcBorders>
              <w:top w:val="single" w:color="000000" w:sz="4" w:space="0"/>
              <w:left w:val="single" w:color="000000" w:sz="4" w:space="0"/>
              <w:bottom w:val="single" w:color="000000" w:sz="4" w:space="0"/>
              <w:right w:val="single" w:color="000000" w:sz="4" w:space="0"/>
            </w:tcBorders>
            <w:vAlign w:val="center"/>
          </w:tcPr>
          <w:p w14:paraId="60F3B2E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服务对象满意度指标</w:t>
            </w:r>
          </w:p>
        </w:tc>
        <w:tc>
          <w:tcPr>
            <w:tcW w:w="3731" w:type="dxa"/>
            <w:tcBorders>
              <w:top w:val="single" w:color="000000" w:sz="4" w:space="0"/>
              <w:left w:val="single" w:color="000000" w:sz="4" w:space="0"/>
              <w:bottom w:val="single" w:color="000000" w:sz="4" w:space="0"/>
              <w:right w:val="single" w:color="000000" w:sz="4" w:space="0"/>
            </w:tcBorders>
            <w:vAlign w:val="center"/>
          </w:tcPr>
          <w:p w14:paraId="41EEE4C2">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宋体" w:cs="Times New Roman"/>
                <w:i w:val="0"/>
                <w:color w:val="000000"/>
                <w:sz w:val="18"/>
                <w:szCs w:val="18"/>
                <w:highlight w:val="none"/>
                <w:u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接受养老服务的老年人（或家庭成员）满意度</w:t>
            </w:r>
          </w:p>
        </w:tc>
        <w:tc>
          <w:tcPr>
            <w:tcW w:w="1545" w:type="dxa"/>
            <w:tcBorders>
              <w:top w:val="single" w:color="000000" w:sz="4" w:space="0"/>
              <w:left w:val="single" w:color="000000" w:sz="4" w:space="0"/>
              <w:bottom w:val="single" w:color="000000" w:sz="4" w:space="0"/>
              <w:right w:val="single" w:color="000000" w:sz="4" w:space="0"/>
            </w:tcBorders>
            <w:vAlign w:val="center"/>
          </w:tcPr>
          <w:p w14:paraId="6EF86FE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≥90%</w:t>
            </w:r>
          </w:p>
        </w:tc>
      </w:tr>
    </w:tbl>
    <w:p w14:paraId="510A2BE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Style w:val="15"/>
          <w:rFonts w:hint="default" w:ascii="Times New Roman" w:hAnsi="Times New Roman" w:eastAsia="方正楷体_GBK" w:cs="Times New Roman"/>
          <w:b w:val="0"/>
          <w:bCs w:val="0"/>
          <w:spacing w:val="-4"/>
          <w:sz w:val="32"/>
          <w:szCs w:val="32"/>
          <w:highlight w:val="none"/>
        </w:rPr>
        <w:sectPr>
          <w:footerReference r:id="rId5" w:type="default"/>
          <w:pgSz w:w="11906" w:h="16838"/>
          <w:pgMar w:top="2098" w:right="1531" w:bottom="1984" w:left="1531" w:header="851" w:footer="992" w:gutter="0"/>
          <w:pgNumType w:fmt="decimal" w:start="1"/>
          <w:cols w:space="425" w:num="1"/>
          <w:docGrid w:type="lines" w:linePitch="312" w:charSpace="0"/>
        </w:sectPr>
      </w:pPr>
    </w:p>
    <w:p w14:paraId="0A3D431D">
      <w:pPr>
        <w:pStyle w:val="5"/>
        <w:bidi w:val="0"/>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lang w:eastAsia="zh-CN"/>
        </w:rPr>
        <w:t>地州（市）</w:t>
      </w:r>
      <w:r>
        <w:rPr>
          <w:rFonts w:hint="default" w:ascii="Times New Roman" w:hAnsi="Times New Roman" w:cs="Times New Roman"/>
        </w:rPr>
        <w:t>资金安排、分解下达预算和绩效目标情况。</w:t>
      </w:r>
    </w:p>
    <w:p w14:paraId="78E717C5">
      <w:pPr>
        <w:bidi w:val="0"/>
        <w:rPr>
          <w:rFonts w:hint="default" w:ascii="Times New Roman" w:hAnsi="Times New Roman" w:cs="Times New Roman"/>
          <w:lang w:val="en-US" w:eastAsia="zh-CN"/>
        </w:rPr>
      </w:pPr>
      <w:r>
        <w:rPr>
          <w:rFonts w:hint="default" w:ascii="Times New Roman" w:hAnsi="Times New Roman" w:cs="Times New Roman"/>
          <w:lang w:val="en-US" w:eastAsia="zh-CN"/>
        </w:rPr>
        <w:t>1.自治区分解下达预算情况</w:t>
      </w:r>
    </w:p>
    <w:p w14:paraId="2CC8D660">
      <w:pPr>
        <w:bidi w:val="0"/>
        <w:rPr>
          <w:rFonts w:hint="default" w:ascii="Times New Roman" w:hAnsi="Times New Roman" w:eastAsia="方正仿宋_GBK" w:cs="Times New Roman"/>
          <w:b w:val="0"/>
          <w:bCs w:val="0"/>
          <w:szCs w:val="32"/>
          <w:highlight w:val="none"/>
          <w:lang w:val="en-US" w:eastAsia="zh-CN"/>
        </w:rPr>
      </w:pPr>
      <w:r>
        <w:rPr>
          <w:rFonts w:hint="default" w:ascii="Times New Roman" w:hAnsi="Times New Roman" w:cs="Times New Roman"/>
        </w:rPr>
        <w:t>202</w:t>
      </w:r>
      <w:r>
        <w:rPr>
          <w:rFonts w:hint="default" w:ascii="Times New Roman" w:hAnsi="Times New Roman" w:cs="Times New Roman"/>
          <w:lang w:val="en-US" w:eastAsia="zh-CN"/>
        </w:rPr>
        <w:t>4</w:t>
      </w:r>
      <w:r>
        <w:rPr>
          <w:rFonts w:hint="default" w:ascii="Times New Roman" w:hAnsi="Times New Roman" w:cs="Times New Roman"/>
        </w:rPr>
        <w:t>年</w:t>
      </w:r>
      <w:r>
        <w:rPr>
          <w:rFonts w:hint="default" w:ascii="Times New Roman" w:hAnsi="Times New Roman" w:cs="Times New Roman"/>
          <w:lang w:val="en-US" w:eastAsia="zh-CN"/>
        </w:rPr>
        <w:t>12月</w:t>
      </w:r>
      <w:r>
        <w:rPr>
          <w:rFonts w:hint="default" w:ascii="Times New Roman" w:hAnsi="Times New Roman" w:cs="Times New Roman"/>
          <w:lang w:eastAsia="zh-CN"/>
        </w:rPr>
        <w:t>下达</w:t>
      </w:r>
      <w:r>
        <w:rPr>
          <w:rFonts w:hint="default" w:ascii="Times New Roman" w:hAnsi="Times New Roman" w:cs="Times New Roman"/>
        </w:rPr>
        <w:t>《关于提前下达202</w:t>
      </w:r>
      <w:r>
        <w:rPr>
          <w:rFonts w:hint="default" w:ascii="Times New Roman" w:hAnsi="Times New Roman" w:cs="Times New Roman"/>
          <w:lang w:val="en-US" w:eastAsia="zh-CN"/>
        </w:rPr>
        <w:t>5</w:t>
      </w:r>
      <w:r>
        <w:rPr>
          <w:rFonts w:hint="default" w:ascii="Times New Roman" w:hAnsi="Times New Roman" w:cs="Times New Roman"/>
        </w:rPr>
        <w:t>年中央集中彩票公益金支持社会福利事业资金</w:t>
      </w:r>
      <w:r>
        <w:rPr>
          <w:rFonts w:hint="default" w:ascii="Times New Roman" w:hAnsi="Times New Roman" w:cs="Times New Roman"/>
          <w:lang w:val="en-US" w:eastAsia="zh-CN"/>
        </w:rPr>
        <w:t>预算</w:t>
      </w:r>
      <w:r>
        <w:rPr>
          <w:rFonts w:hint="default" w:ascii="Times New Roman" w:hAnsi="Times New Roman" w:cs="Times New Roman"/>
        </w:rPr>
        <w:t>的通知》（新财社〔202</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lang w:val="en-US" w:eastAsia="zh-CN"/>
        </w:rPr>
        <w:t>160</w:t>
      </w:r>
      <w:r>
        <w:rPr>
          <w:rFonts w:hint="default" w:ascii="Times New Roman" w:hAnsi="Times New Roman" w:cs="Times New Roman"/>
        </w:rPr>
        <w:t>号）</w:t>
      </w:r>
      <w:r>
        <w:rPr>
          <w:rFonts w:hint="default" w:ascii="Times New Roman" w:hAnsi="Times New Roman" w:cs="Times New Roman"/>
          <w:lang w:eastAsia="zh-CN"/>
        </w:rPr>
        <w:t>，安排预算</w:t>
      </w:r>
      <w:r>
        <w:rPr>
          <w:rFonts w:hint="default" w:ascii="Times New Roman" w:hAnsi="Times New Roman" w:cs="Times New Roman"/>
          <w:lang w:val="en-US" w:eastAsia="zh-CN"/>
        </w:rPr>
        <w:t>12535</w:t>
      </w:r>
      <w:r>
        <w:rPr>
          <w:rFonts w:hint="default" w:ascii="Times New Roman" w:hAnsi="Times New Roman" w:cs="Times New Roman"/>
        </w:rPr>
        <w:t>万元</w:t>
      </w:r>
      <w:r>
        <w:rPr>
          <w:rFonts w:hint="default" w:ascii="Times New Roman" w:hAnsi="Times New Roman" w:cs="Times New Roman"/>
          <w:lang w:eastAsia="zh-CN"/>
        </w:rPr>
        <w:t>；</w:t>
      </w:r>
      <w:r>
        <w:rPr>
          <w:rFonts w:hint="default" w:ascii="Times New Roman" w:hAnsi="Times New Roman" w:cs="Times New Roman"/>
          <w:lang w:val="en-US" w:eastAsia="zh-CN"/>
        </w:rPr>
        <w:t>2025年7月下达</w:t>
      </w:r>
      <w:r>
        <w:rPr>
          <w:rFonts w:hint="default" w:ascii="Times New Roman" w:hAnsi="Times New Roman" w:cs="Times New Roman"/>
        </w:rPr>
        <w:t>《关于下达202</w:t>
      </w:r>
      <w:r>
        <w:rPr>
          <w:rFonts w:hint="default" w:ascii="Times New Roman" w:hAnsi="Times New Roman" w:cs="Times New Roman"/>
          <w:lang w:val="en-US" w:eastAsia="zh-CN"/>
        </w:rPr>
        <w:t>5</w:t>
      </w:r>
      <w:r>
        <w:rPr>
          <w:rFonts w:hint="default" w:ascii="Times New Roman" w:hAnsi="Times New Roman" w:cs="Times New Roman"/>
        </w:rPr>
        <w:t>年中央集中彩票公益金支持社会福利事业资金</w:t>
      </w:r>
      <w:r>
        <w:rPr>
          <w:rFonts w:hint="default" w:ascii="Times New Roman" w:hAnsi="Times New Roman" w:cs="Times New Roman"/>
          <w:lang w:eastAsia="zh-CN"/>
        </w:rPr>
        <w:t>预算（第一批）</w:t>
      </w:r>
      <w:r>
        <w:rPr>
          <w:rFonts w:hint="default" w:ascii="Times New Roman" w:hAnsi="Times New Roman" w:cs="Times New Roman"/>
        </w:rPr>
        <w:t>的通知》（新财社〔202</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59</w:t>
      </w:r>
      <w:r>
        <w:rPr>
          <w:rFonts w:hint="default" w:ascii="Times New Roman" w:hAnsi="Times New Roman" w:cs="Times New Roman"/>
        </w:rPr>
        <w:t>号）</w:t>
      </w:r>
      <w:r>
        <w:rPr>
          <w:rFonts w:hint="default" w:ascii="Times New Roman" w:hAnsi="Times New Roman" w:cs="Times New Roman"/>
          <w:lang w:eastAsia="zh-CN"/>
        </w:rPr>
        <w:t>安排预算</w:t>
      </w:r>
      <w:r>
        <w:rPr>
          <w:rFonts w:hint="default" w:ascii="Times New Roman" w:hAnsi="Times New Roman" w:cs="Times New Roman"/>
          <w:lang w:val="en-US" w:eastAsia="zh-CN"/>
        </w:rPr>
        <w:t>-977</w:t>
      </w:r>
      <w:r>
        <w:rPr>
          <w:rFonts w:hint="default" w:ascii="Times New Roman" w:hAnsi="Times New Roman" w:cs="Times New Roman"/>
        </w:rPr>
        <w:t>万元</w:t>
      </w:r>
      <w:r>
        <w:rPr>
          <w:rFonts w:hint="default" w:ascii="Times New Roman" w:hAnsi="Times New Roman" w:cs="Times New Roman"/>
          <w:lang w:val="en-US" w:eastAsia="zh-CN"/>
        </w:rPr>
        <w:t>，共计资金11558万元。</w:t>
      </w:r>
    </w:p>
    <w:p w14:paraId="4632724C">
      <w:pPr>
        <w:bidi w:val="0"/>
        <w:rPr>
          <w:rFonts w:hint="default" w:ascii="Times New Roman" w:hAnsi="Times New Roman" w:cs="Times New Roman"/>
          <w:lang w:val="en-US" w:eastAsia="zh-CN"/>
        </w:rPr>
      </w:pPr>
      <w:r>
        <w:rPr>
          <w:rFonts w:hint="default" w:ascii="Times New Roman" w:hAnsi="Times New Roman" w:cs="Times New Roman"/>
          <w:lang w:val="en-US" w:eastAsia="zh-CN"/>
        </w:rPr>
        <w:t>资金分解如下：</w:t>
      </w:r>
    </w:p>
    <w:p w14:paraId="7551DB27">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30"/>
          <w:szCs w:val="30"/>
          <w:highlight w:val="none"/>
          <w:lang w:val="en-US" w:eastAsia="zh-CN"/>
        </w:rPr>
      </w:pPr>
      <w:r>
        <w:rPr>
          <w:rFonts w:hint="eastAsia" w:asciiTheme="minorEastAsia" w:hAnsiTheme="minorEastAsia" w:eastAsiaTheme="minorEastAsia" w:cstheme="minorEastAsia"/>
          <w:b/>
          <w:bCs/>
          <w:sz w:val="30"/>
          <w:szCs w:val="30"/>
          <w:highlight w:val="none"/>
          <w:lang w:val="en-US" w:eastAsia="zh-CN"/>
        </w:rPr>
        <w:t>中央集中彩票公益金支持社会福利事业资金分配表</w:t>
      </w:r>
    </w:p>
    <w:tbl>
      <w:tblPr>
        <w:tblStyle w:val="12"/>
        <w:tblW w:w="8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8"/>
        <w:gridCol w:w="2282"/>
        <w:gridCol w:w="1506"/>
        <w:gridCol w:w="1729"/>
        <w:gridCol w:w="1993"/>
      </w:tblGrid>
      <w:tr w14:paraId="4C03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4" w:hRule="atLeast"/>
          <w:jc w:val="center"/>
        </w:trPr>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A72F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序号</w:t>
            </w:r>
          </w:p>
        </w:tc>
        <w:tc>
          <w:tcPr>
            <w:tcW w:w="2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B051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地州市</w:t>
            </w: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8D14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总额</w:t>
            </w:r>
          </w:p>
        </w:tc>
        <w:tc>
          <w:tcPr>
            <w:tcW w:w="3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07A4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w:t>
            </w:r>
          </w:p>
        </w:tc>
      </w:tr>
      <w:tr w14:paraId="660F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4" w:hRule="atLeast"/>
          <w:jc w:val="center"/>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6474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2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3B4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13BC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592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提前下达资金</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8EB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第一批下达资金</w:t>
            </w:r>
          </w:p>
        </w:tc>
      </w:tr>
      <w:tr w14:paraId="10CD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1CA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D97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自治区本级</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E2A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500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71E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500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79B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0</w:t>
            </w:r>
          </w:p>
        </w:tc>
      </w:tr>
      <w:tr w14:paraId="1304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F99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6F1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乌鲁木齐市</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CD2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1202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000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1350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81E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-148</w:t>
            </w:r>
          </w:p>
        </w:tc>
      </w:tr>
      <w:tr w14:paraId="04AA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636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03C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伊犁州</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5DC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1521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FEA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1580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CBC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-59</w:t>
            </w:r>
          </w:p>
        </w:tc>
      </w:tr>
      <w:tr w14:paraId="0DFC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AF7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3EA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塔城地区</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25E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574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66A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602</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002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-28</w:t>
            </w:r>
          </w:p>
        </w:tc>
      </w:tr>
      <w:tr w14:paraId="212E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5D7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069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阿勒泰地区</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753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1116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B55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1302</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F12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-186</w:t>
            </w:r>
          </w:p>
        </w:tc>
      </w:tr>
      <w:tr w14:paraId="3BEC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767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6</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19B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博州</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845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359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BD1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375</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3B7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-16</w:t>
            </w:r>
          </w:p>
        </w:tc>
      </w:tr>
      <w:tr w14:paraId="5D5C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4"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2F4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EDA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克拉玛依市</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330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598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BBC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626</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E0A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-28</w:t>
            </w:r>
          </w:p>
        </w:tc>
      </w:tr>
      <w:tr w14:paraId="7256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E9F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FF3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昌吉州</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17B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735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DFC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774</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2A2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-39</w:t>
            </w:r>
          </w:p>
        </w:tc>
      </w:tr>
      <w:tr w14:paraId="3D2C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D4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07E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哈密市</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DE2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861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87A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1005</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B58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-144</w:t>
            </w:r>
          </w:p>
        </w:tc>
      </w:tr>
      <w:tr w14:paraId="02E0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FAF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E88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吐鲁番市</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B09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308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FEF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320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09E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w:t>
            </w:r>
          </w:p>
        </w:tc>
      </w:tr>
      <w:tr w14:paraId="7068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149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C0C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巴州</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396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793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E1A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823</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3F7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-30</w:t>
            </w:r>
          </w:p>
        </w:tc>
      </w:tr>
      <w:tr w14:paraId="55B6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91C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2F7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阿克苏地区</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CEA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1259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EA7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1394</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886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-135</w:t>
            </w:r>
          </w:p>
        </w:tc>
      </w:tr>
      <w:tr w14:paraId="7601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90F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13</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ED8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克州</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1AE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190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E5A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190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D87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0</w:t>
            </w:r>
          </w:p>
        </w:tc>
      </w:tr>
      <w:tr w14:paraId="67EA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199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4A9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喀什地区</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3D7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794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2E4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849</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157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-55</w:t>
            </w:r>
          </w:p>
        </w:tc>
      </w:tr>
      <w:tr w14:paraId="418D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94F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15</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288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和田地区</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C35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748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0C1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845</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389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-97</w:t>
            </w:r>
          </w:p>
        </w:tc>
      </w:tr>
      <w:tr w14:paraId="59C1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6" w:hRule="atLeast"/>
          <w:jc w:val="center"/>
        </w:trPr>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AFB8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合计</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239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11558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6D6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12535</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C25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-977</w:t>
            </w:r>
          </w:p>
        </w:tc>
      </w:tr>
    </w:tbl>
    <w:p w14:paraId="2B3027C1">
      <w:pPr>
        <w:bidi w:val="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分解下达绩效目标情况如下</w:t>
      </w:r>
    </w:p>
    <w:p w14:paraId="3D35EB40">
      <w:pPr>
        <w:bidi w:val="0"/>
        <w:rPr>
          <w:rFonts w:hint="default" w:ascii="Times New Roman" w:hAnsi="Times New Roman" w:eastAsia="方正仿宋_GBK" w:cs="Times New Roman"/>
          <w:b w:val="0"/>
          <w:bCs w:val="0"/>
          <w:szCs w:val="32"/>
          <w:highlight w:val="none"/>
          <w:lang w:eastAsia="zh-CN"/>
        </w:rPr>
      </w:pPr>
      <w:r>
        <w:rPr>
          <w:rFonts w:hint="default" w:ascii="Times New Roman" w:hAnsi="Times New Roman" w:cs="Times New Roman"/>
          <w:lang w:val="en-US" w:eastAsia="zh-CN"/>
        </w:rPr>
        <w:t>严格按照</w:t>
      </w:r>
      <w:r>
        <w:rPr>
          <w:rFonts w:hint="default" w:ascii="Times New Roman" w:hAnsi="Times New Roman" w:cs="Times New Roman"/>
        </w:rPr>
        <w:t>自治区财政厅下达的资金文件确定的绩效目标，对县（市）资金的分配主要</w:t>
      </w:r>
      <w:r>
        <w:rPr>
          <w:rFonts w:hint="default" w:ascii="Times New Roman" w:hAnsi="Times New Roman" w:cs="Times New Roman"/>
          <w:lang w:val="en-US" w:eastAsia="zh-CN"/>
        </w:rPr>
        <w:t>依</w:t>
      </w:r>
      <w:r>
        <w:rPr>
          <w:rFonts w:hint="default" w:ascii="Times New Roman" w:hAnsi="Times New Roman" w:cs="Times New Roman"/>
        </w:rPr>
        <w:t>据任务特点进行合理的安排，绩效目标详见下</w:t>
      </w:r>
      <w:r>
        <w:rPr>
          <w:rFonts w:hint="default" w:ascii="Times New Roman" w:hAnsi="Times New Roman" w:cs="Times New Roman"/>
          <w:highlight w:val="none"/>
        </w:rPr>
        <w:t>表</w:t>
      </w:r>
      <w:r>
        <w:rPr>
          <w:rFonts w:hint="default" w:ascii="Times New Roman" w:hAnsi="Times New Roman" w:cs="Times New Roman"/>
          <w:highlight w:val="none"/>
          <w:lang w:eastAsia="zh-CN"/>
        </w:rPr>
        <w:t>：</w:t>
      </w: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0E2A5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9170" w:type="dxa"/>
            <w:gridSpan w:val="6"/>
            <w:tcBorders>
              <w:top w:val="nil"/>
              <w:left w:val="nil"/>
              <w:bottom w:val="nil"/>
              <w:right w:val="nil"/>
            </w:tcBorders>
            <w:shd w:val="clear" w:color="auto" w:fill="auto"/>
            <w:vAlign w:val="center"/>
          </w:tcPr>
          <w:p w14:paraId="285F245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056F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170" w:type="dxa"/>
            <w:gridSpan w:val="6"/>
            <w:tcBorders>
              <w:top w:val="nil"/>
              <w:left w:val="nil"/>
              <w:bottom w:val="nil"/>
              <w:right w:val="nil"/>
            </w:tcBorders>
            <w:shd w:val="clear" w:color="auto" w:fill="auto"/>
            <w:vAlign w:val="center"/>
          </w:tcPr>
          <w:p w14:paraId="2B468D8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w:t>
            </w:r>
          </w:p>
        </w:tc>
      </w:tr>
      <w:tr w14:paraId="683F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098E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E49B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6DD4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72D3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34B8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3949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88D6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538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D05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10D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3303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5A1339E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9E36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C04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11558</w:t>
            </w:r>
          </w:p>
        </w:tc>
      </w:tr>
      <w:tr w14:paraId="6E1C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0EDD8CB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8123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FC9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11558</w:t>
            </w:r>
          </w:p>
        </w:tc>
      </w:tr>
      <w:tr w14:paraId="6920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1C14A7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0F1D9B3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4C9C7D1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04CC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8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1F58AA5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25CB3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一、支持以服务生活困难和失能失智老年人为主的养老机构(含特困人员供养服务设施)、街道(乡镇)和社区养老服务设施维修改造和设备配置；支持开展老年人能力评估。</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二、支持精神卫生社会福利机构、民政直属康复辅助器具机构设施设备配置。</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三、支持儿童福利服务机构设施设备配置。</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四、支持殡葬设施设备配置。</w:t>
            </w:r>
          </w:p>
        </w:tc>
      </w:tr>
      <w:tr w14:paraId="10DE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C455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992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A67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5A20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404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5DFA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53C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AECB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3EBD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3CE9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A82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≥13个</w:t>
            </w:r>
          </w:p>
        </w:tc>
      </w:tr>
      <w:tr w14:paraId="7FCF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BCA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8EA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1F49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DE4A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维修改造社区日间照料中心数量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CAA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≥6个</w:t>
            </w:r>
          </w:p>
        </w:tc>
      </w:tr>
      <w:tr w14:paraId="3DC5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C393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CCDA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998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AA39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养老服务机构护理型床位新增数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127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≥385张</w:t>
            </w:r>
          </w:p>
        </w:tc>
      </w:tr>
      <w:tr w14:paraId="2B22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F044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D87E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815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A3F0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505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≥3000人次</w:t>
            </w:r>
          </w:p>
        </w:tc>
      </w:tr>
      <w:tr w14:paraId="6BC4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B42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3394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C4A2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9FCE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儿童福利服务机构新配置设施设备数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59B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≥4台（套）</w:t>
            </w:r>
          </w:p>
        </w:tc>
      </w:tr>
      <w:tr w14:paraId="2CF1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275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0E80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EE74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AF3A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精神卫生社会福利机构和民政直属康复辅助器具机构新配置设施设备数量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878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≥1台（套）</w:t>
            </w:r>
          </w:p>
        </w:tc>
      </w:tr>
      <w:tr w14:paraId="06E5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F9A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F01A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6831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AB2E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“福康工程-困难残障人员配置康复辅具”项目支持地州数量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C10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≥3个</w:t>
            </w:r>
          </w:p>
        </w:tc>
      </w:tr>
      <w:tr w14:paraId="72F5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B20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8985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BC82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EA6B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殡葬设施设备配置数量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0D3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≥2台（套）</w:t>
            </w:r>
          </w:p>
        </w:tc>
      </w:tr>
      <w:tr w14:paraId="3FCF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157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498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4A1153C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B17C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护理型床位验收合格率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E9F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60B7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D50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137A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DCCAA7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8227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38E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25C1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29D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F74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2493BBA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5FAB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维修改造社区日间照料中心项目验收合格率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720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1FD1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1E5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0576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1762BB5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968B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辅助器具适配率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A54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4031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9EA5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EAF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0D47D53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0342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配置的设施设备验收合格率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F8E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r>
      <w:tr w14:paraId="7D94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D202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0965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1312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A032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B4A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2C1E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AA11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E2D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EA5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5B75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维修改造社区日间照料中心项目按时开工率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02E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0A7A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BDB6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B03D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25F1093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CB84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提升康复辅助器具配置服务保障能力和水平</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330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逐步提升</w:t>
            </w:r>
          </w:p>
        </w:tc>
      </w:tr>
      <w:tr w14:paraId="6E73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4DC2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D23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865108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71E4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3CE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2157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CA2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A08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845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CD7E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A66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43B7C483">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0E56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170" w:type="dxa"/>
            <w:gridSpan w:val="6"/>
            <w:tcBorders>
              <w:top w:val="nil"/>
              <w:left w:val="nil"/>
              <w:bottom w:val="nil"/>
              <w:right w:val="nil"/>
            </w:tcBorders>
            <w:shd w:val="clear" w:color="auto" w:fill="auto"/>
            <w:vAlign w:val="center"/>
          </w:tcPr>
          <w:p w14:paraId="41B9D29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3A88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170" w:type="dxa"/>
            <w:gridSpan w:val="6"/>
            <w:tcBorders>
              <w:top w:val="nil"/>
              <w:left w:val="nil"/>
              <w:bottom w:val="nil"/>
              <w:right w:val="nil"/>
            </w:tcBorders>
            <w:shd w:val="clear" w:color="auto" w:fill="auto"/>
            <w:vAlign w:val="center"/>
          </w:tcPr>
          <w:p w14:paraId="6852C6C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本级）</w:t>
            </w:r>
          </w:p>
        </w:tc>
      </w:tr>
      <w:tr w14:paraId="401F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775E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71F9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2CE9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1EA2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9DDE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0FFC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6848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E35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4E0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6C6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6F1E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48AB494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1E75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423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500</w:t>
            </w:r>
          </w:p>
        </w:tc>
      </w:tr>
      <w:tr w14:paraId="526B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08CE42E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E42D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6B4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500</w:t>
            </w:r>
          </w:p>
        </w:tc>
      </w:tr>
      <w:tr w14:paraId="59B9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294A968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7699E42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74292F2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5B50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47F192D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986B6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为困难残疾人配置各类康复辅助器具，促进残疾人福利服务发展。</w:t>
            </w:r>
          </w:p>
        </w:tc>
      </w:tr>
      <w:tr w14:paraId="15F7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8530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C56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719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4C8E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102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30E4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17F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408A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478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1F2B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“福康工程-困难残障人员配置康复辅具”项目支持地州数量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EA3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≥3个</w:t>
            </w:r>
          </w:p>
        </w:tc>
      </w:tr>
      <w:tr w14:paraId="44D1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88E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05B7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08D0F46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50EF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辅助器具适配率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51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5325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02FD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AEC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DF3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37AF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辅具配置按期完成率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324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≥95%</w:t>
            </w:r>
          </w:p>
        </w:tc>
      </w:tr>
      <w:tr w14:paraId="19C3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FA3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193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68B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经济成本指标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1054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预算成本控制率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859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r>
      <w:tr w14:paraId="7AA6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7418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D897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8A54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59B7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提升康复辅助器具配置服务保障能力和水平</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0DA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逐步提升</w:t>
            </w:r>
          </w:p>
        </w:tc>
      </w:tr>
      <w:tr w14:paraId="15A3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230B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2D26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EEE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1C78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提高生活自理能力</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417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有效提高</w:t>
            </w:r>
          </w:p>
        </w:tc>
      </w:tr>
      <w:tr w14:paraId="40B7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EBD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F93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A61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647E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受益群体满意度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81B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7C026211">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7642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170" w:type="dxa"/>
            <w:gridSpan w:val="6"/>
            <w:tcBorders>
              <w:top w:val="nil"/>
              <w:left w:val="nil"/>
              <w:bottom w:val="nil"/>
              <w:right w:val="nil"/>
            </w:tcBorders>
            <w:shd w:val="clear" w:color="auto" w:fill="auto"/>
            <w:vAlign w:val="center"/>
          </w:tcPr>
          <w:p w14:paraId="57D2897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3050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170" w:type="dxa"/>
            <w:gridSpan w:val="6"/>
            <w:tcBorders>
              <w:top w:val="nil"/>
              <w:left w:val="nil"/>
              <w:bottom w:val="nil"/>
              <w:right w:val="nil"/>
            </w:tcBorders>
            <w:shd w:val="clear" w:color="auto" w:fill="auto"/>
            <w:vAlign w:val="center"/>
          </w:tcPr>
          <w:p w14:paraId="287670D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乌鲁木齐市）</w:t>
            </w:r>
          </w:p>
        </w:tc>
      </w:tr>
      <w:tr w14:paraId="174F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8756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7C7A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0A71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6B30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8BBE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213C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39FD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261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FDA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D25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52B6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6F3E65C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2DCC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CD1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1202</w:t>
            </w:r>
          </w:p>
        </w:tc>
      </w:tr>
      <w:tr w14:paraId="28CC6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5F3C3C2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70AF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8DE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1202</w:t>
            </w:r>
          </w:p>
        </w:tc>
      </w:tr>
      <w:tr w14:paraId="3E1C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97DE55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37F6EEA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630E614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4EEA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42AD964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3FCC8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一、支持以服务生活困难和失能失智老年人为主的养老机构(含特困人员供养服务设施)、街道(乡镇)和社区养老服务设施维修改造和设备配置；支持开展老年人能力评估。</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二、支持儿童福利服务机构设施设备配置。</w:t>
            </w:r>
          </w:p>
        </w:tc>
      </w:tr>
      <w:tr w14:paraId="627E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5796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1BA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123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EF69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9A3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6DC5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AEBA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3E6D015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482C7AB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42BB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B42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≥3个</w:t>
            </w:r>
          </w:p>
        </w:tc>
      </w:tr>
      <w:tr w14:paraId="0404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2C0D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F33372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198E85B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D8A9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养老服务机构护理型床位新增数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090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≥49个</w:t>
            </w:r>
          </w:p>
        </w:tc>
      </w:tr>
      <w:tr w14:paraId="136B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48A6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E36CE9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62C4468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B5BD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B5E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≥200人次</w:t>
            </w:r>
          </w:p>
        </w:tc>
      </w:tr>
      <w:tr w14:paraId="594F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C9AB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6044997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6171AEE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1C6F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儿童福利服务机构新配置设施设备数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F17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≥1台（套）</w:t>
            </w:r>
          </w:p>
        </w:tc>
      </w:tr>
      <w:tr w14:paraId="2BF6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5AEB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0EC438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0AD43D5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4778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C55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3AEE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0371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63CBFD4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6407941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273D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配置的设施设备验收合格率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348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r>
      <w:tr w14:paraId="4AA9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019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5072247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4C734E5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C08A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护理型床位验收合格率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BEA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027F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3DE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AD03EF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7612BA8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4B86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663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72EE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394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7001AEF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29DA1C6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BCEE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2A9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0786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CB8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41F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675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FB52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3E8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53969587">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0356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9170" w:type="dxa"/>
            <w:gridSpan w:val="6"/>
            <w:tcBorders>
              <w:top w:val="nil"/>
              <w:left w:val="nil"/>
              <w:bottom w:val="nil"/>
              <w:right w:val="nil"/>
            </w:tcBorders>
            <w:shd w:val="clear" w:color="auto" w:fill="auto"/>
            <w:vAlign w:val="center"/>
          </w:tcPr>
          <w:p w14:paraId="675EC46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766B0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170" w:type="dxa"/>
            <w:gridSpan w:val="6"/>
            <w:tcBorders>
              <w:top w:val="nil"/>
              <w:left w:val="nil"/>
              <w:bottom w:val="nil"/>
              <w:right w:val="nil"/>
            </w:tcBorders>
            <w:shd w:val="clear" w:color="auto" w:fill="auto"/>
            <w:vAlign w:val="center"/>
          </w:tcPr>
          <w:p w14:paraId="656B64A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伊犁州）</w:t>
            </w:r>
          </w:p>
        </w:tc>
      </w:tr>
      <w:tr w14:paraId="1B5D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3FC9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872E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7AF3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C017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132F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4910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E76A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9C5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025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F47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3D32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23B883A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4344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20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1521</w:t>
            </w:r>
          </w:p>
        </w:tc>
      </w:tr>
      <w:tr w14:paraId="6BEE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47858BC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82A8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994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1521</w:t>
            </w:r>
          </w:p>
        </w:tc>
      </w:tr>
      <w:tr w14:paraId="2377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CB5760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30710A9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7E018F2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20F4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8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24EA95C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AE87C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一、支持以服务生活困难和失能失智老年人为主的养老机构(含特困人员供养服务设施)、街道(乡镇)和社区养老服务设施维修改造和设备配置。</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二、支持精神卫生社会福利机构、民政直属康复辅助器具机构设施设备配置。</w:t>
            </w:r>
          </w:p>
        </w:tc>
      </w:tr>
      <w:tr w14:paraId="2C1C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B0C8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9C9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F6E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E115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CDA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519C2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8E1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74F2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0A5AAF1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45DE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9DF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≥1个</w:t>
            </w:r>
          </w:p>
        </w:tc>
      </w:tr>
      <w:tr w14:paraId="2361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8CAC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88F0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05EFC58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E870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精神卫生社会福利机构和民政直属康复辅助器具机构新配置设施设备数量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F55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≥1台（套）</w:t>
            </w:r>
          </w:p>
        </w:tc>
      </w:tr>
      <w:tr w14:paraId="5A01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3B5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9984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1D9139E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4402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2B7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7EAF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B3C8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3CB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1285038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CD97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配置的设施设备验收合格率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04B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r>
      <w:tr w14:paraId="1DE0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0A3E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C8F0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11A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B82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EBE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2C51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8D73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nil"/>
              <w:left w:val="single" w:color="000000" w:sz="4" w:space="0"/>
              <w:bottom w:val="nil"/>
              <w:right w:val="single" w:color="000000" w:sz="4" w:space="0"/>
            </w:tcBorders>
            <w:shd w:val="clear" w:color="auto" w:fill="auto"/>
            <w:vAlign w:val="center"/>
          </w:tcPr>
          <w:p w14:paraId="0C054B4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4CF53B3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1C43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6F1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4B5C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3D4C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91C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231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14A5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57A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431C59A8">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3246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70" w:type="dxa"/>
            <w:gridSpan w:val="6"/>
            <w:tcBorders>
              <w:top w:val="nil"/>
              <w:left w:val="nil"/>
              <w:bottom w:val="nil"/>
              <w:right w:val="nil"/>
            </w:tcBorders>
            <w:shd w:val="clear" w:color="auto" w:fill="auto"/>
            <w:vAlign w:val="center"/>
          </w:tcPr>
          <w:p w14:paraId="1812F58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3DAC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170" w:type="dxa"/>
            <w:gridSpan w:val="6"/>
            <w:tcBorders>
              <w:top w:val="nil"/>
              <w:left w:val="nil"/>
              <w:bottom w:val="nil"/>
              <w:right w:val="nil"/>
            </w:tcBorders>
            <w:shd w:val="clear" w:color="auto" w:fill="auto"/>
            <w:vAlign w:val="center"/>
          </w:tcPr>
          <w:p w14:paraId="2430525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塔城地区）</w:t>
            </w:r>
          </w:p>
        </w:tc>
      </w:tr>
      <w:tr w14:paraId="2553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DC2B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55DE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577D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27E0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AE91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0682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9AE5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DC3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FC4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7E6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53F3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69B7977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7617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17C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574</w:t>
            </w:r>
          </w:p>
        </w:tc>
      </w:tr>
      <w:tr w14:paraId="61E8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0CFD89A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6A8F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1EE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574</w:t>
            </w:r>
          </w:p>
        </w:tc>
      </w:tr>
      <w:tr w14:paraId="6BB4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03CAC63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45E7415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215CB1F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7594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3AC3944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D4C9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支持以服务生活困难和失能失智老年人为主的养老机构(含特困人员供养服务设施)、街道(乡镇)和社区养老服务设施维修改造和设备配置；支持开展老年人能力评估。</w:t>
            </w:r>
          </w:p>
        </w:tc>
      </w:tr>
      <w:tr w14:paraId="2DA7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43D7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08B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E5B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CD63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163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031F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4031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D153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3552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7F5A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E48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≥1个</w:t>
            </w:r>
          </w:p>
        </w:tc>
      </w:tr>
      <w:tr w14:paraId="454B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DD85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E5B2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E638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1BF2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E66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≥100人次</w:t>
            </w:r>
          </w:p>
        </w:tc>
      </w:tr>
      <w:tr w14:paraId="20EA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B08F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4DEB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2C625BF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3ABE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235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6EE1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85AB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DD31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A26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5950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DB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040A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9800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1CA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0C8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经济成本指标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D1FC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预算成本控制率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46A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r>
      <w:tr w14:paraId="667F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4C84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1E5CD9B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24A9A25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4476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390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1EEF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B8C7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F4F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46B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55D8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4DC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3E576EAC">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75A3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70" w:type="dxa"/>
            <w:gridSpan w:val="6"/>
            <w:tcBorders>
              <w:top w:val="nil"/>
              <w:left w:val="nil"/>
              <w:bottom w:val="nil"/>
              <w:right w:val="nil"/>
            </w:tcBorders>
            <w:shd w:val="clear" w:color="auto" w:fill="auto"/>
            <w:vAlign w:val="center"/>
          </w:tcPr>
          <w:p w14:paraId="260EE1C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2BC9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170" w:type="dxa"/>
            <w:gridSpan w:val="6"/>
            <w:tcBorders>
              <w:top w:val="nil"/>
              <w:left w:val="nil"/>
              <w:bottom w:val="nil"/>
              <w:right w:val="nil"/>
            </w:tcBorders>
            <w:shd w:val="clear" w:color="auto" w:fill="auto"/>
            <w:vAlign w:val="center"/>
          </w:tcPr>
          <w:p w14:paraId="73A4B20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阿勒泰地区）</w:t>
            </w:r>
          </w:p>
        </w:tc>
      </w:tr>
      <w:tr w14:paraId="799A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8C64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03C5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39E8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2056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1A60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6F8F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DE2D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FD5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D60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DF3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2586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6334A7E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A61B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DF9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1116</w:t>
            </w:r>
          </w:p>
        </w:tc>
      </w:tr>
      <w:tr w14:paraId="5D79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5B6CB4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7B89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1A5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1116</w:t>
            </w:r>
          </w:p>
        </w:tc>
      </w:tr>
      <w:tr w14:paraId="348C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247F39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2262FC1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46C3A32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4B69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6F98BBF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AD693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支持以服务生活困难和失能失智老年人为主的养老机构(含特困人员供养服务设施)、街道(乡镇)和社区养老服务设施维修改造和设备配置；支持开展老年人能力评估。</w:t>
            </w:r>
          </w:p>
        </w:tc>
      </w:tr>
      <w:tr w14:paraId="1C1D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2929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E05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5F5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1EB1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B29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036C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C6BF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0935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629B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8DCC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13E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≥1个</w:t>
            </w:r>
          </w:p>
        </w:tc>
      </w:tr>
      <w:tr w14:paraId="4585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B19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39A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33E2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00E3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养老服务机构护理型床位新增数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075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≥50张</w:t>
            </w:r>
          </w:p>
        </w:tc>
      </w:tr>
      <w:tr w14:paraId="2878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AA0C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2B22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EDF8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9489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0CA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≥200人次</w:t>
            </w:r>
          </w:p>
        </w:tc>
      </w:tr>
      <w:tr w14:paraId="2E84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2E6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DB42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nil"/>
              <w:left w:val="single" w:color="000000" w:sz="4" w:space="0"/>
              <w:bottom w:val="nil"/>
              <w:right w:val="single" w:color="000000" w:sz="4" w:space="0"/>
            </w:tcBorders>
            <w:shd w:val="clear" w:color="auto" w:fill="auto"/>
            <w:vAlign w:val="center"/>
          </w:tcPr>
          <w:p w14:paraId="0EDB4D5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CAD2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护理型床位验收合格率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04A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34BD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FA24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63A9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nil"/>
              <w:left w:val="single" w:color="000000" w:sz="4" w:space="0"/>
              <w:bottom w:val="nil"/>
              <w:right w:val="single" w:color="000000" w:sz="4" w:space="0"/>
            </w:tcBorders>
            <w:shd w:val="clear" w:color="auto" w:fill="auto"/>
            <w:vAlign w:val="center"/>
          </w:tcPr>
          <w:p w14:paraId="71238CD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40AA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C11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6222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B39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C50B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680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C09D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886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4269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B07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6E9547D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2184969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8EAD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2B0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0941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D786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3A9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FF3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2F6A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511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5BF2A915">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3E87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9170" w:type="dxa"/>
            <w:gridSpan w:val="6"/>
            <w:tcBorders>
              <w:top w:val="nil"/>
              <w:left w:val="nil"/>
              <w:bottom w:val="nil"/>
              <w:right w:val="nil"/>
            </w:tcBorders>
            <w:shd w:val="clear" w:color="auto" w:fill="auto"/>
            <w:vAlign w:val="center"/>
          </w:tcPr>
          <w:p w14:paraId="50670FD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22A5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170" w:type="dxa"/>
            <w:gridSpan w:val="6"/>
            <w:tcBorders>
              <w:top w:val="nil"/>
              <w:left w:val="nil"/>
              <w:bottom w:val="nil"/>
              <w:right w:val="nil"/>
            </w:tcBorders>
            <w:shd w:val="clear" w:color="auto" w:fill="auto"/>
            <w:vAlign w:val="center"/>
          </w:tcPr>
          <w:p w14:paraId="290CD1F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博州）</w:t>
            </w:r>
          </w:p>
        </w:tc>
      </w:tr>
      <w:tr w14:paraId="0E29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3285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E8C0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662E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A755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5436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13C8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29FC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A78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C01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7B6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745D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4A6AE27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302A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78F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359</w:t>
            </w:r>
          </w:p>
        </w:tc>
      </w:tr>
      <w:tr w14:paraId="79CF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1597EB3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A5F1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AC5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359</w:t>
            </w:r>
          </w:p>
        </w:tc>
      </w:tr>
      <w:tr w14:paraId="55F6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74E870B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05D35F0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56E6CE5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3402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7319283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B49E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支持以服务生活困难和失能失智老年人为主的养老机构(含特困人员供养服务设施)、街道(乡镇)和社区养老服务设施维修改造和设备配置；支持开展老年人能力评估。</w:t>
            </w:r>
          </w:p>
        </w:tc>
      </w:tr>
      <w:tr w14:paraId="696B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043B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AF8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B49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93E3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3FE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3F46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D263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02F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779B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CC8A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维修改造社区日间照料中心数量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2DC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≥2个</w:t>
            </w:r>
          </w:p>
        </w:tc>
      </w:tr>
      <w:tr w14:paraId="540F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F760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3F5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DE7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010C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3A0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≥110人次</w:t>
            </w:r>
          </w:p>
        </w:tc>
      </w:tr>
      <w:tr w14:paraId="401A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24E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498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nil"/>
              <w:left w:val="single" w:color="000000" w:sz="4" w:space="0"/>
              <w:bottom w:val="nil"/>
              <w:right w:val="single" w:color="000000" w:sz="4" w:space="0"/>
            </w:tcBorders>
            <w:shd w:val="clear" w:color="auto" w:fill="auto"/>
            <w:vAlign w:val="center"/>
          </w:tcPr>
          <w:p w14:paraId="2E5B6F6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92B6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维修改造社区日间照料中心项目验收合格率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C03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5CD9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B55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E22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A99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E7E5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维修改造社区日间照料中心项目按时开工率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E47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49AD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1084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E0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16C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经济成本指标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8424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预算成本控制率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CCF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r>
      <w:tr w14:paraId="0883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5B19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461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ED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34BA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F3C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5584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EE34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63F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C98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8957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347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10C8BBFA">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1C0E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70" w:type="dxa"/>
            <w:gridSpan w:val="6"/>
            <w:tcBorders>
              <w:top w:val="nil"/>
              <w:left w:val="nil"/>
              <w:bottom w:val="nil"/>
              <w:right w:val="nil"/>
            </w:tcBorders>
            <w:shd w:val="clear" w:color="auto" w:fill="auto"/>
            <w:vAlign w:val="center"/>
          </w:tcPr>
          <w:p w14:paraId="30EF674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7420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170" w:type="dxa"/>
            <w:gridSpan w:val="6"/>
            <w:tcBorders>
              <w:top w:val="nil"/>
              <w:left w:val="nil"/>
              <w:bottom w:val="nil"/>
              <w:right w:val="nil"/>
            </w:tcBorders>
            <w:shd w:val="clear" w:color="auto" w:fill="auto"/>
            <w:vAlign w:val="center"/>
          </w:tcPr>
          <w:p w14:paraId="3B551AA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克拉玛依市）</w:t>
            </w:r>
          </w:p>
        </w:tc>
      </w:tr>
      <w:tr w14:paraId="3B72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95CB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7D1C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373A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8857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3CA4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51F0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4863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6D1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C76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B8D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09B8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4421F30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7E2F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9DE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598</w:t>
            </w:r>
          </w:p>
        </w:tc>
      </w:tr>
      <w:tr w14:paraId="0EE4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175199F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9937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1A1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598</w:t>
            </w:r>
          </w:p>
        </w:tc>
      </w:tr>
      <w:tr w14:paraId="5FE5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6F9D8E3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5B9F070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133C1A6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48BC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5BB8B17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03DE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支持以服务生活困难和失能失智老年人为主的养老机构(含特困人员供养服务设施)、街道(乡镇)和社区养老服务设施维修改造和设备配置；支持开展老年人能力评估。</w:t>
            </w:r>
          </w:p>
        </w:tc>
      </w:tr>
      <w:tr w14:paraId="1287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002B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41E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92C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3608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AF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0D28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1E15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36D9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BD11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2CA9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96E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≥1个</w:t>
            </w:r>
          </w:p>
        </w:tc>
      </w:tr>
      <w:tr w14:paraId="2CE3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ECA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99DA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314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3B38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维修改造社区日间照料中心数量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CC1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≥2个</w:t>
            </w:r>
          </w:p>
        </w:tc>
      </w:tr>
      <w:tr w14:paraId="7579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64E5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8DE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4024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41F9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养老服务机构护理型床位新增数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157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≥126张</w:t>
            </w:r>
          </w:p>
        </w:tc>
      </w:tr>
      <w:tr w14:paraId="63E4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5E7F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348B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5922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292A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803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≥120人次</w:t>
            </w:r>
          </w:p>
        </w:tc>
      </w:tr>
      <w:tr w14:paraId="3896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13D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5394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nil"/>
              <w:left w:val="single" w:color="000000" w:sz="4" w:space="0"/>
              <w:bottom w:val="nil"/>
              <w:right w:val="single" w:color="000000" w:sz="4" w:space="0"/>
            </w:tcBorders>
            <w:shd w:val="clear" w:color="auto" w:fill="auto"/>
            <w:vAlign w:val="center"/>
          </w:tcPr>
          <w:p w14:paraId="05C7F37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4ECC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D13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0C9A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861A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4C0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nil"/>
              <w:left w:val="single" w:color="000000" w:sz="4" w:space="0"/>
              <w:bottom w:val="nil"/>
              <w:right w:val="single" w:color="000000" w:sz="4" w:space="0"/>
            </w:tcBorders>
            <w:shd w:val="clear" w:color="auto" w:fill="auto"/>
            <w:vAlign w:val="center"/>
          </w:tcPr>
          <w:p w14:paraId="34C3D1A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ADF1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维修改造社区日间照料中心项目验收合格率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632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469B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5033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567B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nil"/>
              <w:left w:val="single" w:color="000000" w:sz="4" w:space="0"/>
              <w:bottom w:val="nil"/>
              <w:right w:val="single" w:color="000000" w:sz="4" w:space="0"/>
            </w:tcBorders>
            <w:shd w:val="clear" w:color="auto" w:fill="auto"/>
            <w:vAlign w:val="center"/>
          </w:tcPr>
          <w:p w14:paraId="5445996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D4DE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护理型床位验收合格率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FC7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1E28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73FE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C528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55D5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15B1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242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71EF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21D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A12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BBF5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3389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维修改造社区日间照料中心项目按时开工率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BA0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3F7D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1228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nil"/>
              <w:left w:val="single" w:color="000000" w:sz="4" w:space="0"/>
              <w:bottom w:val="nil"/>
              <w:right w:val="single" w:color="000000" w:sz="4" w:space="0"/>
            </w:tcBorders>
            <w:shd w:val="clear" w:color="auto" w:fill="auto"/>
            <w:vAlign w:val="center"/>
          </w:tcPr>
          <w:p w14:paraId="0E0DE4D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75C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076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CE7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22A9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0E6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F55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945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E586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B59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75DBAFFE">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72A6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170" w:type="dxa"/>
            <w:gridSpan w:val="6"/>
            <w:tcBorders>
              <w:top w:val="nil"/>
              <w:left w:val="nil"/>
              <w:bottom w:val="nil"/>
              <w:right w:val="nil"/>
            </w:tcBorders>
            <w:shd w:val="clear" w:color="auto" w:fill="auto"/>
            <w:vAlign w:val="center"/>
          </w:tcPr>
          <w:p w14:paraId="0AD3247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48B2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170" w:type="dxa"/>
            <w:gridSpan w:val="6"/>
            <w:tcBorders>
              <w:top w:val="nil"/>
              <w:left w:val="nil"/>
              <w:bottom w:val="nil"/>
              <w:right w:val="nil"/>
            </w:tcBorders>
            <w:shd w:val="clear" w:color="auto" w:fill="auto"/>
            <w:vAlign w:val="center"/>
          </w:tcPr>
          <w:p w14:paraId="20498EC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昌吉州）</w:t>
            </w:r>
          </w:p>
        </w:tc>
      </w:tr>
      <w:tr w14:paraId="23CE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A145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2CD2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209E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A423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0D88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11D7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70F9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AE0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964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690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3996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0541940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CD9A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7FF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735</w:t>
            </w:r>
          </w:p>
        </w:tc>
      </w:tr>
      <w:tr w14:paraId="3CF4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0104A63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B1E5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382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735</w:t>
            </w:r>
          </w:p>
        </w:tc>
      </w:tr>
      <w:tr w14:paraId="7CB6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081B881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297144B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1B515F3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55F4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5B5E44C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56B8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一、支持以服务生活困难和失能失智老年人为主的养老机构(含特困人员供养服务设施)、街道(乡镇)和社区养老服务设施维修改造和设备配置。</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二、支持殡葬设施设备配置。</w:t>
            </w:r>
          </w:p>
        </w:tc>
      </w:tr>
      <w:tr w14:paraId="093F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C967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FC6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68D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BC90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429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3D4B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7CEB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B4F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219A4F9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DE6E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4D5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≥1个</w:t>
            </w:r>
          </w:p>
        </w:tc>
      </w:tr>
      <w:tr w14:paraId="0B1B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FDF4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6CD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0771EA4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28E8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养老服务机构护理型床位新增数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0E3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≥100张</w:t>
            </w:r>
          </w:p>
        </w:tc>
      </w:tr>
      <w:tr w14:paraId="7F74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C12E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02A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2ADABA9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09FE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殡葬设施设备配置数量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1A5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≥1台（套）</w:t>
            </w:r>
          </w:p>
        </w:tc>
      </w:tr>
      <w:tr w14:paraId="50B3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CA8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407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5EB9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1324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0CB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7394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C4C5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FDF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3F47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BC46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护理型床位验收合格率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128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6232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270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B93D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051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21A7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配置的设施设备验收合格率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440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r>
      <w:tr w14:paraId="11A5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3C7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6D8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75F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7410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FB1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0695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6D5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nil"/>
              <w:left w:val="single" w:color="000000" w:sz="4" w:space="0"/>
              <w:bottom w:val="nil"/>
              <w:right w:val="single" w:color="000000" w:sz="4" w:space="0"/>
            </w:tcBorders>
            <w:shd w:val="clear" w:color="auto" w:fill="auto"/>
            <w:vAlign w:val="center"/>
          </w:tcPr>
          <w:p w14:paraId="3B1E700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0D868AE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608E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3B9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3DF7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711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9CA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415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784E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EBF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05B36A94">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7B50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9170" w:type="dxa"/>
            <w:gridSpan w:val="6"/>
            <w:tcBorders>
              <w:top w:val="nil"/>
              <w:left w:val="nil"/>
              <w:bottom w:val="nil"/>
              <w:right w:val="nil"/>
            </w:tcBorders>
            <w:shd w:val="clear" w:color="auto" w:fill="auto"/>
            <w:vAlign w:val="center"/>
          </w:tcPr>
          <w:p w14:paraId="2B6BD13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0EF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170" w:type="dxa"/>
            <w:gridSpan w:val="6"/>
            <w:tcBorders>
              <w:top w:val="nil"/>
              <w:left w:val="nil"/>
              <w:bottom w:val="nil"/>
              <w:right w:val="nil"/>
            </w:tcBorders>
            <w:shd w:val="clear" w:color="auto" w:fill="auto"/>
            <w:vAlign w:val="center"/>
          </w:tcPr>
          <w:p w14:paraId="6A2CA12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哈密市）</w:t>
            </w:r>
          </w:p>
        </w:tc>
      </w:tr>
      <w:tr w14:paraId="3CC6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8C80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FBD1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649A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33CA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A84D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1AD1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B3DE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C6A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4AE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185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611D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45DE5C3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E8B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2F3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861</w:t>
            </w:r>
          </w:p>
        </w:tc>
      </w:tr>
      <w:tr w14:paraId="6E17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46FED4C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FB0B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ACE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861</w:t>
            </w:r>
          </w:p>
        </w:tc>
      </w:tr>
      <w:tr w14:paraId="7965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27A4EAF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36D9AE4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56973CB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424D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3D5E44D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7E73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支持以服务生活困难和失能失智老年人为主的养老机构(含特困人员供养服务设施)、街道(乡镇)和社区养老服务设施维修改造和设备配置；支持开展老年人能力评估。</w:t>
            </w:r>
          </w:p>
        </w:tc>
      </w:tr>
      <w:tr w14:paraId="1C39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DFEC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F5C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FBF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3437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49C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4D4B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7A15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2A48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FA9F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9432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513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≥1个</w:t>
            </w:r>
          </w:p>
        </w:tc>
      </w:tr>
      <w:tr w14:paraId="4B634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40C1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313F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9424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0E5D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BAE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≥90人次</w:t>
            </w:r>
          </w:p>
        </w:tc>
      </w:tr>
      <w:tr w14:paraId="7993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B525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C3C3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1977E3E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553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4C2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278E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DB5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6DE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EED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26A0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DDA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1896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288F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0C1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507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经济成本指标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EF80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预算成本控制率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7B7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r>
      <w:tr w14:paraId="43D7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BAE6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3D3536A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03924EE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86A6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496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3EEB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D0E0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D9B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3CB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AA4F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D83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4707E591">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78E2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170" w:type="dxa"/>
            <w:gridSpan w:val="6"/>
            <w:tcBorders>
              <w:top w:val="nil"/>
              <w:left w:val="nil"/>
              <w:bottom w:val="nil"/>
              <w:right w:val="nil"/>
            </w:tcBorders>
            <w:shd w:val="clear" w:color="auto" w:fill="auto"/>
            <w:vAlign w:val="center"/>
          </w:tcPr>
          <w:p w14:paraId="7897FDB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258E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170" w:type="dxa"/>
            <w:gridSpan w:val="6"/>
            <w:tcBorders>
              <w:top w:val="nil"/>
              <w:left w:val="nil"/>
              <w:bottom w:val="nil"/>
              <w:right w:val="nil"/>
            </w:tcBorders>
            <w:shd w:val="clear" w:color="auto" w:fill="auto"/>
            <w:vAlign w:val="center"/>
          </w:tcPr>
          <w:p w14:paraId="2173E42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吐鲁番市）</w:t>
            </w:r>
          </w:p>
        </w:tc>
      </w:tr>
      <w:tr w14:paraId="6C7C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F445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0C80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6A31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BC09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473C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759E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3F44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E80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0C5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916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6656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657CA3F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FBBE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685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308</w:t>
            </w:r>
          </w:p>
        </w:tc>
      </w:tr>
      <w:tr w14:paraId="56C0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04C1764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ACBC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698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308</w:t>
            </w:r>
          </w:p>
        </w:tc>
      </w:tr>
      <w:tr w14:paraId="6863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59735D2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158604A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5998F36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68F2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4EE6659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C436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一、支持开展老年人能力评估，为经济困难老年人提供家庭养老床位建设及居家上门服务，提高经济困难老年人居家养老服务水平。</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二、支持殡葬设施设备配置。</w:t>
            </w:r>
          </w:p>
        </w:tc>
      </w:tr>
      <w:tr w14:paraId="5458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FDF6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12C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90C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DB98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4E6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12DD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313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BBE7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7682453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9C15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F85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≥160人次</w:t>
            </w:r>
          </w:p>
        </w:tc>
      </w:tr>
      <w:tr w14:paraId="4C22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9182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1D12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03A661A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1C23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殡葬设施设备配置数量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1FC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≥1台（套）</w:t>
            </w:r>
          </w:p>
        </w:tc>
      </w:tr>
      <w:tr w14:paraId="6C60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3BD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5503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E0B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8C67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配置的设施设备验收合格率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881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r>
      <w:tr w14:paraId="5579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671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FDC6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C5B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3379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老年人能力评估服务按时开工率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921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36BE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3AE9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665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E78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经济成本指标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6C50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预算成本控制率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4AA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r>
      <w:tr w14:paraId="50AE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CF7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nil"/>
              <w:left w:val="single" w:color="000000" w:sz="4" w:space="0"/>
              <w:bottom w:val="nil"/>
              <w:right w:val="single" w:color="000000" w:sz="4" w:space="0"/>
            </w:tcBorders>
            <w:shd w:val="clear" w:color="auto" w:fill="auto"/>
            <w:vAlign w:val="center"/>
          </w:tcPr>
          <w:p w14:paraId="4627312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8F0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8DA3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2F1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5CF6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AF4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493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BEF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3CED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44D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10F3E1E2">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30AC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70" w:type="dxa"/>
            <w:gridSpan w:val="6"/>
            <w:tcBorders>
              <w:top w:val="nil"/>
              <w:left w:val="nil"/>
              <w:bottom w:val="nil"/>
              <w:right w:val="nil"/>
            </w:tcBorders>
            <w:shd w:val="clear" w:color="auto" w:fill="auto"/>
            <w:vAlign w:val="center"/>
          </w:tcPr>
          <w:p w14:paraId="4D23E78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6E89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170" w:type="dxa"/>
            <w:gridSpan w:val="6"/>
            <w:tcBorders>
              <w:top w:val="nil"/>
              <w:left w:val="nil"/>
              <w:bottom w:val="nil"/>
              <w:right w:val="nil"/>
            </w:tcBorders>
            <w:shd w:val="clear" w:color="auto" w:fill="auto"/>
            <w:vAlign w:val="center"/>
          </w:tcPr>
          <w:p w14:paraId="09F4724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巴州）</w:t>
            </w:r>
          </w:p>
        </w:tc>
      </w:tr>
      <w:tr w14:paraId="70A4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13A1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E129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7621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3628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FF19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20A2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0C95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7C9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0AF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231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3A91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151B215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CC10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F63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793</w:t>
            </w:r>
          </w:p>
        </w:tc>
      </w:tr>
      <w:tr w14:paraId="780A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1388DF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9B9C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0B3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793</w:t>
            </w:r>
          </w:p>
        </w:tc>
      </w:tr>
      <w:tr w14:paraId="756A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0BB3FA3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2B1F5E9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1E0CB9C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7CC4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13817D9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67B72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支持以服务生活困难和失能失智老年人为主的养老机构(含特困人员供养服务设施)、街道(乡镇)和社区养老服务设施维修改造和设备配置；支持开展老年人能力评估。</w:t>
            </w:r>
          </w:p>
        </w:tc>
      </w:tr>
      <w:tr w14:paraId="60C7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84B0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701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164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E70F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143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06A4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9D0B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EBC6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4ECF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A330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维修改造社区日间照料中心数量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D0B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≥2个</w:t>
            </w:r>
          </w:p>
        </w:tc>
      </w:tr>
      <w:tr w14:paraId="1650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3B8C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0006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432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8E06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养老服务机构护理型床位新增数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829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≥30张</w:t>
            </w:r>
          </w:p>
        </w:tc>
      </w:tr>
      <w:tr w14:paraId="5244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CA6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A09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196A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72BD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00A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≥430人次</w:t>
            </w:r>
          </w:p>
        </w:tc>
      </w:tr>
      <w:tr w14:paraId="416C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9349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F58B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nil"/>
              <w:left w:val="single" w:color="000000" w:sz="4" w:space="0"/>
              <w:bottom w:val="nil"/>
              <w:right w:val="single" w:color="000000" w:sz="4" w:space="0"/>
            </w:tcBorders>
            <w:shd w:val="clear" w:color="auto" w:fill="auto"/>
            <w:vAlign w:val="center"/>
          </w:tcPr>
          <w:p w14:paraId="34FA74D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0F5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维修改造社区日间照料中心项目验收合格率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532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6461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132B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D6F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nil"/>
              <w:left w:val="single" w:color="000000" w:sz="4" w:space="0"/>
              <w:bottom w:val="nil"/>
              <w:right w:val="single" w:color="000000" w:sz="4" w:space="0"/>
            </w:tcBorders>
            <w:shd w:val="clear" w:color="auto" w:fill="auto"/>
            <w:vAlign w:val="center"/>
          </w:tcPr>
          <w:p w14:paraId="095CE97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388C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护理型床位验收合格率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25A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4AFA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21C6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CD92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D83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B87E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维修改造社区日间照料中心项目按时开工率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7BB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5069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A484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984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B92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3C6E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6D4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2AE6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E780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3C1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CB5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5175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99E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6ADE19DF">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2FC6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9170" w:type="dxa"/>
            <w:gridSpan w:val="6"/>
            <w:tcBorders>
              <w:top w:val="nil"/>
              <w:left w:val="nil"/>
              <w:bottom w:val="nil"/>
              <w:right w:val="nil"/>
            </w:tcBorders>
            <w:shd w:val="clear" w:color="auto" w:fill="auto"/>
            <w:vAlign w:val="center"/>
          </w:tcPr>
          <w:p w14:paraId="158B61D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66F8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170" w:type="dxa"/>
            <w:gridSpan w:val="6"/>
            <w:tcBorders>
              <w:top w:val="nil"/>
              <w:left w:val="nil"/>
              <w:bottom w:val="nil"/>
              <w:right w:val="nil"/>
            </w:tcBorders>
            <w:shd w:val="clear" w:color="auto" w:fill="auto"/>
            <w:vAlign w:val="center"/>
          </w:tcPr>
          <w:p w14:paraId="07C8977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克州）</w:t>
            </w:r>
          </w:p>
        </w:tc>
      </w:tr>
      <w:tr w14:paraId="3435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2201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C8B6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2552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E338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ED82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4A81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71EA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B44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D76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A02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0EB5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06BF2E8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3DC8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A8F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190</w:t>
            </w:r>
          </w:p>
        </w:tc>
      </w:tr>
      <w:tr w14:paraId="1D1D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552B44A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8271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BDD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190</w:t>
            </w:r>
          </w:p>
        </w:tc>
      </w:tr>
      <w:tr w14:paraId="0862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436FB6B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2AF17C1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032C0B0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3C7B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6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6CD3B0A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8AD5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支持开展老年人能力评估，为经济困难老年人提供家庭养老床位建设及居家上门服务，提高经济困难老年人居家养老服务水平。</w:t>
            </w:r>
          </w:p>
        </w:tc>
      </w:tr>
      <w:tr w14:paraId="6F7B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D706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E41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FD1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0C5C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26B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7B2C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942D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9ECB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EB17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1D5F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经济困难老年人家庭养老床位建设及居家上门服务户数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68B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≥380户</w:t>
            </w:r>
          </w:p>
        </w:tc>
      </w:tr>
      <w:tr w14:paraId="187B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8FF6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F1B0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B588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17D9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D19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≥380人次</w:t>
            </w:r>
          </w:p>
        </w:tc>
      </w:tr>
      <w:tr w14:paraId="7D45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C05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D3F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nil"/>
              <w:left w:val="single" w:color="000000" w:sz="4" w:space="0"/>
              <w:bottom w:val="nil"/>
              <w:right w:val="single" w:color="000000" w:sz="4" w:space="0"/>
            </w:tcBorders>
            <w:shd w:val="clear" w:color="auto" w:fill="auto"/>
            <w:vAlign w:val="center"/>
          </w:tcPr>
          <w:p w14:paraId="2A1FB5A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8E35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经济困难老年人家庭养老床位建设及居家上门服务项目验收合格率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8F9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220F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621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EA44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A90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ABA1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老年人能力评估服务按时开工率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9A0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249C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A15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290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107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经济成本指标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EC27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预算成本控制率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EA9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r>
      <w:tr w14:paraId="59D2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1AEF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nil"/>
              <w:left w:val="single" w:color="000000" w:sz="4" w:space="0"/>
              <w:bottom w:val="nil"/>
              <w:right w:val="single" w:color="000000" w:sz="4" w:space="0"/>
            </w:tcBorders>
            <w:shd w:val="clear" w:color="auto" w:fill="auto"/>
            <w:vAlign w:val="center"/>
          </w:tcPr>
          <w:p w14:paraId="1D4AA80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57BC76D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96C3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042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70F0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57FC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221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77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0FD9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C73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1962F798">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6405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70" w:type="dxa"/>
            <w:gridSpan w:val="6"/>
            <w:tcBorders>
              <w:top w:val="nil"/>
              <w:left w:val="nil"/>
              <w:bottom w:val="nil"/>
              <w:right w:val="nil"/>
            </w:tcBorders>
            <w:shd w:val="clear" w:color="auto" w:fill="auto"/>
            <w:vAlign w:val="center"/>
          </w:tcPr>
          <w:p w14:paraId="052A3B6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62DB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170" w:type="dxa"/>
            <w:gridSpan w:val="6"/>
            <w:tcBorders>
              <w:top w:val="nil"/>
              <w:left w:val="nil"/>
              <w:bottom w:val="nil"/>
              <w:right w:val="nil"/>
            </w:tcBorders>
            <w:shd w:val="clear" w:color="auto" w:fill="auto"/>
            <w:vAlign w:val="center"/>
          </w:tcPr>
          <w:p w14:paraId="6256699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阿克苏地区）</w:t>
            </w:r>
          </w:p>
        </w:tc>
      </w:tr>
      <w:tr w14:paraId="59E1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90F1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E05E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4648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5387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8EB7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0B80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A8D0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F8C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EC2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302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5CF3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149336A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9216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7E3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1259</w:t>
            </w:r>
          </w:p>
        </w:tc>
      </w:tr>
      <w:tr w14:paraId="5B5B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10BB8ED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F27F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6C8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1259</w:t>
            </w:r>
          </w:p>
        </w:tc>
      </w:tr>
      <w:tr w14:paraId="7DEF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EE1EAA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5E3FC3C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6B62D19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636B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0CC463C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48E06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一、支持以服务生活困难和失能失智老年人为主的养老机构(含特困人员供养服务设施)、街道(乡镇)和社区养老服务设施维修改造和设备配置；支持开展老年人能力评估。</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二、支持儿童福利服务机构设施设备配置。</w:t>
            </w:r>
          </w:p>
        </w:tc>
      </w:tr>
      <w:tr w14:paraId="73D0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37E0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B68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59E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D6A4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DF9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2E2A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7990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6E1A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2274640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501F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A98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≥1个</w:t>
            </w:r>
          </w:p>
        </w:tc>
      </w:tr>
      <w:tr w14:paraId="30DF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480E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9555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69E3675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5D3D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养老服务机构护理型床位新增数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1CF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≥30张</w:t>
            </w:r>
          </w:p>
        </w:tc>
      </w:tr>
      <w:tr w14:paraId="3B11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05B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21B6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D53273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0BE3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5DA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≥440人次</w:t>
            </w:r>
          </w:p>
        </w:tc>
      </w:tr>
      <w:tr w14:paraId="0DBB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9B84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538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696C3BB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FDC4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儿童福利服务机构新配置设施设备数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28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≥2台（套）</w:t>
            </w:r>
          </w:p>
        </w:tc>
      </w:tr>
      <w:tr w14:paraId="63B5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DA05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036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A899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299C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护理型床位验收合格率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F14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00D2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F520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C23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D7C8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B5D6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4AA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2E80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7FD6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2C8E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9CD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959B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配置的设施设备验收合格率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DA3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r>
      <w:tr w14:paraId="1AB7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65F8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A367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5B730D5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4104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E85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1EF5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8195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nil"/>
              <w:left w:val="single" w:color="000000" w:sz="4" w:space="0"/>
              <w:bottom w:val="nil"/>
              <w:right w:val="single" w:color="000000" w:sz="4" w:space="0"/>
            </w:tcBorders>
            <w:shd w:val="clear" w:color="auto" w:fill="auto"/>
            <w:vAlign w:val="center"/>
          </w:tcPr>
          <w:p w14:paraId="41897C6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5DB90E2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4576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3A0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2AC2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508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297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7F7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F40E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B75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4C8C5187">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7E7E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9170" w:type="dxa"/>
            <w:gridSpan w:val="6"/>
            <w:tcBorders>
              <w:top w:val="nil"/>
              <w:left w:val="nil"/>
              <w:bottom w:val="nil"/>
              <w:right w:val="nil"/>
            </w:tcBorders>
            <w:shd w:val="clear" w:color="auto" w:fill="auto"/>
            <w:vAlign w:val="center"/>
          </w:tcPr>
          <w:p w14:paraId="03D400E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2EB3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170" w:type="dxa"/>
            <w:gridSpan w:val="6"/>
            <w:tcBorders>
              <w:top w:val="nil"/>
              <w:left w:val="nil"/>
              <w:bottom w:val="nil"/>
              <w:right w:val="nil"/>
            </w:tcBorders>
            <w:shd w:val="clear" w:color="auto" w:fill="auto"/>
            <w:vAlign w:val="center"/>
          </w:tcPr>
          <w:p w14:paraId="009AFBA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喀什地区）</w:t>
            </w:r>
          </w:p>
        </w:tc>
      </w:tr>
      <w:tr w14:paraId="3208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8329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EDB9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116F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5431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7C73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320D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D02F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7AC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F51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2A0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2C03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75C2B20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F12B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46F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794</w:t>
            </w:r>
          </w:p>
        </w:tc>
      </w:tr>
      <w:tr w14:paraId="4C11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4816CC6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1E93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E17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794</w:t>
            </w:r>
          </w:p>
        </w:tc>
      </w:tr>
      <w:tr w14:paraId="2B9E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00CE1B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3FCDACA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76D737F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747B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0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4CC147F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6AF4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一、支持以服务生活困难和失能失智老年人为主的养老机构(含特困人员供养服务设施)、街道(乡镇)和社区养老服务设施维修改造和设备配置；支持开展老年人能力评估。</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二、支持儿童福利服务机构设施设备配置。</w:t>
            </w:r>
          </w:p>
        </w:tc>
      </w:tr>
      <w:tr w14:paraId="2A0D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EE80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AD8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5E7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4807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9D2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70D2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D50F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C309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42E7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F231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4D3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≥2个</w:t>
            </w:r>
          </w:p>
        </w:tc>
      </w:tr>
      <w:tr w14:paraId="5DC5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04B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359B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421A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7258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D85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≥380人次</w:t>
            </w:r>
          </w:p>
        </w:tc>
      </w:tr>
      <w:tr w14:paraId="0EA8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086B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0365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D26E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1275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儿童福利服务机构新配置设施设备数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2B0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≥1台（套）</w:t>
            </w:r>
          </w:p>
        </w:tc>
      </w:tr>
      <w:tr w14:paraId="338C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F02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BC3B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nil"/>
              <w:left w:val="single" w:color="000000" w:sz="4" w:space="0"/>
              <w:bottom w:val="nil"/>
              <w:right w:val="single" w:color="000000" w:sz="4" w:space="0"/>
            </w:tcBorders>
            <w:shd w:val="clear" w:color="auto" w:fill="auto"/>
            <w:vAlign w:val="center"/>
          </w:tcPr>
          <w:p w14:paraId="09C3FE6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86C8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233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3DDC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FCDA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631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nil"/>
              <w:left w:val="single" w:color="000000" w:sz="4" w:space="0"/>
              <w:bottom w:val="nil"/>
              <w:right w:val="single" w:color="000000" w:sz="4" w:space="0"/>
            </w:tcBorders>
            <w:shd w:val="clear" w:color="auto" w:fill="auto"/>
            <w:vAlign w:val="center"/>
          </w:tcPr>
          <w:p w14:paraId="1305A8C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6FF1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配置的设施设备验收合格率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337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r>
      <w:tr w14:paraId="2263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073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F7A3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116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8697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1CA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071E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5B1E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nil"/>
              <w:left w:val="single" w:color="000000" w:sz="4" w:space="0"/>
              <w:bottom w:val="nil"/>
              <w:right w:val="single" w:color="000000" w:sz="4" w:space="0"/>
            </w:tcBorders>
            <w:shd w:val="clear" w:color="auto" w:fill="auto"/>
            <w:vAlign w:val="center"/>
          </w:tcPr>
          <w:p w14:paraId="2C8B1F6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67BBB92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D43C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7EE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30EB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C0B1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89C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1BF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7DD2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B5F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3A1C8D74">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p>
    <w:tbl>
      <w:tblPr>
        <w:tblStyle w:val="12"/>
        <w:tblW w:w="91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2730"/>
        <w:gridCol w:w="1810"/>
        <w:gridCol w:w="1750"/>
      </w:tblGrid>
      <w:tr w14:paraId="7DD9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9170" w:type="dxa"/>
            <w:gridSpan w:val="6"/>
            <w:tcBorders>
              <w:top w:val="nil"/>
              <w:left w:val="nil"/>
              <w:bottom w:val="nil"/>
              <w:right w:val="nil"/>
            </w:tcBorders>
            <w:shd w:val="clear" w:color="auto" w:fill="auto"/>
            <w:vAlign w:val="center"/>
          </w:tcPr>
          <w:p w14:paraId="40E28E4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b/>
                <w:bCs w:val="0"/>
                <w:i w:val="0"/>
                <w:color w:val="000000"/>
                <w:kern w:val="0"/>
                <w:sz w:val="30"/>
                <w:szCs w:val="30"/>
                <w:highlight w:val="none"/>
                <w:u w:val="none"/>
                <w:lang w:val="en-US" w:eastAsia="zh-CN" w:bidi="ar"/>
              </w:rPr>
              <w:t>中央对地方专项转移支付区域绩效目标表</w:t>
            </w:r>
          </w:p>
        </w:tc>
      </w:tr>
      <w:tr w14:paraId="41D3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170" w:type="dxa"/>
            <w:gridSpan w:val="6"/>
            <w:tcBorders>
              <w:top w:val="nil"/>
              <w:left w:val="nil"/>
              <w:bottom w:val="nil"/>
              <w:right w:val="nil"/>
            </w:tcBorders>
            <w:shd w:val="clear" w:color="auto" w:fill="auto"/>
            <w:vAlign w:val="center"/>
          </w:tcPr>
          <w:p w14:paraId="7EC919C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 和田地区）</w:t>
            </w:r>
          </w:p>
        </w:tc>
      </w:tr>
      <w:tr w14:paraId="29AD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97D2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项目名称</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872C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中央集中彩票公益金支持支持社会福利事业专项资金项目</w:t>
            </w:r>
          </w:p>
        </w:tc>
      </w:tr>
      <w:tr w14:paraId="1F56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2CC7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6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BD07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5976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1093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省级财政部门</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EF2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自治区财政厅</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DA3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省级主管部门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039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r>
      <w:tr w14:paraId="082A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16D944F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资金情况（万元）</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2E8B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年度金额：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943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748</w:t>
            </w:r>
          </w:p>
        </w:tc>
      </w:tr>
      <w:tr w14:paraId="7E48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21AD156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E1A9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其中：中央补助</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233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748</w:t>
            </w:r>
          </w:p>
        </w:tc>
      </w:tr>
      <w:tr w14:paraId="6157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8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11FBE7F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nil"/>
              <w:right w:val="single" w:color="000000" w:sz="4" w:space="0"/>
            </w:tcBorders>
            <w:shd w:val="clear" w:color="auto" w:fill="auto"/>
            <w:vAlign w:val="center"/>
          </w:tcPr>
          <w:p w14:paraId="5D0EC96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地方补助</w:t>
            </w: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79520F2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0509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20" w:hRule="atLeast"/>
        </w:trPr>
        <w:tc>
          <w:tcPr>
            <w:tcW w:w="960" w:type="dxa"/>
            <w:tcBorders>
              <w:top w:val="single" w:color="000000" w:sz="4" w:space="0"/>
              <w:left w:val="single" w:color="000000" w:sz="4" w:space="0"/>
              <w:bottom w:val="single" w:color="000000" w:sz="4" w:space="0"/>
              <w:right w:val="nil"/>
            </w:tcBorders>
            <w:shd w:val="clear" w:color="auto" w:fill="auto"/>
            <w:vAlign w:val="center"/>
          </w:tcPr>
          <w:p w14:paraId="3935F9A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年度总体目标</w:t>
            </w:r>
          </w:p>
        </w:tc>
        <w:tc>
          <w:tcPr>
            <w:tcW w:w="8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B793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支持以服务生活困难和失能失智老年人为主的养老机构(含特困人员供养服务设施)、街道(乡镇)和社区养老服务设施维修改造和设备配置；支持开展老年人能力评估。</w:t>
            </w:r>
          </w:p>
        </w:tc>
      </w:tr>
      <w:tr w14:paraId="06F8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7920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11B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90E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3C06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6B3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r>
      <w:tr w14:paraId="6714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E402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1FEBEB1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FA35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587A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FC3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≥1个</w:t>
            </w:r>
          </w:p>
        </w:tc>
      </w:tr>
      <w:tr w14:paraId="3C5D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55B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6E08FEC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AFBC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4AA1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022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≥390人次</w:t>
            </w:r>
          </w:p>
        </w:tc>
      </w:tr>
      <w:tr w14:paraId="3FB6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9180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A82FF0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restart"/>
            <w:tcBorders>
              <w:top w:val="nil"/>
              <w:left w:val="single" w:color="000000" w:sz="4" w:space="0"/>
              <w:bottom w:val="nil"/>
              <w:right w:val="single" w:color="000000" w:sz="4" w:space="0"/>
            </w:tcBorders>
            <w:shd w:val="clear" w:color="auto" w:fill="auto"/>
            <w:vAlign w:val="center"/>
          </w:tcPr>
          <w:p w14:paraId="3760E5D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811F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维修改造养老服务机构项目验收合格率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C9B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5120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D2C8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55E4669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nil"/>
              <w:left w:val="single" w:color="000000" w:sz="4" w:space="0"/>
              <w:bottom w:val="nil"/>
              <w:right w:val="single" w:color="000000" w:sz="4" w:space="0"/>
            </w:tcBorders>
            <w:shd w:val="clear" w:color="auto" w:fill="auto"/>
            <w:vAlign w:val="center"/>
          </w:tcPr>
          <w:p w14:paraId="67407FA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0E35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老年人能力评估服务按时开工率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735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0841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9EC4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1D81AB9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3805D25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时效指标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7ECF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维修改造养老服务机构项目按时开工率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F9D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r w14:paraId="1384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61A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117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FAC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5EA9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9D6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r>
      <w:tr w14:paraId="2DEB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8488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DCE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BD4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41D9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FD6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r>
    </w:tbl>
    <w:p w14:paraId="02D564EC">
      <w:pPr>
        <w:ind w:left="0" w:leftChars="0" w:firstLine="0" w:firstLineChars="0"/>
        <w:rPr>
          <w:rFonts w:hint="default" w:ascii="Times New Roman" w:hAnsi="Times New Roman" w:cs="Times New Roman"/>
          <w:lang w:val="en-US" w:eastAsia="zh-CN"/>
        </w:rPr>
        <w:sectPr>
          <w:pgSz w:w="11906" w:h="16838"/>
          <w:pgMar w:top="2098" w:right="1531" w:bottom="1984" w:left="1531" w:header="851" w:footer="992" w:gutter="0"/>
          <w:pgNumType w:fmt="decimal"/>
          <w:cols w:space="425" w:num="1"/>
          <w:docGrid w:type="lines" w:linePitch="312" w:charSpace="0"/>
        </w:sectPr>
      </w:pPr>
      <w:r>
        <w:rPr>
          <w:rFonts w:hint="default" w:ascii="Times New Roman" w:hAnsi="Times New Roman" w:cs="Times New Roman"/>
          <w:lang w:val="en-US" w:eastAsia="zh-CN"/>
        </w:rPr>
        <w:t xml:space="preserve"> </w:t>
      </w:r>
    </w:p>
    <w:p w14:paraId="661A0C93">
      <w:pPr>
        <w:pStyle w:val="4"/>
        <w:bidi w:val="0"/>
        <w:ind w:left="0" w:leftChars="0"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二、绩效情况分析</w:t>
      </w:r>
    </w:p>
    <w:p w14:paraId="0CC20843">
      <w:pPr>
        <w:pStyle w:val="5"/>
        <w:bidi w:val="0"/>
        <w:rPr>
          <w:rFonts w:hint="default" w:ascii="Times New Roman" w:hAnsi="Times New Roman" w:cs="Times New Roman"/>
        </w:rPr>
      </w:pPr>
      <w:r>
        <w:rPr>
          <w:rFonts w:hint="default" w:ascii="Times New Roman" w:hAnsi="Times New Roman" w:cs="Times New Roman"/>
        </w:rPr>
        <w:t>（一）资金投入情况分析。</w:t>
      </w:r>
    </w:p>
    <w:p w14:paraId="16FAF236">
      <w:pPr>
        <w:bidi w:val="0"/>
        <w:rPr>
          <w:rFonts w:hint="default" w:ascii="Times New Roman" w:hAnsi="Times New Roman" w:cs="Times New Roman"/>
          <w:b/>
          <w:bCs/>
        </w:rPr>
      </w:pPr>
      <w:r>
        <w:rPr>
          <w:rFonts w:hint="default" w:ascii="Times New Roman" w:hAnsi="Times New Roman" w:cs="Times New Roman"/>
          <w:b/>
          <w:bCs/>
        </w:rPr>
        <w:t>1</w:t>
      </w:r>
      <w:r>
        <w:rPr>
          <w:rFonts w:hint="default" w:ascii="Times New Roman" w:hAnsi="Times New Roman" w:cs="Times New Roman"/>
          <w:b/>
          <w:bCs/>
          <w:lang w:val="en-US" w:eastAsia="zh-CN"/>
        </w:rPr>
        <w:t>.</w:t>
      </w:r>
      <w:r>
        <w:rPr>
          <w:rFonts w:hint="default" w:ascii="Times New Roman" w:hAnsi="Times New Roman" w:cs="Times New Roman"/>
          <w:b/>
          <w:bCs/>
        </w:rPr>
        <w:t>项目资金到位情况分析。</w:t>
      </w:r>
    </w:p>
    <w:p w14:paraId="563FC2AC">
      <w:pPr>
        <w:bidi w:val="0"/>
        <w:rPr>
          <w:rFonts w:hint="default" w:ascii="Times New Roman" w:hAnsi="Times New Roman" w:cs="Times New Roman"/>
          <w:lang w:val="en-US" w:eastAsia="zh-CN"/>
        </w:rPr>
      </w:pPr>
      <w:r>
        <w:rPr>
          <w:rFonts w:hint="default" w:ascii="Times New Roman" w:hAnsi="Times New Roman" w:cs="Times New Roman"/>
          <w:lang w:val="en-US" w:eastAsia="zh-CN"/>
        </w:rPr>
        <w:t>2025年度下达</w:t>
      </w:r>
      <w:r>
        <w:rPr>
          <w:rFonts w:hint="default" w:ascii="Times New Roman" w:hAnsi="Times New Roman" w:cs="Times New Roman"/>
        </w:rPr>
        <w:t>中央</w:t>
      </w:r>
      <w:r>
        <w:rPr>
          <w:rFonts w:hint="default" w:ascii="Times New Roman" w:hAnsi="Times New Roman" w:cs="Times New Roman"/>
          <w:lang w:val="en-US" w:eastAsia="zh-CN"/>
        </w:rPr>
        <w:t>集中</w:t>
      </w:r>
      <w:r>
        <w:rPr>
          <w:rFonts w:hint="default" w:ascii="Times New Roman" w:hAnsi="Times New Roman" w:cs="Times New Roman"/>
        </w:rPr>
        <w:t>彩票公益金支持</w:t>
      </w:r>
      <w:r>
        <w:rPr>
          <w:rFonts w:hint="default" w:ascii="Times New Roman" w:hAnsi="Times New Roman" w:cs="Times New Roman"/>
          <w:lang w:val="en-US" w:eastAsia="zh-CN"/>
        </w:rPr>
        <w:t>社会</w:t>
      </w:r>
      <w:r>
        <w:rPr>
          <w:rFonts w:hint="default" w:ascii="Times New Roman" w:hAnsi="Times New Roman" w:cs="Times New Roman"/>
        </w:rPr>
        <w:t>福利</w:t>
      </w:r>
      <w:r>
        <w:rPr>
          <w:rFonts w:hint="default" w:ascii="Times New Roman" w:hAnsi="Times New Roman" w:cs="Times New Roman"/>
          <w:lang w:val="en-US" w:eastAsia="zh-CN"/>
        </w:rPr>
        <w:t>事业</w:t>
      </w:r>
      <w:r>
        <w:rPr>
          <w:rFonts w:hint="default" w:ascii="Times New Roman" w:hAnsi="Times New Roman" w:cs="Times New Roman"/>
        </w:rPr>
        <w:t>资金</w:t>
      </w:r>
      <w:r>
        <w:rPr>
          <w:rFonts w:hint="default" w:ascii="Times New Roman" w:hAnsi="Times New Roman" w:cs="Times New Roman"/>
          <w:lang w:eastAsia="zh-CN"/>
        </w:rPr>
        <w:t>（</w:t>
      </w:r>
      <w:r>
        <w:rPr>
          <w:rFonts w:hint="default" w:ascii="Times New Roman" w:hAnsi="Times New Roman" w:cs="Times New Roman"/>
          <w:lang w:val="en-US" w:eastAsia="zh-CN"/>
        </w:rPr>
        <w:t>第一批</w:t>
      </w:r>
      <w:r>
        <w:rPr>
          <w:rFonts w:hint="default" w:ascii="Times New Roman" w:hAnsi="Times New Roman" w:cs="Times New Roman"/>
          <w:lang w:eastAsia="zh-CN"/>
        </w:rPr>
        <w:t>）</w:t>
      </w:r>
      <w:r>
        <w:rPr>
          <w:rFonts w:hint="default" w:ascii="Times New Roman" w:hAnsi="Times New Roman" w:cs="Times New Roman"/>
          <w:lang w:val="en-US" w:eastAsia="zh-CN"/>
        </w:rPr>
        <w:t>项目总预算资金为11558万元，资金到位11558万元，到位率100%，其中：</w:t>
      </w:r>
    </w:p>
    <w:p w14:paraId="23A356F9">
      <w:pPr>
        <w:bidi w:val="0"/>
        <w:rPr>
          <w:rFonts w:hint="default" w:ascii="Times New Roman" w:hAnsi="Times New Roman" w:cs="Times New Roman"/>
          <w:lang w:val="en-US" w:eastAsia="zh-CN"/>
        </w:rPr>
      </w:pPr>
      <w:r>
        <w:rPr>
          <w:rFonts w:hint="default" w:ascii="Times New Roman" w:hAnsi="Times New Roman" w:cs="Times New Roman"/>
          <w:lang w:eastAsia="zh-CN"/>
        </w:rPr>
        <w:t>202</w:t>
      </w:r>
      <w:r>
        <w:rPr>
          <w:rFonts w:hint="default" w:ascii="Times New Roman" w:hAnsi="Times New Roman" w:cs="Times New Roman"/>
          <w:lang w:val="en-US" w:eastAsia="zh-CN"/>
        </w:rPr>
        <w:t>4</w:t>
      </w:r>
      <w:r>
        <w:rPr>
          <w:rFonts w:hint="default" w:ascii="Times New Roman" w:hAnsi="Times New Roman" w:cs="Times New Roman"/>
          <w:lang w:eastAsia="zh-CN"/>
        </w:rPr>
        <w:t>年</w:t>
      </w:r>
      <w:r>
        <w:rPr>
          <w:rFonts w:hint="default" w:ascii="Times New Roman" w:hAnsi="Times New Roman" w:cs="Times New Roman"/>
          <w:highlight w:val="none"/>
          <w:lang w:val="en-US" w:eastAsia="zh-CN"/>
        </w:rPr>
        <w:t>10</w:t>
      </w:r>
      <w:r>
        <w:rPr>
          <w:rFonts w:hint="default" w:ascii="Times New Roman" w:hAnsi="Times New Roman" w:cs="Times New Roman"/>
          <w:lang w:eastAsia="zh-CN"/>
        </w:rPr>
        <w:t>月，</w:t>
      </w:r>
      <w:r>
        <w:rPr>
          <w:rFonts w:hint="default" w:ascii="Times New Roman" w:hAnsi="Times New Roman" w:cs="Times New Roman"/>
        </w:rPr>
        <w:t>财政部、民政部</w:t>
      </w:r>
      <w:r>
        <w:rPr>
          <w:rFonts w:hint="default" w:ascii="Times New Roman" w:hAnsi="Times New Roman" w:cs="Times New Roman"/>
          <w:lang w:val="en-US" w:eastAsia="zh-CN"/>
        </w:rPr>
        <w:t>《关于提前下达2025年中央集中彩票公益金支持社会福利事业资金预算的通知》（财社〔2024〕135号）下达新疆中央集中彩票公益金支持社会福利事业资金项目，资金12535万元。</w:t>
      </w:r>
    </w:p>
    <w:p w14:paraId="41B837BA">
      <w:pPr>
        <w:bidi w:val="0"/>
        <w:rPr>
          <w:rFonts w:hint="default" w:ascii="Times New Roman" w:hAnsi="Times New Roman" w:cs="Times New Roman"/>
          <w:highlight w:val="yellow"/>
          <w:lang w:eastAsia="zh-CN"/>
        </w:rPr>
      </w:pPr>
      <w:r>
        <w:rPr>
          <w:rFonts w:hint="default" w:ascii="Times New Roman" w:hAnsi="Times New Roman" w:cs="Times New Roman"/>
          <w:lang w:eastAsia="zh-CN"/>
        </w:rPr>
        <w:t>202</w:t>
      </w:r>
      <w:r>
        <w:rPr>
          <w:rFonts w:hint="default" w:ascii="Times New Roman" w:hAnsi="Times New Roman" w:cs="Times New Roman"/>
          <w:lang w:val="en-US" w:eastAsia="zh-CN"/>
        </w:rPr>
        <w:t>5</w:t>
      </w:r>
      <w:r>
        <w:rPr>
          <w:rFonts w:hint="default" w:ascii="Times New Roman" w:hAnsi="Times New Roman" w:cs="Times New Roman"/>
          <w:lang w:eastAsia="zh-CN"/>
        </w:rPr>
        <w:t>年</w:t>
      </w:r>
      <w:r>
        <w:rPr>
          <w:rFonts w:hint="default" w:ascii="Times New Roman" w:hAnsi="Times New Roman" w:cs="Times New Roman"/>
          <w:lang w:val="en-US" w:eastAsia="zh-CN"/>
        </w:rPr>
        <w:t>5</w:t>
      </w:r>
      <w:r>
        <w:rPr>
          <w:rFonts w:hint="default" w:ascii="Times New Roman" w:hAnsi="Times New Roman" w:cs="Times New Roman"/>
          <w:lang w:eastAsia="zh-CN"/>
        </w:rPr>
        <w:t>月，</w:t>
      </w:r>
      <w:r>
        <w:rPr>
          <w:rFonts w:hint="default" w:ascii="Times New Roman" w:hAnsi="Times New Roman" w:cs="Times New Roman"/>
        </w:rPr>
        <w:t>财政部、民政部</w:t>
      </w:r>
      <w:r>
        <w:rPr>
          <w:rFonts w:hint="default" w:ascii="Times New Roman" w:hAnsi="Times New Roman" w:cs="Times New Roman"/>
          <w:lang w:val="en-US" w:eastAsia="zh-CN"/>
        </w:rPr>
        <w:t>《关于下达2025年中央集中彩票公益金支持社会福利事业资金预算（第一批）的通知》（财社〔2025〕51号）下达新疆中央集中彩票公益金支持社会福利事业资金项目，资金-977万元。</w:t>
      </w:r>
    </w:p>
    <w:p w14:paraId="055CC2C7">
      <w:pPr>
        <w:bidi w:val="0"/>
        <w:rPr>
          <w:rFonts w:hint="default" w:ascii="Times New Roman" w:hAnsi="Times New Roman" w:cs="Times New Roman"/>
          <w:b/>
          <w:bCs/>
          <w:lang w:val="en-US" w:eastAsia="zh-CN"/>
        </w:rPr>
      </w:pPr>
      <w:r>
        <w:rPr>
          <w:rFonts w:hint="default" w:ascii="Times New Roman" w:hAnsi="Times New Roman" w:cs="Times New Roman"/>
          <w:b/>
          <w:bCs/>
          <w:lang w:val="en-US" w:eastAsia="zh-CN"/>
        </w:rPr>
        <w:t>2.项目资金执行情况分析。</w:t>
      </w:r>
    </w:p>
    <w:p w14:paraId="691C5D5D">
      <w:pPr>
        <w:bidi w:val="0"/>
        <w:rPr>
          <w:rFonts w:hint="default" w:ascii="Times New Roman" w:hAnsi="Times New Roman" w:cs="Times New Roman"/>
          <w:lang w:val="en-US" w:eastAsia="zh-CN"/>
        </w:rPr>
      </w:pPr>
      <w:r>
        <w:rPr>
          <w:rFonts w:hint="default" w:ascii="Times New Roman" w:hAnsi="Times New Roman" w:cs="Times New Roman"/>
          <w:lang w:val="en-US" w:eastAsia="zh-CN"/>
        </w:rPr>
        <w:t>截止到2025年12月31日，2025年度用于</w:t>
      </w:r>
      <w:r>
        <w:rPr>
          <w:rFonts w:hint="default" w:ascii="Times New Roman" w:hAnsi="Times New Roman" w:cs="Times New Roman"/>
        </w:rPr>
        <w:t>中央</w:t>
      </w:r>
      <w:r>
        <w:rPr>
          <w:rFonts w:hint="default" w:ascii="Times New Roman" w:hAnsi="Times New Roman" w:cs="Times New Roman"/>
          <w:lang w:val="en-US" w:eastAsia="zh-CN"/>
        </w:rPr>
        <w:t>集中</w:t>
      </w:r>
      <w:r>
        <w:rPr>
          <w:rFonts w:hint="default" w:ascii="Times New Roman" w:hAnsi="Times New Roman" w:cs="Times New Roman"/>
        </w:rPr>
        <w:t>彩票公益金支持</w:t>
      </w:r>
      <w:r>
        <w:rPr>
          <w:rFonts w:hint="default" w:ascii="Times New Roman" w:hAnsi="Times New Roman" w:cs="Times New Roman"/>
          <w:lang w:val="en-US" w:eastAsia="zh-CN"/>
        </w:rPr>
        <w:t>社会</w:t>
      </w:r>
      <w:r>
        <w:rPr>
          <w:rFonts w:hint="default" w:ascii="Times New Roman" w:hAnsi="Times New Roman" w:cs="Times New Roman"/>
        </w:rPr>
        <w:t>福利</w:t>
      </w:r>
      <w:r>
        <w:rPr>
          <w:rFonts w:hint="default" w:ascii="Times New Roman" w:hAnsi="Times New Roman" w:cs="Times New Roman"/>
          <w:lang w:val="en-US" w:eastAsia="zh-CN"/>
        </w:rPr>
        <w:t>事业项目的资金总计11558万元、共计执行</w:t>
      </w:r>
      <w:r>
        <w:rPr>
          <w:rFonts w:hint="default" w:ascii="Times New Roman" w:hAnsi="Times New Roman" w:cs="Times New Roman"/>
          <w:highlight w:val="none"/>
          <w:lang w:val="en-US" w:eastAsia="zh-CN"/>
        </w:rPr>
        <w:t>9603.53万元，执行率83.09%，</w:t>
      </w:r>
      <w:r>
        <w:rPr>
          <w:rFonts w:hint="default" w:ascii="Times New Roman" w:hAnsi="Times New Roman" w:cs="Times New Roman"/>
          <w:lang w:val="en-US" w:eastAsia="zh-CN"/>
        </w:rPr>
        <w:t>具体情况如下表：</w:t>
      </w:r>
    </w:p>
    <w:p w14:paraId="670BDE86">
      <w:pPr>
        <w:rPr>
          <w:rFonts w:hint="default" w:ascii="Times New Roman" w:hAnsi="Times New Roman" w:cs="Times New Roman"/>
          <w:highlight w:val="none"/>
        </w:rPr>
      </w:pPr>
      <w:r>
        <w:rPr>
          <w:rFonts w:hint="default" w:ascii="Times New Roman" w:hAnsi="Times New Roman" w:eastAsia="方正仿宋_GBK" w:cs="Times New Roman"/>
          <w:b w:val="0"/>
          <w:bCs w:val="0"/>
          <w:sz w:val="32"/>
          <w:szCs w:val="32"/>
          <w:highlight w:val="none"/>
          <w:lang w:val="en-US" w:eastAsia="zh-CN"/>
        </w:rPr>
        <w:br w:type="page"/>
      </w:r>
    </w:p>
    <w:tbl>
      <w:tblPr>
        <w:tblStyle w:val="12"/>
        <w:tblW w:w="9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6"/>
        <w:gridCol w:w="2284"/>
        <w:gridCol w:w="1800"/>
        <w:gridCol w:w="2046"/>
        <w:gridCol w:w="2064"/>
      </w:tblGrid>
      <w:tr w14:paraId="66D5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9140" w:type="dxa"/>
            <w:gridSpan w:val="5"/>
            <w:tcBorders>
              <w:top w:val="nil"/>
              <w:left w:val="nil"/>
              <w:bottom w:val="nil"/>
              <w:right w:val="nil"/>
            </w:tcBorders>
            <w:vAlign w:val="center"/>
          </w:tcPr>
          <w:p w14:paraId="1ADBE9D7">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宋体" w:cs="Times New Roman"/>
                <w:b/>
                <w:bCs/>
                <w:i w:val="0"/>
                <w:iCs w:val="0"/>
                <w:color w:val="000000"/>
                <w:sz w:val="28"/>
                <w:szCs w:val="28"/>
                <w:highlight w:val="none"/>
                <w:u w:val="none"/>
                <w:lang w:val="en-US"/>
              </w:rPr>
            </w:pPr>
            <w:r>
              <w:rPr>
                <w:rFonts w:hint="eastAsia" w:asciiTheme="minorEastAsia" w:hAnsiTheme="minorEastAsia" w:eastAsiaTheme="minorEastAsia" w:cstheme="minorEastAsia"/>
                <w:b/>
                <w:bCs/>
                <w:i w:val="0"/>
                <w:iCs w:val="0"/>
                <w:color w:val="000000"/>
                <w:kern w:val="0"/>
                <w:sz w:val="30"/>
                <w:szCs w:val="30"/>
                <w:highlight w:val="none"/>
                <w:u w:val="none"/>
                <w:lang w:val="en-US" w:eastAsia="zh-CN" w:bidi="ar"/>
              </w:rPr>
              <w:t>2025年中央集中彩票公益金支持社会福利事业项目资金执行情况表</w:t>
            </w:r>
          </w:p>
        </w:tc>
      </w:tr>
      <w:tr w14:paraId="462F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7" w:hRule="atLeast"/>
        </w:trPr>
        <w:tc>
          <w:tcPr>
            <w:tcW w:w="946" w:type="dxa"/>
            <w:vMerge w:val="restart"/>
            <w:tcBorders>
              <w:top w:val="single" w:color="000000" w:sz="8" w:space="0"/>
              <w:left w:val="single" w:color="000000" w:sz="8" w:space="0"/>
              <w:bottom w:val="single" w:color="000000" w:sz="8" w:space="0"/>
              <w:right w:val="single" w:color="000000" w:sz="8" w:space="0"/>
            </w:tcBorders>
            <w:vAlign w:val="center"/>
          </w:tcPr>
          <w:p w14:paraId="0AD2682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val="0"/>
                <w:bCs w:val="0"/>
                <w:i w:val="0"/>
                <w:color w:val="000000"/>
                <w:sz w:val="18"/>
                <w:szCs w:val="18"/>
                <w:highlight w:val="none"/>
                <w:u w:val="none"/>
                <w:lang w:val="en-US" w:eastAsia="zh-CN"/>
              </w:rPr>
            </w:pPr>
            <w:r>
              <w:rPr>
                <w:rFonts w:hint="default" w:ascii="Times New Roman" w:hAnsi="Times New Roman" w:eastAsia="宋体" w:cs="Times New Roman"/>
                <w:b w:val="0"/>
                <w:bCs w:val="0"/>
                <w:i w:val="0"/>
                <w:color w:val="000000"/>
                <w:sz w:val="18"/>
                <w:szCs w:val="18"/>
                <w:highlight w:val="none"/>
                <w:u w:val="none"/>
                <w:lang w:val="en-US" w:eastAsia="zh-CN"/>
              </w:rPr>
              <w:t>序号</w:t>
            </w:r>
          </w:p>
        </w:tc>
        <w:tc>
          <w:tcPr>
            <w:tcW w:w="2284" w:type="dxa"/>
            <w:vMerge w:val="restart"/>
            <w:tcBorders>
              <w:top w:val="single" w:color="000000" w:sz="8" w:space="0"/>
              <w:left w:val="nil"/>
              <w:bottom w:val="single" w:color="000000" w:sz="8" w:space="0"/>
              <w:right w:val="single" w:color="000000" w:sz="8" w:space="0"/>
            </w:tcBorders>
            <w:vAlign w:val="center"/>
          </w:tcPr>
          <w:p w14:paraId="2A8D415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val="0"/>
                <w:bCs w:val="0"/>
                <w:i w:val="0"/>
                <w:color w:val="000000"/>
                <w:sz w:val="18"/>
                <w:szCs w:val="18"/>
                <w:highlight w:val="none"/>
                <w:u w:val="none"/>
                <w:lang w:val="en-US" w:eastAsia="zh-CN"/>
              </w:rPr>
            </w:pPr>
            <w:r>
              <w:rPr>
                <w:rFonts w:hint="default" w:ascii="Times New Roman" w:hAnsi="Times New Roman" w:eastAsia="宋体" w:cs="Times New Roman"/>
                <w:b w:val="0"/>
                <w:bCs w:val="0"/>
                <w:i w:val="0"/>
                <w:color w:val="000000"/>
                <w:sz w:val="18"/>
                <w:szCs w:val="18"/>
                <w:highlight w:val="none"/>
                <w:u w:val="none"/>
                <w:lang w:val="en-US" w:eastAsia="zh-CN"/>
              </w:rPr>
              <w:t>地州</w:t>
            </w:r>
          </w:p>
        </w:tc>
        <w:tc>
          <w:tcPr>
            <w:tcW w:w="1800" w:type="dxa"/>
            <w:vMerge w:val="restart"/>
            <w:tcBorders>
              <w:top w:val="single" w:color="000000" w:sz="8" w:space="0"/>
              <w:left w:val="nil"/>
              <w:bottom w:val="single" w:color="000000" w:sz="8" w:space="0"/>
              <w:right w:val="single" w:color="000000" w:sz="8" w:space="0"/>
            </w:tcBorders>
            <w:vAlign w:val="center"/>
          </w:tcPr>
          <w:p w14:paraId="61D9275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val="0"/>
                <w:bCs w:val="0"/>
                <w:i w:val="0"/>
                <w:color w:val="000000"/>
                <w:sz w:val="18"/>
                <w:szCs w:val="18"/>
                <w:highlight w:val="none"/>
                <w:u w:val="none"/>
                <w:lang w:val="en-US" w:eastAsia="zh-CN"/>
              </w:rPr>
            </w:pPr>
            <w:r>
              <w:rPr>
                <w:rFonts w:hint="default" w:ascii="Times New Roman" w:hAnsi="Times New Roman" w:eastAsia="宋体" w:cs="Times New Roman"/>
                <w:b w:val="0"/>
                <w:bCs w:val="0"/>
                <w:i w:val="0"/>
                <w:color w:val="000000"/>
                <w:sz w:val="18"/>
                <w:szCs w:val="18"/>
                <w:highlight w:val="none"/>
                <w:u w:val="none"/>
                <w:lang w:val="en-US" w:eastAsia="zh-CN"/>
              </w:rPr>
              <w:t>预算金额（万元）</w:t>
            </w:r>
          </w:p>
        </w:tc>
        <w:tc>
          <w:tcPr>
            <w:tcW w:w="2046" w:type="dxa"/>
            <w:vMerge w:val="restart"/>
            <w:tcBorders>
              <w:top w:val="single" w:color="000000" w:sz="8" w:space="0"/>
              <w:left w:val="nil"/>
              <w:bottom w:val="single" w:color="000000" w:sz="8" w:space="0"/>
              <w:right w:val="single" w:color="000000" w:sz="8" w:space="0"/>
            </w:tcBorders>
            <w:vAlign w:val="center"/>
          </w:tcPr>
          <w:p w14:paraId="11F79AF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val="0"/>
                <w:bCs w:val="0"/>
                <w:i w:val="0"/>
                <w:color w:val="000000"/>
                <w:sz w:val="18"/>
                <w:szCs w:val="18"/>
                <w:highlight w:val="none"/>
                <w:u w:val="none"/>
                <w:lang w:val="en-US" w:eastAsia="zh-CN"/>
              </w:rPr>
            </w:pPr>
            <w:r>
              <w:rPr>
                <w:rFonts w:hint="default" w:ascii="Times New Roman" w:hAnsi="Times New Roman" w:eastAsia="宋体" w:cs="Times New Roman"/>
                <w:b w:val="0"/>
                <w:bCs w:val="0"/>
                <w:i w:val="0"/>
                <w:color w:val="000000"/>
                <w:sz w:val="18"/>
                <w:szCs w:val="18"/>
                <w:highlight w:val="none"/>
                <w:u w:val="none"/>
                <w:lang w:val="en-US" w:eastAsia="zh-CN"/>
              </w:rPr>
              <w:t>支出金额(万元)</w:t>
            </w:r>
          </w:p>
        </w:tc>
        <w:tc>
          <w:tcPr>
            <w:tcW w:w="2064" w:type="dxa"/>
            <w:vMerge w:val="restart"/>
            <w:tcBorders>
              <w:top w:val="single" w:color="000000" w:sz="8" w:space="0"/>
              <w:left w:val="nil"/>
              <w:bottom w:val="single" w:color="000000" w:sz="8" w:space="0"/>
              <w:right w:val="single" w:color="000000" w:sz="8" w:space="0"/>
            </w:tcBorders>
            <w:vAlign w:val="center"/>
          </w:tcPr>
          <w:p w14:paraId="7AFC0EB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b w:val="0"/>
                <w:bCs w:val="0"/>
                <w:i w:val="0"/>
                <w:color w:val="000000"/>
                <w:sz w:val="18"/>
                <w:szCs w:val="18"/>
                <w:highlight w:val="none"/>
                <w:u w:val="none"/>
                <w:lang w:val="en-US" w:eastAsia="zh-CN"/>
              </w:rPr>
            </w:pPr>
            <w:r>
              <w:rPr>
                <w:rFonts w:hint="default" w:ascii="Times New Roman" w:hAnsi="Times New Roman" w:eastAsia="宋体" w:cs="Times New Roman"/>
                <w:b w:val="0"/>
                <w:bCs w:val="0"/>
                <w:i w:val="0"/>
                <w:color w:val="000000"/>
                <w:sz w:val="18"/>
                <w:szCs w:val="18"/>
                <w:highlight w:val="none"/>
                <w:u w:val="none"/>
                <w:lang w:val="en-US" w:eastAsia="zh-CN"/>
              </w:rPr>
              <w:t>执行率（%）</w:t>
            </w:r>
          </w:p>
        </w:tc>
      </w:tr>
      <w:tr w14:paraId="7D26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946" w:type="dxa"/>
            <w:vMerge w:val="continue"/>
            <w:tcBorders>
              <w:top w:val="single" w:color="000000" w:sz="8" w:space="0"/>
              <w:left w:val="single" w:color="000000" w:sz="8" w:space="0"/>
              <w:bottom w:val="single" w:color="000000" w:sz="8" w:space="0"/>
              <w:right w:val="single" w:color="000000" w:sz="8" w:space="0"/>
            </w:tcBorders>
            <w:vAlign w:val="center"/>
          </w:tcPr>
          <w:p w14:paraId="2FD2D21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2284" w:type="dxa"/>
            <w:vMerge w:val="continue"/>
            <w:tcBorders>
              <w:top w:val="single" w:color="000000" w:sz="8" w:space="0"/>
              <w:left w:val="nil"/>
              <w:bottom w:val="single" w:color="000000" w:sz="8" w:space="0"/>
              <w:right w:val="single" w:color="000000" w:sz="8" w:space="0"/>
            </w:tcBorders>
            <w:vAlign w:val="center"/>
          </w:tcPr>
          <w:p w14:paraId="03D4397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800" w:type="dxa"/>
            <w:vMerge w:val="continue"/>
            <w:tcBorders>
              <w:top w:val="single" w:color="000000" w:sz="8" w:space="0"/>
              <w:left w:val="nil"/>
              <w:bottom w:val="single" w:color="000000" w:sz="8" w:space="0"/>
              <w:right w:val="single" w:color="000000" w:sz="8" w:space="0"/>
            </w:tcBorders>
            <w:vAlign w:val="center"/>
          </w:tcPr>
          <w:p w14:paraId="3AC4306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2046" w:type="dxa"/>
            <w:vMerge w:val="continue"/>
            <w:tcBorders>
              <w:top w:val="single" w:color="000000" w:sz="8" w:space="0"/>
              <w:left w:val="nil"/>
              <w:bottom w:val="single" w:color="000000" w:sz="8" w:space="0"/>
              <w:right w:val="single" w:color="000000" w:sz="8" w:space="0"/>
            </w:tcBorders>
            <w:vAlign w:val="center"/>
          </w:tcPr>
          <w:p w14:paraId="2E58B4D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2064" w:type="dxa"/>
            <w:vMerge w:val="continue"/>
            <w:tcBorders>
              <w:top w:val="single" w:color="000000" w:sz="8" w:space="0"/>
              <w:left w:val="nil"/>
              <w:bottom w:val="single" w:color="000000" w:sz="8" w:space="0"/>
              <w:right w:val="single" w:color="000000" w:sz="8" w:space="0"/>
            </w:tcBorders>
            <w:vAlign w:val="center"/>
          </w:tcPr>
          <w:p w14:paraId="16343EE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r>
      <w:tr w14:paraId="6060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7" w:hRule="atLeast"/>
        </w:trPr>
        <w:tc>
          <w:tcPr>
            <w:tcW w:w="946" w:type="dxa"/>
            <w:tcBorders>
              <w:top w:val="nil"/>
              <w:left w:val="single" w:color="000000" w:sz="8" w:space="0"/>
              <w:bottom w:val="single" w:color="000000" w:sz="8" w:space="0"/>
              <w:right w:val="single" w:color="000000" w:sz="8" w:space="0"/>
            </w:tcBorders>
            <w:vAlign w:val="center"/>
          </w:tcPr>
          <w:p w14:paraId="01204A6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w:t>
            </w:r>
          </w:p>
        </w:tc>
        <w:tc>
          <w:tcPr>
            <w:tcW w:w="2284" w:type="dxa"/>
            <w:tcBorders>
              <w:top w:val="nil"/>
              <w:left w:val="nil"/>
              <w:bottom w:val="single" w:color="000000" w:sz="8" w:space="0"/>
              <w:right w:val="single" w:color="000000" w:sz="8" w:space="0"/>
            </w:tcBorders>
            <w:vAlign w:val="center"/>
          </w:tcPr>
          <w:p w14:paraId="23C436F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自治区本级</w:t>
            </w:r>
          </w:p>
        </w:tc>
        <w:tc>
          <w:tcPr>
            <w:tcW w:w="1800" w:type="dxa"/>
            <w:tcBorders>
              <w:top w:val="nil"/>
              <w:left w:val="nil"/>
              <w:bottom w:val="single" w:color="000000" w:sz="8" w:space="0"/>
              <w:right w:val="single" w:color="000000" w:sz="8" w:space="0"/>
            </w:tcBorders>
            <w:vAlign w:val="center"/>
          </w:tcPr>
          <w:p w14:paraId="7FA2DD0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500</w:t>
            </w:r>
          </w:p>
        </w:tc>
        <w:tc>
          <w:tcPr>
            <w:tcW w:w="2046" w:type="dxa"/>
            <w:tcBorders>
              <w:top w:val="nil"/>
              <w:left w:val="nil"/>
              <w:bottom w:val="single" w:color="000000" w:sz="8" w:space="0"/>
              <w:right w:val="single" w:color="000000" w:sz="8" w:space="0"/>
            </w:tcBorders>
            <w:vAlign w:val="center"/>
          </w:tcPr>
          <w:p w14:paraId="5D02E28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499.97</w:t>
            </w:r>
          </w:p>
        </w:tc>
        <w:tc>
          <w:tcPr>
            <w:tcW w:w="2064" w:type="dxa"/>
            <w:tcBorders>
              <w:top w:val="nil"/>
              <w:left w:val="nil"/>
              <w:bottom w:val="single" w:color="000000" w:sz="8" w:space="0"/>
              <w:right w:val="single" w:color="000000" w:sz="8" w:space="0"/>
            </w:tcBorders>
            <w:vAlign w:val="center"/>
          </w:tcPr>
          <w:p w14:paraId="3EBE032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99.99%</w:t>
            </w:r>
          </w:p>
        </w:tc>
      </w:tr>
      <w:tr w14:paraId="7817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 w:hRule="atLeast"/>
        </w:trPr>
        <w:tc>
          <w:tcPr>
            <w:tcW w:w="946" w:type="dxa"/>
            <w:tcBorders>
              <w:top w:val="nil"/>
              <w:left w:val="single" w:color="000000" w:sz="8" w:space="0"/>
              <w:bottom w:val="single" w:color="000000" w:sz="8" w:space="0"/>
              <w:right w:val="single" w:color="000000" w:sz="8" w:space="0"/>
            </w:tcBorders>
            <w:vAlign w:val="center"/>
          </w:tcPr>
          <w:p w14:paraId="0BB2857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w:t>
            </w:r>
          </w:p>
        </w:tc>
        <w:tc>
          <w:tcPr>
            <w:tcW w:w="2284" w:type="dxa"/>
            <w:tcBorders>
              <w:top w:val="nil"/>
              <w:left w:val="nil"/>
              <w:bottom w:val="single" w:color="000000" w:sz="8" w:space="0"/>
              <w:right w:val="single" w:color="000000" w:sz="8" w:space="0"/>
            </w:tcBorders>
            <w:vAlign w:val="center"/>
          </w:tcPr>
          <w:p w14:paraId="483645E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乌鲁木齐市</w:t>
            </w:r>
          </w:p>
        </w:tc>
        <w:tc>
          <w:tcPr>
            <w:tcW w:w="1800" w:type="dxa"/>
            <w:tcBorders>
              <w:top w:val="nil"/>
              <w:left w:val="nil"/>
              <w:bottom w:val="single" w:color="000000" w:sz="8" w:space="0"/>
              <w:right w:val="single" w:color="000000" w:sz="8" w:space="0"/>
            </w:tcBorders>
            <w:vAlign w:val="center"/>
          </w:tcPr>
          <w:p w14:paraId="50C028A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1202</w:t>
            </w:r>
          </w:p>
        </w:tc>
        <w:tc>
          <w:tcPr>
            <w:tcW w:w="2046" w:type="dxa"/>
            <w:tcBorders>
              <w:top w:val="nil"/>
              <w:left w:val="nil"/>
              <w:bottom w:val="single" w:color="000000" w:sz="8" w:space="0"/>
              <w:right w:val="single" w:color="000000" w:sz="8" w:space="0"/>
            </w:tcBorders>
            <w:vAlign w:val="center"/>
          </w:tcPr>
          <w:p w14:paraId="645CAFF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716.83</w:t>
            </w:r>
          </w:p>
        </w:tc>
        <w:tc>
          <w:tcPr>
            <w:tcW w:w="2064" w:type="dxa"/>
            <w:tcBorders>
              <w:top w:val="nil"/>
              <w:left w:val="nil"/>
              <w:bottom w:val="single" w:color="000000" w:sz="8" w:space="0"/>
              <w:right w:val="single" w:color="000000" w:sz="8" w:space="0"/>
            </w:tcBorders>
            <w:vAlign w:val="center"/>
          </w:tcPr>
          <w:p w14:paraId="3190400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59.64%</w:t>
            </w:r>
          </w:p>
        </w:tc>
      </w:tr>
      <w:tr w14:paraId="4FAD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 w:hRule="atLeast"/>
        </w:trPr>
        <w:tc>
          <w:tcPr>
            <w:tcW w:w="946" w:type="dxa"/>
            <w:tcBorders>
              <w:top w:val="nil"/>
              <w:left w:val="single" w:color="000000" w:sz="8" w:space="0"/>
              <w:bottom w:val="single" w:color="000000" w:sz="8" w:space="0"/>
              <w:right w:val="single" w:color="000000" w:sz="8" w:space="0"/>
            </w:tcBorders>
            <w:vAlign w:val="center"/>
          </w:tcPr>
          <w:p w14:paraId="0DAFB92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w:t>
            </w:r>
          </w:p>
        </w:tc>
        <w:tc>
          <w:tcPr>
            <w:tcW w:w="2284" w:type="dxa"/>
            <w:tcBorders>
              <w:top w:val="nil"/>
              <w:left w:val="nil"/>
              <w:bottom w:val="single" w:color="000000" w:sz="8" w:space="0"/>
              <w:right w:val="single" w:color="000000" w:sz="8" w:space="0"/>
            </w:tcBorders>
            <w:vAlign w:val="center"/>
          </w:tcPr>
          <w:p w14:paraId="66DD999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伊犁哈萨克自治州</w:t>
            </w:r>
          </w:p>
        </w:tc>
        <w:tc>
          <w:tcPr>
            <w:tcW w:w="1800" w:type="dxa"/>
            <w:tcBorders>
              <w:top w:val="nil"/>
              <w:left w:val="nil"/>
              <w:bottom w:val="single" w:color="000000" w:sz="8" w:space="0"/>
              <w:right w:val="single" w:color="000000" w:sz="8" w:space="0"/>
            </w:tcBorders>
            <w:vAlign w:val="center"/>
          </w:tcPr>
          <w:p w14:paraId="41C31B0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1521</w:t>
            </w:r>
          </w:p>
        </w:tc>
        <w:tc>
          <w:tcPr>
            <w:tcW w:w="2046" w:type="dxa"/>
            <w:tcBorders>
              <w:top w:val="nil"/>
              <w:left w:val="nil"/>
              <w:bottom w:val="single" w:color="000000" w:sz="8" w:space="0"/>
              <w:right w:val="single" w:color="000000" w:sz="8" w:space="0"/>
            </w:tcBorders>
            <w:vAlign w:val="center"/>
          </w:tcPr>
          <w:p w14:paraId="1273368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1246.4</w:t>
            </w:r>
          </w:p>
        </w:tc>
        <w:tc>
          <w:tcPr>
            <w:tcW w:w="2064" w:type="dxa"/>
            <w:tcBorders>
              <w:top w:val="nil"/>
              <w:left w:val="nil"/>
              <w:bottom w:val="single" w:color="000000" w:sz="8" w:space="0"/>
              <w:right w:val="single" w:color="000000" w:sz="8" w:space="0"/>
            </w:tcBorders>
            <w:vAlign w:val="center"/>
          </w:tcPr>
          <w:p w14:paraId="1C65D63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81.95%</w:t>
            </w:r>
          </w:p>
        </w:tc>
      </w:tr>
      <w:tr w14:paraId="39EA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7" w:hRule="atLeast"/>
        </w:trPr>
        <w:tc>
          <w:tcPr>
            <w:tcW w:w="946" w:type="dxa"/>
            <w:tcBorders>
              <w:top w:val="nil"/>
              <w:left w:val="single" w:color="000000" w:sz="8" w:space="0"/>
              <w:bottom w:val="single" w:color="000000" w:sz="8" w:space="0"/>
              <w:right w:val="single" w:color="000000" w:sz="8" w:space="0"/>
            </w:tcBorders>
            <w:vAlign w:val="center"/>
          </w:tcPr>
          <w:p w14:paraId="2B03BBC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4</w:t>
            </w:r>
          </w:p>
        </w:tc>
        <w:tc>
          <w:tcPr>
            <w:tcW w:w="2284" w:type="dxa"/>
            <w:tcBorders>
              <w:top w:val="nil"/>
              <w:left w:val="nil"/>
              <w:bottom w:val="single" w:color="000000" w:sz="8" w:space="0"/>
              <w:right w:val="single" w:color="000000" w:sz="8" w:space="0"/>
            </w:tcBorders>
            <w:vAlign w:val="center"/>
          </w:tcPr>
          <w:p w14:paraId="27AC152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塔城地区</w:t>
            </w:r>
          </w:p>
        </w:tc>
        <w:tc>
          <w:tcPr>
            <w:tcW w:w="1800" w:type="dxa"/>
            <w:tcBorders>
              <w:top w:val="nil"/>
              <w:left w:val="nil"/>
              <w:bottom w:val="single" w:color="000000" w:sz="8" w:space="0"/>
              <w:right w:val="single" w:color="000000" w:sz="8" w:space="0"/>
            </w:tcBorders>
            <w:vAlign w:val="center"/>
          </w:tcPr>
          <w:p w14:paraId="3C6A06E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574</w:t>
            </w:r>
          </w:p>
        </w:tc>
        <w:tc>
          <w:tcPr>
            <w:tcW w:w="2046" w:type="dxa"/>
            <w:tcBorders>
              <w:top w:val="nil"/>
              <w:left w:val="nil"/>
              <w:bottom w:val="single" w:color="000000" w:sz="8" w:space="0"/>
              <w:right w:val="single" w:color="000000" w:sz="8" w:space="0"/>
            </w:tcBorders>
            <w:vAlign w:val="center"/>
          </w:tcPr>
          <w:p w14:paraId="456849F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571.3</w:t>
            </w:r>
          </w:p>
        </w:tc>
        <w:tc>
          <w:tcPr>
            <w:tcW w:w="2064" w:type="dxa"/>
            <w:tcBorders>
              <w:top w:val="nil"/>
              <w:left w:val="nil"/>
              <w:bottom w:val="single" w:color="000000" w:sz="8" w:space="0"/>
              <w:right w:val="single" w:color="000000" w:sz="8" w:space="0"/>
            </w:tcBorders>
            <w:vAlign w:val="center"/>
          </w:tcPr>
          <w:p w14:paraId="0337E5D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99.53%</w:t>
            </w:r>
          </w:p>
        </w:tc>
      </w:tr>
      <w:tr w14:paraId="5CC2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 w:hRule="atLeast"/>
        </w:trPr>
        <w:tc>
          <w:tcPr>
            <w:tcW w:w="946" w:type="dxa"/>
            <w:tcBorders>
              <w:top w:val="nil"/>
              <w:left w:val="single" w:color="000000" w:sz="8" w:space="0"/>
              <w:bottom w:val="single" w:color="000000" w:sz="8" w:space="0"/>
              <w:right w:val="single" w:color="000000" w:sz="8" w:space="0"/>
            </w:tcBorders>
            <w:vAlign w:val="center"/>
          </w:tcPr>
          <w:p w14:paraId="7B77B3E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w:t>
            </w:r>
          </w:p>
        </w:tc>
        <w:tc>
          <w:tcPr>
            <w:tcW w:w="2284" w:type="dxa"/>
            <w:tcBorders>
              <w:top w:val="nil"/>
              <w:left w:val="nil"/>
              <w:bottom w:val="single" w:color="000000" w:sz="8" w:space="0"/>
              <w:right w:val="single" w:color="000000" w:sz="8" w:space="0"/>
            </w:tcBorders>
            <w:vAlign w:val="center"/>
          </w:tcPr>
          <w:p w14:paraId="3C81846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阿勒泰地区</w:t>
            </w:r>
          </w:p>
        </w:tc>
        <w:tc>
          <w:tcPr>
            <w:tcW w:w="1800" w:type="dxa"/>
            <w:tcBorders>
              <w:top w:val="nil"/>
              <w:left w:val="nil"/>
              <w:bottom w:val="single" w:color="000000" w:sz="8" w:space="0"/>
              <w:right w:val="single" w:color="000000" w:sz="8" w:space="0"/>
            </w:tcBorders>
            <w:vAlign w:val="center"/>
          </w:tcPr>
          <w:p w14:paraId="43257D5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1116</w:t>
            </w:r>
          </w:p>
        </w:tc>
        <w:tc>
          <w:tcPr>
            <w:tcW w:w="2046" w:type="dxa"/>
            <w:tcBorders>
              <w:top w:val="nil"/>
              <w:left w:val="nil"/>
              <w:bottom w:val="single" w:color="000000" w:sz="8" w:space="0"/>
              <w:right w:val="single" w:color="000000" w:sz="8" w:space="0"/>
            </w:tcBorders>
            <w:vAlign w:val="center"/>
          </w:tcPr>
          <w:p w14:paraId="6E61E66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998.28</w:t>
            </w:r>
          </w:p>
        </w:tc>
        <w:tc>
          <w:tcPr>
            <w:tcW w:w="2064" w:type="dxa"/>
            <w:tcBorders>
              <w:top w:val="nil"/>
              <w:left w:val="nil"/>
              <w:bottom w:val="single" w:color="000000" w:sz="8" w:space="0"/>
              <w:right w:val="single" w:color="000000" w:sz="8" w:space="0"/>
            </w:tcBorders>
            <w:vAlign w:val="center"/>
          </w:tcPr>
          <w:p w14:paraId="32E9DFF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89.45%</w:t>
            </w:r>
          </w:p>
        </w:tc>
      </w:tr>
      <w:tr w14:paraId="4425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 w:hRule="atLeast"/>
        </w:trPr>
        <w:tc>
          <w:tcPr>
            <w:tcW w:w="946" w:type="dxa"/>
            <w:tcBorders>
              <w:top w:val="nil"/>
              <w:left w:val="single" w:color="000000" w:sz="8" w:space="0"/>
              <w:bottom w:val="single" w:color="000000" w:sz="8" w:space="0"/>
              <w:right w:val="single" w:color="000000" w:sz="8" w:space="0"/>
            </w:tcBorders>
            <w:vAlign w:val="center"/>
          </w:tcPr>
          <w:p w14:paraId="6B5F9B1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6</w:t>
            </w:r>
          </w:p>
        </w:tc>
        <w:tc>
          <w:tcPr>
            <w:tcW w:w="2284" w:type="dxa"/>
            <w:tcBorders>
              <w:top w:val="nil"/>
              <w:left w:val="nil"/>
              <w:bottom w:val="single" w:color="000000" w:sz="8" w:space="0"/>
              <w:right w:val="single" w:color="000000" w:sz="8" w:space="0"/>
            </w:tcBorders>
            <w:vAlign w:val="center"/>
          </w:tcPr>
          <w:p w14:paraId="4998EF0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克拉玛依市</w:t>
            </w:r>
          </w:p>
        </w:tc>
        <w:tc>
          <w:tcPr>
            <w:tcW w:w="1800" w:type="dxa"/>
            <w:tcBorders>
              <w:top w:val="nil"/>
              <w:left w:val="nil"/>
              <w:bottom w:val="single" w:color="000000" w:sz="8" w:space="0"/>
              <w:right w:val="single" w:color="000000" w:sz="8" w:space="0"/>
            </w:tcBorders>
            <w:vAlign w:val="center"/>
          </w:tcPr>
          <w:p w14:paraId="2927C43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598</w:t>
            </w:r>
          </w:p>
        </w:tc>
        <w:tc>
          <w:tcPr>
            <w:tcW w:w="2046" w:type="dxa"/>
            <w:tcBorders>
              <w:top w:val="nil"/>
              <w:left w:val="nil"/>
              <w:bottom w:val="single" w:color="000000" w:sz="8" w:space="0"/>
              <w:right w:val="single" w:color="000000" w:sz="8" w:space="0"/>
            </w:tcBorders>
            <w:vAlign w:val="center"/>
          </w:tcPr>
          <w:p w14:paraId="43E60A6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419.408</w:t>
            </w:r>
          </w:p>
        </w:tc>
        <w:tc>
          <w:tcPr>
            <w:tcW w:w="2064" w:type="dxa"/>
            <w:tcBorders>
              <w:top w:val="nil"/>
              <w:left w:val="nil"/>
              <w:bottom w:val="single" w:color="000000" w:sz="8" w:space="0"/>
              <w:right w:val="single" w:color="000000" w:sz="8" w:space="0"/>
            </w:tcBorders>
            <w:vAlign w:val="center"/>
          </w:tcPr>
          <w:p w14:paraId="3B0629B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70.14%</w:t>
            </w:r>
          </w:p>
        </w:tc>
      </w:tr>
      <w:tr w14:paraId="0535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 w:hRule="atLeast"/>
        </w:trPr>
        <w:tc>
          <w:tcPr>
            <w:tcW w:w="946" w:type="dxa"/>
            <w:tcBorders>
              <w:top w:val="nil"/>
              <w:left w:val="single" w:color="000000" w:sz="8" w:space="0"/>
              <w:bottom w:val="single" w:color="000000" w:sz="8" w:space="0"/>
              <w:right w:val="single" w:color="000000" w:sz="8" w:space="0"/>
            </w:tcBorders>
            <w:vAlign w:val="center"/>
          </w:tcPr>
          <w:p w14:paraId="4CC8A56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w:t>
            </w:r>
          </w:p>
        </w:tc>
        <w:tc>
          <w:tcPr>
            <w:tcW w:w="2284" w:type="dxa"/>
            <w:tcBorders>
              <w:top w:val="nil"/>
              <w:left w:val="nil"/>
              <w:bottom w:val="single" w:color="000000" w:sz="8" w:space="0"/>
              <w:right w:val="single" w:color="000000" w:sz="8" w:space="0"/>
            </w:tcBorders>
            <w:vAlign w:val="center"/>
          </w:tcPr>
          <w:p w14:paraId="578B3D4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博尔塔拉蒙古自治州</w:t>
            </w:r>
          </w:p>
        </w:tc>
        <w:tc>
          <w:tcPr>
            <w:tcW w:w="1800" w:type="dxa"/>
            <w:tcBorders>
              <w:top w:val="nil"/>
              <w:left w:val="nil"/>
              <w:bottom w:val="single" w:color="000000" w:sz="8" w:space="0"/>
              <w:right w:val="single" w:color="000000" w:sz="8" w:space="0"/>
            </w:tcBorders>
            <w:vAlign w:val="center"/>
          </w:tcPr>
          <w:p w14:paraId="70152A1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359</w:t>
            </w:r>
          </w:p>
        </w:tc>
        <w:tc>
          <w:tcPr>
            <w:tcW w:w="2046" w:type="dxa"/>
            <w:tcBorders>
              <w:top w:val="nil"/>
              <w:left w:val="nil"/>
              <w:bottom w:val="single" w:color="000000" w:sz="8" w:space="0"/>
              <w:right w:val="single" w:color="000000" w:sz="8" w:space="0"/>
            </w:tcBorders>
            <w:vAlign w:val="center"/>
          </w:tcPr>
          <w:p w14:paraId="1E3396C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334.81</w:t>
            </w:r>
          </w:p>
        </w:tc>
        <w:tc>
          <w:tcPr>
            <w:tcW w:w="2064" w:type="dxa"/>
            <w:tcBorders>
              <w:top w:val="nil"/>
              <w:left w:val="nil"/>
              <w:bottom w:val="single" w:color="000000" w:sz="8" w:space="0"/>
              <w:right w:val="single" w:color="000000" w:sz="8" w:space="0"/>
            </w:tcBorders>
            <w:vAlign w:val="center"/>
          </w:tcPr>
          <w:p w14:paraId="1FD066E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93.26%</w:t>
            </w:r>
          </w:p>
        </w:tc>
      </w:tr>
      <w:tr w14:paraId="1F1B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 w:hRule="atLeast"/>
        </w:trPr>
        <w:tc>
          <w:tcPr>
            <w:tcW w:w="946" w:type="dxa"/>
            <w:tcBorders>
              <w:top w:val="nil"/>
              <w:left w:val="single" w:color="000000" w:sz="8" w:space="0"/>
              <w:bottom w:val="single" w:color="000000" w:sz="8" w:space="0"/>
              <w:right w:val="single" w:color="000000" w:sz="8" w:space="0"/>
            </w:tcBorders>
            <w:vAlign w:val="center"/>
          </w:tcPr>
          <w:p w14:paraId="1688C0C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w:t>
            </w:r>
          </w:p>
        </w:tc>
        <w:tc>
          <w:tcPr>
            <w:tcW w:w="2284" w:type="dxa"/>
            <w:tcBorders>
              <w:top w:val="nil"/>
              <w:left w:val="nil"/>
              <w:bottom w:val="single" w:color="000000" w:sz="8" w:space="0"/>
              <w:right w:val="single" w:color="000000" w:sz="8" w:space="0"/>
            </w:tcBorders>
            <w:vAlign w:val="center"/>
          </w:tcPr>
          <w:p w14:paraId="7CFF17F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昌吉回族自治州</w:t>
            </w:r>
          </w:p>
        </w:tc>
        <w:tc>
          <w:tcPr>
            <w:tcW w:w="1800" w:type="dxa"/>
            <w:tcBorders>
              <w:top w:val="nil"/>
              <w:left w:val="nil"/>
              <w:bottom w:val="single" w:color="000000" w:sz="8" w:space="0"/>
              <w:right w:val="single" w:color="000000" w:sz="8" w:space="0"/>
            </w:tcBorders>
            <w:vAlign w:val="center"/>
          </w:tcPr>
          <w:p w14:paraId="6592678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735</w:t>
            </w:r>
          </w:p>
        </w:tc>
        <w:tc>
          <w:tcPr>
            <w:tcW w:w="2046" w:type="dxa"/>
            <w:tcBorders>
              <w:top w:val="nil"/>
              <w:left w:val="nil"/>
              <w:bottom w:val="single" w:color="000000" w:sz="8" w:space="0"/>
              <w:right w:val="single" w:color="000000" w:sz="8" w:space="0"/>
            </w:tcBorders>
            <w:vAlign w:val="center"/>
          </w:tcPr>
          <w:p w14:paraId="32C9B8B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735</w:t>
            </w:r>
          </w:p>
        </w:tc>
        <w:tc>
          <w:tcPr>
            <w:tcW w:w="2064" w:type="dxa"/>
            <w:tcBorders>
              <w:top w:val="nil"/>
              <w:left w:val="nil"/>
              <w:bottom w:val="single" w:color="000000" w:sz="8" w:space="0"/>
              <w:right w:val="single" w:color="000000" w:sz="8" w:space="0"/>
            </w:tcBorders>
            <w:vAlign w:val="center"/>
          </w:tcPr>
          <w:p w14:paraId="58CE4A8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100.00%</w:t>
            </w:r>
          </w:p>
        </w:tc>
      </w:tr>
      <w:tr w14:paraId="1C46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 w:hRule="atLeast"/>
        </w:trPr>
        <w:tc>
          <w:tcPr>
            <w:tcW w:w="946" w:type="dxa"/>
            <w:tcBorders>
              <w:top w:val="nil"/>
              <w:left w:val="single" w:color="000000" w:sz="8" w:space="0"/>
              <w:bottom w:val="single" w:color="000000" w:sz="8" w:space="0"/>
              <w:right w:val="single" w:color="000000" w:sz="8" w:space="0"/>
            </w:tcBorders>
            <w:vAlign w:val="center"/>
          </w:tcPr>
          <w:p w14:paraId="05C609A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w:t>
            </w:r>
          </w:p>
        </w:tc>
        <w:tc>
          <w:tcPr>
            <w:tcW w:w="2284" w:type="dxa"/>
            <w:tcBorders>
              <w:top w:val="nil"/>
              <w:left w:val="nil"/>
              <w:bottom w:val="single" w:color="000000" w:sz="8" w:space="0"/>
              <w:right w:val="single" w:color="000000" w:sz="8" w:space="0"/>
            </w:tcBorders>
            <w:vAlign w:val="center"/>
          </w:tcPr>
          <w:p w14:paraId="369ADA9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哈密市</w:t>
            </w:r>
          </w:p>
        </w:tc>
        <w:tc>
          <w:tcPr>
            <w:tcW w:w="1800" w:type="dxa"/>
            <w:tcBorders>
              <w:top w:val="nil"/>
              <w:left w:val="nil"/>
              <w:bottom w:val="single" w:color="000000" w:sz="8" w:space="0"/>
              <w:right w:val="single" w:color="000000" w:sz="8" w:space="0"/>
            </w:tcBorders>
            <w:vAlign w:val="center"/>
          </w:tcPr>
          <w:p w14:paraId="1DDBCF1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861</w:t>
            </w:r>
          </w:p>
        </w:tc>
        <w:tc>
          <w:tcPr>
            <w:tcW w:w="2046" w:type="dxa"/>
            <w:tcBorders>
              <w:top w:val="nil"/>
              <w:left w:val="nil"/>
              <w:bottom w:val="single" w:color="000000" w:sz="8" w:space="0"/>
              <w:right w:val="single" w:color="000000" w:sz="8" w:space="0"/>
            </w:tcBorders>
            <w:vAlign w:val="center"/>
          </w:tcPr>
          <w:p w14:paraId="532EE2E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856.34</w:t>
            </w:r>
          </w:p>
        </w:tc>
        <w:tc>
          <w:tcPr>
            <w:tcW w:w="2064" w:type="dxa"/>
            <w:tcBorders>
              <w:top w:val="nil"/>
              <w:left w:val="nil"/>
              <w:bottom w:val="single" w:color="000000" w:sz="8" w:space="0"/>
              <w:right w:val="single" w:color="000000" w:sz="8" w:space="0"/>
            </w:tcBorders>
            <w:vAlign w:val="center"/>
          </w:tcPr>
          <w:p w14:paraId="7C36945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99.46%</w:t>
            </w:r>
          </w:p>
        </w:tc>
      </w:tr>
      <w:tr w14:paraId="6178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 w:hRule="atLeast"/>
        </w:trPr>
        <w:tc>
          <w:tcPr>
            <w:tcW w:w="946" w:type="dxa"/>
            <w:tcBorders>
              <w:top w:val="nil"/>
              <w:left w:val="single" w:color="000000" w:sz="8" w:space="0"/>
              <w:bottom w:val="single" w:color="000000" w:sz="8" w:space="0"/>
              <w:right w:val="single" w:color="000000" w:sz="8" w:space="0"/>
            </w:tcBorders>
            <w:vAlign w:val="center"/>
          </w:tcPr>
          <w:p w14:paraId="7BBFEA3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w:t>
            </w:r>
          </w:p>
        </w:tc>
        <w:tc>
          <w:tcPr>
            <w:tcW w:w="2284" w:type="dxa"/>
            <w:tcBorders>
              <w:top w:val="nil"/>
              <w:left w:val="nil"/>
              <w:bottom w:val="single" w:color="000000" w:sz="8" w:space="0"/>
              <w:right w:val="single" w:color="000000" w:sz="8" w:space="0"/>
            </w:tcBorders>
            <w:vAlign w:val="center"/>
          </w:tcPr>
          <w:p w14:paraId="2576AD4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吐鲁番市</w:t>
            </w:r>
          </w:p>
        </w:tc>
        <w:tc>
          <w:tcPr>
            <w:tcW w:w="1800" w:type="dxa"/>
            <w:tcBorders>
              <w:top w:val="nil"/>
              <w:left w:val="nil"/>
              <w:bottom w:val="single" w:color="000000" w:sz="8" w:space="0"/>
              <w:right w:val="single" w:color="000000" w:sz="8" w:space="0"/>
            </w:tcBorders>
            <w:vAlign w:val="center"/>
          </w:tcPr>
          <w:p w14:paraId="07209B4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308</w:t>
            </w:r>
          </w:p>
        </w:tc>
        <w:tc>
          <w:tcPr>
            <w:tcW w:w="2046" w:type="dxa"/>
            <w:tcBorders>
              <w:top w:val="nil"/>
              <w:left w:val="nil"/>
              <w:bottom w:val="single" w:color="000000" w:sz="8" w:space="0"/>
              <w:right w:val="single" w:color="000000" w:sz="8" w:space="0"/>
            </w:tcBorders>
            <w:vAlign w:val="center"/>
          </w:tcPr>
          <w:p w14:paraId="221EB4B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305.4</w:t>
            </w:r>
          </w:p>
        </w:tc>
        <w:tc>
          <w:tcPr>
            <w:tcW w:w="2064" w:type="dxa"/>
            <w:tcBorders>
              <w:top w:val="nil"/>
              <w:left w:val="nil"/>
              <w:bottom w:val="single" w:color="000000" w:sz="8" w:space="0"/>
              <w:right w:val="single" w:color="000000" w:sz="8" w:space="0"/>
            </w:tcBorders>
            <w:vAlign w:val="center"/>
          </w:tcPr>
          <w:p w14:paraId="2F3777B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99.16%</w:t>
            </w:r>
          </w:p>
        </w:tc>
      </w:tr>
      <w:tr w14:paraId="3D37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 w:hRule="atLeast"/>
        </w:trPr>
        <w:tc>
          <w:tcPr>
            <w:tcW w:w="946" w:type="dxa"/>
            <w:tcBorders>
              <w:top w:val="nil"/>
              <w:left w:val="single" w:color="000000" w:sz="8" w:space="0"/>
              <w:bottom w:val="single" w:color="000000" w:sz="8" w:space="0"/>
              <w:right w:val="single" w:color="000000" w:sz="8" w:space="0"/>
            </w:tcBorders>
            <w:vAlign w:val="center"/>
          </w:tcPr>
          <w:p w14:paraId="76AE7F5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11</w:t>
            </w:r>
          </w:p>
        </w:tc>
        <w:tc>
          <w:tcPr>
            <w:tcW w:w="2284" w:type="dxa"/>
            <w:tcBorders>
              <w:top w:val="nil"/>
              <w:left w:val="nil"/>
              <w:bottom w:val="single" w:color="000000" w:sz="8" w:space="0"/>
              <w:right w:val="single" w:color="000000" w:sz="8" w:space="0"/>
            </w:tcBorders>
            <w:vAlign w:val="center"/>
          </w:tcPr>
          <w:p w14:paraId="04E5391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巴音郭楞蒙古自治州</w:t>
            </w:r>
          </w:p>
        </w:tc>
        <w:tc>
          <w:tcPr>
            <w:tcW w:w="1800" w:type="dxa"/>
            <w:tcBorders>
              <w:top w:val="nil"/>
              <w:left w:val="nil"/>
              <w:bottom w:val="single" w:color="000000" w:sz="8" w:space="0"/>
              <w:right w:val="single" w:color="000000" w:sz="8" w:space="0"/>
            </w:tcBorders>
            <w:vAlign w:val="center"/>
          </w:tcPr>
          <w:p w14:paraId="7EFA630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793</w:t>
            </w:r>
          </w:p>
        </w:tc>
        <w:tc>
          <w:tcPr>
            <w:tcW w:w="2046" w:type="dxa"/>
            <w:tcBorders>
              <w:top w:val="nil"/>
              <w:left w:val="nil"/>
              <w:bottom w:val="single" w:color="000000" w:sz="8" w:space="0"/>
              <w:right w:val="single" w:color="000000" w:sz="8" w:space="0"/>
            </w:tcBorders>
            <w:vAlign w:val="center"/>
          </w:tcPr>
          <w:p w14:paraId="0316549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784.125</w:t>
            </w:r>
          </w:p>
        </w:tc>
        <w:tc>
          <w:tcPr>
            <w:tcW w:w="2064" w:type="dxa"/>
            <w:tcBorders>
              <w:top w:val="nil"/>
              <w:left w:val="nil"/>
              <w:bottom w:val="single" w:color="000000" w:sz="8" w:space="0"/>
              <w:right w:val="single" w:color="000000" w:sz="8" w:space="0"/>
            </w:tcBorders>
            <w:vAlign w:val="center"/>
          </w:tcPr>
          <w:p w14:paraId="69D60E7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98.88%</w:t>
            </w:r>
          </w:p>
        </w:tc>
      </w:tr>
      <w:tr w14:paraId="0724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 w:hRule="atLeast"/>
        </w:trPr>
        <w:tc>
          <w:tcPr>
            <w:tcW w:w="946" w:type="dxa"/>
            <w:tcBorders>
              <w:top w:val="nil"/>
              <w:left w:val="single" w:color="000000" w:sz="8" w:space="0"/>
              <w:bottom w:val="single" w:color="000000" w:sz="8" w:space="0"/>
              <w:right w:val="single" w:color="000000" w:sz="8" w:space="0"/>
            </w:tcBorders>
            <w:vAlign w:val="center"/>
          </w:tcPr>
          <w:p w14:paraId="1678D7E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w:t>
            </w:r>
          </w:p>
        </w:tc>
        <w:tc>
          <w:tcPr>
            <w:tcW w:w="2284" w:type="dxa"/>
            <w:tcBorders>
              <w:top w:val="nil"/>
              <w:left w:val="nil"/>
              <w:bottom w:val="single" w:color="000000" w:sz="8" w:space="0"/>
              <w:right w:val="single" w:color="000000" w:sz="8" w:space="0"/>
            </w:tcBorders>
            <w:vAlign w:val="center"/>
          </w:tcPr>
          <w:p w14:paraId="1AAA1E6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阿克苏地区</w:t>
            </w:r>
          </w:p>
        </w:tc>
        <w:tc>
          <w:tcPr>
            <w:tcW w:w="1800" w:type="dxa"/>
            <w:tcBorders>
              <w:top w:val="nil"/>
              <w:left w:val="nil"/>
              <w:bottom w:val="single" w:color="000000" w:sz="8" w:space="0"/>
              <w:right w:val="single" w:color="000000" w:sz="8" w:space="0"/>
            </w:tcBorders>
            <w:vAlign w:val="center"/>
          </w:tcPr>
          <w:p w14:paraId="709E487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1259</w:t>
            </w:r>
          </w:p>
        </w:tc>
        <w:tc>
          <w:tcPr>
            <w:tcW w:w="2046" w:type="dxa"/>
            <w:tcBorders>
              <w:top w:val="nil"/>
              <w:left w:val="nil"/>
              <w:bottom w:val="single" w:color="000000" w:sz="8" w:space="0"/>
              <w:right w:val="single" w:color="000000" w:sz="8" w:space="0"/>
            </w:tcBorders>
            <w:vAlign w:val="center"/>
          </w:tcPr>
          <w:p w14:paraId="3CF604D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1034.23</w:t>
            </w:r>
          </w:p>
        </w:tc>
        <w:tc>
          <w:tcPr>
            <w:tcW w:w="2064" w:type="dxa"/>
            <w:tcBorders>
              <w:top w:val="nil"/>
              <w:left w:val="nil"/>
              <w:bottom w:val="single" w:color="000000" w:sz="8" w:space="0"/>
              <w:right w:val="single" w:color="000000" w:sz="8" w:space="0"/>
            </w:tcBorders>
            <w:vAlign w:val="center"/>
          </w:tcPr>
          <w:p w14:paraId="756FFE3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82.15%</w:t>
            </w:r>
          </w:p>
        </w:tc>
      </w:tr>
      <w:tr w14:paraId="5ABC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 w:hRule="atLeast"/>
        </w:trPr>
        <w:tc>
          <w:tcPr>
            <w:tcW w:w="946" w:type="dxa"/>
            <w:tcBorders>
              <w:top w:val="nil"/>
              <w:left w:val="single" w:color="000000" w:sz="8" w:space="0"/>
              <w:bottom w:val="single" w:color="000000" w:sz="8" w:space="0"/>
              <w:right w:val="single" w:color="000000" w:sz="8" w:space="0"/>
            </w:tcBorders>
            <w:vAlign w:val="center"/>
          </w:tcPr>
          <w:p w14:paraId="2F1CC23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13</w:t>
            </w:r>
          </w:p>
        </w:tc>
        <w:tc>
          <w:tcPr>
            <w:tcW w:w="2284" w:type="dxa"/>
            <w:tcBorders>
              <w:top w:val="nil"/>
              <w:left w:val="nil"/>
              <w:bottom w:val="single" w:color="000000" w:sz="8" w:space="0"/>
              <w:right w:val="single" w:color="000000" w:sz="8" w:space="0"/>
            </w:tcBorders>
            <w:vAlign w:val="center"/>
          </w:tcPr>
          <w:p w14:paraId="57B67CE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克孜勒苏柯尔克孜自治州</w:t>
            </w:r>
          </w:p>
        </w:tc>
        <w:tc>
          <w:tcPr>
            <w:tcW w:w="1800" w:type="dxa"/>
            <w:tcBorders>
              <w:top w:val="nil"/>
              <w:left w:val="nil"/>
              <w:bottom w:val="single" w:color="000000" w:sz="8" w:space="0"/>
              <w:right w:val="single" w:color="000000" w:sz="8" w:space="0"/>
            </w:tcBorders>
            <w:vAlign w:val="center"/>
          </w:tcPr>
          <w:p w14:paraId="1A918B2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190</w:t>
            </w:r>
          </w:p>
        </w:tc>
        <w:tc>
          <w:tcPr>
            <w:tcW w:w="2046" w:type="dxa"/>
            <w:tcBorders>
              <w:top w:val="nil"/>
              <w:left w:val="nil"/>
              <w:bottom w:val="single" w:color="000000" w:sz="8" w:space="0"/>
              <w:right w:val="single" w:color="000000" w:sz="8" w:space="0"/>
            </w:tcBorders>
            <w:vAlign w:val="center"/>
          </w:tcPr>
          <w:p w14:paraId="1AE716F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140.99</w:t>
            </w:r>
          </w:p>
        </w:tc>
        <w:tc>
          <w:tcPr>
            <w:tcW w:w="2064" w:type="dxa"/>
            <w:tcBorders>
              <w:top w:val="nil"/>
              <w:left w:val="nil"/>
              <w:bottom w:val="single" w:color="000000" w:sz="8" w:space="0"/>
              <w:right w:val="single" w:color="000000" w:sz="8" w:space="0"/>
            </w:tcBorders>
            <w:vAlign w:val="center"/>
          </w:tcPr>
          <w:p w14:paraId="1207B8F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74.21%</w:t>
            </w:r>
          </w:p>
        </w:tc>
      </w:tr>
      <w:tr w14:paraId="3C75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6" w:hRule="atLeast"/>
        </w:trPr>
        <w:tc>
          <w:tcPr>
            <w:tcW w:w="946" w:type="dxa"/>
            <w:tcBorders>
              <w:top w:val="nil"/>
              <w:left w:val="single" w:color="000000" w:sz="8" w:space="0"/>
              <w:bottom w:val="single" w:color="000000" w:sz="8" w:space="0"/>
              <w:right w:val="single" w:color="000000" w:sz="8" w:space="0"/>
            </w:tcBorders>
            <w:vAlign w:val="center"/>
          </w:tcPr>
          <w:p w14:paraId="28334DB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14</w:t>
            </w:r>
          </w:p>
        </w:tc>
        <w:tc>
          <w:tcPr>
            <w:tcW w:w="2284" w:type="dxa"/>
            <w:tcBorders>
              <w:top w:val="nil"/>
              <w:left w:val="nil"/>
              <w:bottom w:val="single" w:color="000000" w:sz="8" w:space="0"/>
              <w:right w:val="single" w:color="000000" w:sz="8" w:space="0"/>
            </w:tcBorders>
            <w:vAlign w:val="center"/>
          </w:tcPr>
          <w:p w14:paraId="08B24CC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喀什地区</w:t>
            </w:r>
          </w:p>
        </w:tc>
        <w:tc>
          <w:tcPr>
            <w:tcW w:w="1800" w:type="dxa"/>
            <w:tcBorders>
              <w:top w:val="nil"/>
              <w:left w:val="nil"/>
              <w:bottom w:val="single" w:color="000000" w:sz="8" w:space="0"/>
              <w:right w:val="single" w:color="000000" w:sz="8" w:space="0"/>
            </w:tcBorders>
            <w:vAlign w:val="center"/>
          </w:tcPr>
          <w:p w14:paraId="3B101C9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794</w:t>
            </w:r>
          </w:p>
        </w:tc>
        <w:tc>
          <w:tcPr>
            <w:tcW w:w="2046" w:type="dxa"/>
            <w:tcBorders>
              <w:top w:val="nil"/>
              <w:left w:val="nil"/>
              <w:bottom w:val="single" w:color="000000" w:sz="8" w:space="0"/>
              <w:right w:val="single" w:color="000000" w:sz="8" w:space="0"/>
            </w:tcBorders>
            <w:vAlign w:val="center"/>
          </w:tcPr>
          <w:p w14:paraId="1335D26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735.87</w:t>
            </w:r>
          </w:p>
        </w:tc>
        <w:tc>
          <w:tcPr>
            <w:tcW w:w="2064" w:type="dxa"/>
            <w:tcBorders>
              <w:top w:val="nil"/>
              <w:left w:val="nil"/>
              <w:bottom w:val="single" w:color="000000" w:sz="8" w:space="0"/>
              <w:right w:val="single" w:color="000000" w:sz="8" w:space="0"/>
            </w:tcBorders>
            <w:vAlign w:val="center"/>
          </w:tcPr>
          <w:p w14:paraId="103AFF6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92.68%</w:t>
            </w:r>
          </w:p>
        </w:tc>
      </w:tr>
      <w:tr w14:paraId="2742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 w:hRule="atLeast"/>
        </w:trPr>
        <w:tc>
          <w:tcPr>
            <w:tcW w:w="946" w:type="dxa"/>
            <w:tcBorders>
              <w:top w:val="nil"/>
              <w:left w:val="single" w:color="000000" w:sz="8" w:space="0"/>
              <w:bottom w:val="single" w:color="000000" w:sz="8" w:space="0"/>
              <w:right w:val="single" w:color="000000" w:sz="8" w:space="0"/>
            </w:tcBorders>
            <w:vAlign w:val="center"/>
          </w:tcPr>
          <w:p w14:paraId="4385FD1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15</w:t>
            </w:r>
          </w:p>
        </w:tc>
        <w:tc>
          <w:tcPr>
            <w:tcW w:w="2284" w:type="dxa"/>
            <w:tcBorders>
              <w:top w:val="nil"/>
              <w:left w:val="nil"/>
              <w:bottom w:val="single" w:color="000000" w:sz="8" w:space="0"/>
              <w:right w:val="single" w:color="000000" w:sz="8" w:space="0"/>
            </w:tcBorders>
            <w:vAlign w:val="center"/>
          </w:tcPr>
          <w:p w14:paraId="76741D6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和田地区</w:t>
            </w:r>
          </w:p>
        </w:tc>
        <w:tc>
          <w:tcPr>
            <w:tcW w:w="1800" w:type="dxa"/>
            <w:tcBorders>
              <w:top w:val="nil"/>
              <w:left w:val="nil"/>
              <w:bottom w:val="single" w:color="000000" w:sz="8" w:space="0"/>
              <w:right w:val="single" w:color="000000" w:sz="8" w:space="0"/>
            </w:tcBorders>
            <w:vAlign w:val="center"/>
          </w:tcPr>
          <w:p w14:paraId="44E099A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748</w:t>
            </w:r>
          </w:p>
        </w:tc>
        <w:tc>
          <w:tcPr>
            <w:tcW w:w="2046" w:type="dxa"/>
            <w:tcBorders>
              <w:top w:val="nil"/>
              <w:left w:val="nil"/>
              <w:bottom w:val="single" w:color="000000" w:sz="8" w:space="0"/>
              <w:right w:val="single" w:color="000000" w:sz="8" w:space="0"/>
            </w:tcBorders>
            <w:vAlign w:val="center"/>
          </w:tcPr>
          <w:p w14:paraId="6DDFBEE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224.575</w:t>
            </w:r>
          </w:p>
        </w:tc>
        <w:tc>
          <w:tcPr>
            <w:tcW w:w="2064" w:type="dxa"/>
            <w:tcBorders>
              <w:top w:val="nil"/>
              <w:left w:val="nil"/>
              <w:bottom w:val="single" w:color="000000" w:sz="8" w:space="0"/>
              <w:right w:val="single" w:color="000000" w:sz="8" w:space="0"/>
            </w:tcBorders>
            <w:vAlign w:val="center"/>
          </w:tcPr>
          <w:p w14:paraId="04A5393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30.02%</w:t>
            </w:r>
          </w:p>
        </w:tc>
      </w:tr>
      <w:tr w14:paraId="2F4B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4" w:hRule="atLeast"/>
        </w:trPr>
        <w:tc>
          <w:tcPr>
            <w:tcW w:w="3230" w:type="dxa"/>
            <w:gridSpan w:val="2"/>
            <w:tcBorders>
              <w:top w:val="nil"/>
              <w:left w:val="single" w:color="000000" w:sz="8" w:space="0"/>
              <w:bottom w:val="single" w:color="000000" w:sz="8" w:space="0"/>
              <w:right w:val="single" w:color="000000" w:sz="8" w:space="0"/>
            </w:tcBorders>
            <w:vAlign w:val="center"/>
          </w:tcPr>
          <w:p w14:paraId="1970B78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合计</w:t>
            </w:r>
          </w:p>
        </w:tc>
        <w:tc>
          <w:tcPr>
            <w:tcW w:w="1800" w:type="dxa"/>
            <w:tcBorders>
              <w:top w:val="nil"/>
              <w:left w:val="nil"/>
              <w:bottom w:val="single" w:color="000000" w:sz="8" w:space="0"/>
              <w:right w:val="single" w:color="000000" w:sz="8" w:space="0"/>
            </w:tcBorders>
            <w:vAlign w:val="center"/>
          </w:tcPr>
          <w:p w14:paraId="0E60DE4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11558</w:t>
            </w:r>
          </w:p>
        </w:tc>
        <w:tc>
          <w:tcPr>
            <w:tcW w:w="2046" w:type="dxa"/>
            <w:tcBorders>
              <w:top w:val="nil"/>
              <w:left w:val="nil"/>
              <w:bottom w:val="single" w:color="000000" w:sz="8" w:space="0"/>
              <w:right w:val="single" w:color="000000" w:sz="8" w:space="0"/>
            </w:tcBorders>
            <w:vAlign w:val="center"/>
          </w:tcPr>
          <w:p w14:paraId="5DF31B7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9603.53</w:t>
            </w:r>
          </w:p>
        </w:tc>
        <w:tc>
          <w:tcPr>
            <w:tcW w:w="2064" w:type="dxa"/>
            <w:tcBorders>
              <w:top w:val="nil"/>
              <w:left w:val="nil"/>
              <w:bottom w:val="single" w:color="000000" w:sz="8" w:space="0"/>
              <w:right w:val="single" w:color="000000" w:sz="8" w:space="0"/>
            </w:tcBorders>
            <w:vAlign w:val="center"/>
          </w:tcPr>
          <w:p w14:paraId="337CE30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83.09%</w:t>
            </w:r>
          </w:p>
        </w:tc>
      </w:tr>
    </w:tbl>
    <w:p w14:paraId="1A19F419">
      <w:pPr>
        <w:pStyle w:val="5"/>
        <w:bidi w:val="0"/>
        <w:rPr>
          <w:rFonts w:hint="default" w:ascii="Times New Roman" w:hAnsi="Times New Roman" w:cs="Times New Roman"/>
        </w:rPr>
      </w:pPr>
      <w:r>
        <w:rPr>
          <w:rFonts w:hint="default" w:ascii="Times New Roman" w:hAnsi="Times New Roman" w:cs="Times New Roman"/>
          <w:lang w:val="en-US" w:eastAsia="zh-CN"/>
        </w:rPr>
        <w:t>（二）项目资金管理情</w:t>
      </w:r>
      <w:r>
        <w:rPr>
          <w:rFonts w:hint="default" w:ascii="Times New Roman" w:hAnsi="Times New Roman" w:cs="Times New Roman"/>
          <w:highlight w:val="none"/>
          <w:lang w:val="en-US" w:eastAsia="zh-CN"/>
        </w:rPr>
        <w:t>况分析。</w:t>
      </w:r>
    </w:p>
    <w:p w14:paraId="3B79CCB9">
      <w:pPr>
        <w:bidi w:val="0"/>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新疆维吾尔自治区</w:t>
      </w:r>
      <w:r>
        <w:rPr>
          <w:rFonts w:hint="default" w:ascii="Times New Roman" w:hAnsi="Times New Roman" w:cs="Times New Roman"/>
          <w:color w:val="auto"/>
          <w:sz w:val="32"/>
          <w:szCs w:val="32"/>
          <w:shd w:val="clear" w:color="auto" w:fill="auto"/>
          <w:lang w:val="en-US" w:eastAsia="zh-CN"/>
        </w:rPr>
        <w:t>民政厅</w:t>
      </w:r>
      <w:r>
        <w:rPr>
          <w:rFonts w:hint="default" w:ascii="Times New Roman" w:hAnsi="Times New Roman" w:eastAsia="方正仿宋_GBK" w:cs="Times New Roman"/>
          <w:sz w:val="32"/>
          <w:szCs w:val="32"/>
        </w:rPr>
        <w:t>厅党组高度重视预算绩效管理工作，牢固</w:t>
      </w:r>
      <w:r>
        <w:rPr>
          <w:rFonts w:hint="default" w:ascii="Times New Roman" w:hAnsi="Times New Roman" w:eastAsia="方正仿宋_GBK" w:cs="Times New Roman"/>
          <w:sz w:val="32"/>
          <w:szCs w:val="32"/>
          <w:lang w:eastAsia="zh-CN"/>
        </w:rPr>
        <w:t>树立</w:t>
      </w:r>
      <w:r>
        <w:rPr>
          <w:rFonts w:hint="default" w:ascii="Times New Roman" w:hAnsi="Times New Roman" w:eastAsia="方正仿宋_GBK" w:cs="Times New Roman"/>
          <w:sz w:val="32"/>
          <w:szCs w:val="32"/>
        </w:rPr>
        <w:t>“花钱必问效、无效必问责”的责任意识，主要领导亲自安排部署，分管厅领导常抓不懈，不折不扣地贯彻落实预算绩效管理各项</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要求，</w:t>
      </w:r>
      <w:r>
        <w:rPr>
          <w:rFonts w:hint="default" w:ascii="Times New Roman" w:hAnsi="Times New Roman" w:eastAsia="方正仿宋_GBK" w:cs="Times New Roman"/>
          <w:sz w:val="32"/>
          <w:szCs w:val="32"/>
          <w:highlight w:val="none"/>
          <w:u w:val="none"/>
          <w:lang w:val="en-US" w:eastAsia="zh-CN"/>
        </w:rPr>
        <w:t>统筹谋划，扎实推进，</w:t>
      </w:r>
      <w:r>
        <w:rPr>
          <w:rFonts w:hint="default" w:ascii="Times New Roman" w:hAnsi="Times New Roman" w:eastAsia="方正仿宋_GBK" w:cs="Times New Roman"/>
          <w:sz w:val="32"/>
          <w:szCs w:val="32"/>
        </w:rPr>
        <w:t>预算绩效管理</w:t>
      </w:r>
      <w:r>
        <w:rPr>
          <w:rFonts w:hint="default" w:ascii="Times New Roman" w:hAnsi="Times New Roman" w:eastAsia="方正仿宋_GBK" w:cs="Times New Roman"/>
          <w:b w:val="0"/>
          <w:bCs w:val="0"/>
          <w:color w:val="000000"/>
          <w:sz w:val="32"/>
          <w:szCs w:val="32"/>
          <w:highlight w:val="none"/>
          <w:u w:val="none"/>
          <w:lang w:val="en-US" w:eastAsia="zh-CN"/>
        </w:rPr>
        <w:t>工作</w:t>
      </w:r>
      <w:r>
        <w:rPr>
          <w:rFonts w:hint="default" w:ascii="Times New Roman" w:hAnsi="Times New Roman" w:eastAsia="方正仿宋_GBK" w:cs="Times New Roman"/>
          <w:sz w:val="32"/>
          <w:szCs w:val="32"/>
          <w:highlight w:val="none"/>
          <w:u w:val="none"/>
          <w:lang w:val="en-US" w:eastAsia="zh-CN"/>
        </w:rPr>
        <w:t>迈上新台阶、展现新水平</w:t>
      </w:r>
      <w:r>
        <w:rPr>
          <w:rFonts w:hint="default" w:ascii="Times New Roman" w:hAnsi="Times New Roman" w:cs="Times New Roman"/>
          <w:sz w:val="32"/>
          <w:szCs w:val="32"/>
          <w:highlight w:val="none"/>
          <w:u w:val="none"/>
          <w:lang w:val="en-US" w:eastAsia="zh-CN"/>
        </w:rPr>
        <w:t>；在资金分配上，</w:t>
      </w:r>
      <w:r>
        <w:rPr>
          <w:rFonts w:hint="default" w:ascii="Times New Roman" w:hAnsi="Times New Roman" w:eastAsia="方正仿宋_GBK" w:cs="Times New Roman"/>
          <w:sz w:val="32"/>
          <w:szCs w:val="40"/>
        </w:rPr>
        <w:t>坚持</w:t>
      </w:r>
      <w:r>
        <w:rPr>
          <w:rFonts w:hint="default" w:ascii="Times New Roman" w:hAnsi="Times New Roman" w:eastAsia="方正仿宋_GBK" w:cs="Times New Roman"/>
          <w:sz w:val="32"/>
          <w:szCs w:val="40"/>
          <w:lang w:eastAsia="zh-CN"/>
        </w:rPr>
        <w:t>与民政事业发展规划相衔接</w:t>
      </w:r>
      <w:r>
        <w:rPr>
          <w:rFonts w:hint="default" w:ascii="Times New Roman" w:hAnsi="Times New Roman" w:eastAsia="方正仿宋_GBK" w:cs="Times New Roman"/>
          <w:sz w:val="32"/>
          <w:szCs w:val="40"/>
        </w:rPr>
        <w:t>，</w:t>
      </w:r>
      <w:r>
        <w:rPr>
          <w:rFonts w:hint="default" w:ascii="Times New Roman" w:hAnsi="Times New Roman" w:eastAsia="方正仿宋_GBK" w:cs="Times New Roman"/>
          <w:sz w:val="32"/>
          <w:szCs w:val="40"/>
          <w:lang w:eastAsia="zh-CN"/>
        </w:rPr>
        <w:t>坚持与经济社会发展水平相适应</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40"/>
          <w:lang w:eastAsia="zh-CN"/>
        </w:rPr>
        <w:t>按照政策支持方向、支持标准</w:t>
      </w:r>
      <w:r>
        <w:rPr>
          <w:rFonts w:hint="default" w:ascii="Times New Roman" w:hAnsi="Times New Roman" w:eastAsia="方正仿宋_GBK" w:cs="Times New Roman"/>
          <w:sz w:val="32"/>
          <w:szCs w:val="32"/>
          <w:lang w:val="en-US" w:eastAsia="zh-CN"/>
        </w:rPr>
        <w:t>，开展项目储备</w:t>
      </w:r>
      <w:r>
        <w:rPr>
          <w:rFonts w:hint="default" w:ascii="Times New Roman" w:hAnsi="Times New Roman" w:cs="Times New Roman"/>
          <w:sz w:val="32"/>
          <w:szCs w:val="32"/>
          <w:lang w:val="en-US" w:eastAsia="zh-CN"/>
        </w:rPr>
        <w:t>分配</w:t>
      </w:r>
      <w:r>
        <w:rPr>
          <w:rFonts w:hint="default" w:ascii="Times New Roman" w:hAnsi="Times New Roman" w:eastAsia="方正仿宋_GBK" w:cs="Times New Roman"/>
          <w:sz w:val="32"/>
          <w:szCs w:val="32"/>
          <w:lang w:val="en-US" w:eastAsia="zh-CN"/>
        </w:rPr>
        <w:t>工作</w:t>
      </w:r>
      <w:r>
        <w:rPr>
          <w:rFonts w:hint="default" w:ascii="Times New Roman" w:hAnsi="Times New Roman" w:cs="Times New Roman"/>
          <w:sz w:val="32"/>
          <w:szCs w:val="32"/>
          <w:lang w:val="en-US" w:eastAsia="zh-CN"/>
        </w:rPr>
        <w:t>；在项目下达方面，</w:t>
      </w:r>
      <w:r>
        <w:rPr>
          <w:rFonts w:hint="default" w:ascii="Times New Roman" w:hAnsi="Times New Roman" w:cs="Times New Roman"/>
          <w:lang w:val="en-US" w:eastAsia="zh-CN"/>
        </w:rPr>
        <w:t>严格按照预算法及《彩票公益金管理办法》（财综〔2021〕18号）《民政部办公厅关于印发&lt;民政部彩票公益金使用管理办法&gt;的通知》（民办发〔2024〕9号）等文件规定的时限要求分解下达；在资金拨付过程中，未出现将资金从国库转入财政专户或支付到预算单位实有资金账户等问题，资金拨付合规；在项目资金使用上，建立了资金使用管理制度，严格做到彩票公益资金专款专用，严禁挤占挪用，确保资金高效、安全使用；在项目执行中，定期分析</w:t>
      </w:r>
      <w:r>
        <w:rPr>
          <w:rFonts w:hint="default" w:ascii="Times New Roman" w:hAnsi="Times New Roman" w:cs="Times New Roman"/>
          <w:lang w:val="en-US" w:eastAsia="zh-Hans"/>
        </w:rPr>
        <w:t>监测，</w:t>
      </w:r>
      <w:r>
        <w:rPr>
          <w:rFonts w:hint="default" w:ascii="Times New Roman" w:hAnsi="Times New Roman" w:cs="Times New Roman"/>
          <w:lang w:eastAsia="zh-CN"/>
        </w:rPr>
        <w:t>从源头上把好项目建设、资金支付管理关口，确保了项目建设</w:t>
      </w:r>
      <w:r>
        <w:rPr>
          <w:rFonts w:hint="default" w:ascii="Times New Roman" w:hAnsi="Times New Roman" w:cs="Times New Roman"/>
          <w:lang w:val="en-US" w:eastAsia="zh-CN"/>
        </w:rPr>
        <w:t>有人抓、有人管；在预算执行中做好绩效监控，预算执行完做好绩效评价，切实提高财政资金使用效益；在支出责任履职上，严格落实专项资金“事前审批、事中监管、事后评价”的管理工作要求。</w:t>
      </w:r>
    </w:p>
    <w:p w14:paraId="4160FFD2">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1.资金分配科学性。</w:t>
      </w:r>
      <w:r>
        <w:rPr>
          <w:rFonts w:hint="default" w:ascii="Times New Roman" w:hAnsi="Times New Roman" w:cs="Times New Roman"/>
          <w:lang w:val="en-US" w:eastAsia="zh-CN"/>
        </w:rPr>
        <w:t>根据</w:t>
      </w:r>
      <w:r>
        <w:rPr>
          <w:rFonts w:hint="default" w:ascii="Times New Roman" w:hAnsi="Times New Roman" w:cs="Times New Roman"/>
        </w:rPr>
        <w:t>财政部、民政部</w:t>
      </w:r>
      <w:r>
        <w:rPr>
          <w:rFonts w:hint="default" w:ascii="Times New Roman" w:hAnsi="Times New Roman" w:cs="Times New Roman"/>
          <w:lang w:val="en-US" w:eastAsia="zh-CN"/>
        </w:rPr>
        <w:t>《关于提前下达2025年中央集中彩票公益金支持社会福利事业资金预算的通知》（财社〔2024〕135号），</w:t>
      </w:r>
      <w:r>
        <w:rPr>
          <w:rFonts w:hint="default" w:ascii="Times New Roman" w:hAnsi="Times New Roman" w:cs="Times New Roman"/>
        </w:rPr>
        <w:t>财政部、民政部</w:t>
      </w:r>
      <w:r>
        <w:rPr>
          <w:rFonts w:hint="default" w:ascii="Times New Roman" w:hAnsi="Times New Roman" w:cs="Times New Roman"/>
          <w:lang w:val="en-US" w:eastAsia="zh-CN"/>
        </w:rPr>
        <w:t>《关于下达2025年中央集中彩票公益金支持社会福利事业资金预算（第一批）的通知》（财社〔2025〕51号）主要安排用于支持老年人福利类、残疾人福利类、儿童福利类、社会公益类等四个方面。坚持与民政事业发展规划相衔接，坚持与经济社会发展水平相适应，按照政策支持方向、支持标准，开展项目储备工作，要求各地民政部门按照程序申报项目，自治区民政厅规财处会同相关业务处室共同对申报项目严格审核把关，评估通过的项目纳入储备项目库，经厅党组研究审议通过后，将储备项目库报自治区财政厅审核。依据财政审核评估及修改意见建议，及时修改完善储备项目库。项目分配遴选坚持与资金使用、绩效管理挂钩机制，结合各地需求，优先考虑亟需建设，项目前期用地选址已落实、具备开工条件的项目。按照中央集中彩票公益金使用支持方向，会同相关业务处室对建议清单进行再核实、再评估，按照轻重缓急，形成资金分配建议清单。资金分配方案由民政厅规财处会同相关业务处室共同提出，经过民政厅党组会研究审议通过后，报财政厅按照程序审核审批后，自治区财政厅和民政厅联合发文下达项目资金，明确项目实施单位，项目资金直接分配至各县市区。</w:t>
      </w:r>
    </w:p>
    <w:p w14:paraId="52394EB0">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2.资金下达及时性。</w:t>
      </w:r>
      <w:r>
        <w:rPr>
          <w:rFonts w:hint="default" w:ascii="Times New Roman" w:hAnsi="Times New Roman" w:cs="Times New Roman"/>
          <w:lang w:val="en-US" w:eastAsia="zh-CN"/>
        </w:rPr>
        <w:t>严格按照预算法及《彩票公益金管理办法》（财综〔2021〕18号）《民政部办公厅关于印发&lt;民政部彩票公益金使用管理办法&gt;的通知》（民办发〔2024〕9号）等文件规定的时限要求分解下达，按照老年人福利、儿童福利、残疾人福利和社会公益等四方面内容，及时按照项目申报程序组织各地申报项目，经相关处室评估后提出项目分配建议清单，及时报请厅党组集体研究后报财政厅审核研究同意后，自治区民政厅、财政厅会签联合将拨款文件和项目预算绩效目标在规定30日内分解下达各地。</w:t>
      </w:r>
    </w:p>
    <w:p w14:paraId="4AA2300C">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3.资金拨付合规性。</w:t>
      </w:r>
      <w:r>
        <w:rPr>
          <w:rFonts w:hint="default" w:ascii="Times New Roman" w:hAnsi="Times New Roman" w:cs="Times New Roman"/>
          <w:lang w:val="en-US" w:eastAsia="zh-CN"/>
        </w:rPr>
        <w:t>根据</w:t>
      </w:r>
      <w:r>
        <w:rPr>
          <w:rFonts w:hint="default" w:ascii="Times New Roman" w:hAnsi="Times New Roman" w:cs="Times New Roman"/>
        </w:rPr>
        <w:t>财政部、民政部</w:t>
      </w:r>
      <w:r>
        <w:rPr>
          <w:rFonts w:hint="default" w:ascii="Times New Roman" w:hAnsi="Times New Roman" w:cs="Times New Roman"/>
          <w:lang w:val="en-US" w:eastAsia="zh-CN"/>
        </w:rPr>
        <w:t>《关于提前下达2025年中央集中彩票公益金支持社会福利事业资金预算的通知》（财社〔2024〕135号），</w:t>
      </w:r>
      <w:r>
        <w:rPr>
          <w:rFonts w:hint="default" w:ascii="Times New Roman" w:hAnsi="Times New Roman" w:cs="Times New Roman"/>
        </w:rPr>
        <w:t>财政部、民政部</w:t>
      </w:r>
      <w:r>
        <w:rPr>
          <w:rFonts w:hint="default" w:ascii="Times New Roman" w:hAnsi="Times New Roman" w:cs="Times New Roman"/>
          <w:lang w:val="en-US" w:eastAsia="zh-CN"/>
        </w:rPr>
        <w:t>《关于下达2025年中央集中彩票公益金支持社会福利事业资金预算（第一批）的通知》（财社〔2025〕51号）等文件要求，未出现将资金从国库转入财政专户或支付到预算单位实有资金账户等问题，资金拨付合规。</w:t>
      </w:r>
    </w:p>
    <w:p w14:paraId="240377ED">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4.资金使用规范性。</w:t>
      </w:r>
      <w:r>
        <w:rPr>
          <w:rFonts w:hint="default" w:ascii="Times New Roman" w:hAnsi="Times New Roman" w:cs="Times New Roman"/>
          <w:lang w:val="en-US" w:eastAsia="zh-CN"/>
        </w:rPr>
        <w:t>指导各地专款专用，加快预算执行进度，切实提高资金使用效益。建立了资金使用管理制度，严格做到彩票公益资金专款专用，严禁挤占挪用，确保资金高效、安全使用。对套取、截留、挤占、挪用的，按有关规定严肃查处，确保项目在管理可控范围内顺利实施。总体来看，本项目资金的整体管理水平较好，做到了专款专用、及时拨付、规范支付，保障新疆维吾尔自治区中央集中彩票公益金专项转移支付项目资金支付需求，确保新疆维吾尔自治区中央集中彩票公益金转移支付项目顺利实施。</w:t>
      </w:r>
    </w:p>
    <w:p w14:paraId="4B72E927">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5.资金执行准确性。</w:t>
      </w:r>
      <w:r>
        <w:rPr>
          <w:rFonts w:hint="default" w:ascii="Times New Roman" w:hAnsi="Times New Roman" w:cs="Times New Roman"/>
          <w:highlight w:val="none"/>
          <w:lang w:val="en-US" w:eastAsia="zh-CN"/>
        </w:rPr>
        <w:t>按照《彩票公益金管理办法》（财综〔2021〕18号）《民政部彩票公益金使用管理办法》（民办发〔2019〕34号）《民政部办公厅关于进一步加强彩票公益金使用管理的通知》（民办函〔2019〕79号）《自治区民政厅预算绩效一体化推进工作方案》《自治区民政厅工程建设项目变更管理办法》《自治区民政厅工程建设项目基本建设程序规范管理指引清单》等制度</w:t>
      </w:r>
      <w:r>
        <w:rPr>
          <w:rFonts w:hint="default" w:ascii="Times New Roman" w:hAnsi="Times New Roman" w:cs="Times New Roman"/>
          <w:lang w:val="en-US" w:eastAsia="zh-CN"/>
        </w:rPr>
        <w:t>，</w:t>
      </w:r>
      <w:r>
        <w:rPr>
          <w:rFonts w:hint="default" w:ascii="Times New Roman" w:hAnsi="Times New Roman" w:cs="Times New Roman"/>
          <w:lang w:eastAsia="zh-CN"/>
        </w:rPr>
        <w:t>指导</w:t>
      </w:r>
      <w:r>
        <w:rPr>
          <w:rFonts w:hint="default" w:ascii="Times New Roman" w:hAnsi="Times New Roman" w:cs="Times New Roman"/>
          <w:lang w:val="en-US" w:eastAsia="zh-CN"/>
        </w:rPr>
        <w:t>各地</w:t>
      </w:r>
      <w:r>
        <w:rPr>
          <w:rFonts w:hint="default" w:ascii="Times New Roman" w:hAnsi="Times New Roman" w:cs="Times New Roman"/>
          <w:lang w:eastAsia="zh-CN"/>
        </w:rPr>
        <w:t>按照</w:t>
      </w:r>
      <w:r>
        <w:rPr>
          <w:rFonts w:hint="default" w:ascii="Times New Roman" w:hAnsi="Times New Roman" w:cs="Times New Roman"/>
          <w:lang w:val="en-US" w:eastAsia="zh-CN"/>
        </w:rPr>
        <w:t>时间表、线路图，严格落实调度制度，加快项目推进，强化日常监管，定期分析</w:t>
      </w:r>
      <w:r>
        <w:rPr>
          <w:rFonts w:hint="default" w:ascii="Times New Roman" w:hAnsi="Times New Roman" w:cs="Times New Roman"/>
          <w:lang w:val="en-US" w:eastAsia="zh-Hans"/>
        </w:rPr>
        <w:t>监测，</w:t>
      </w:r>
      <w:r>
        <w:rPr>
          <w:rFonts w:hint="default" w:ascii="Times New Roman" w:hAnsi="Times New Roman" w:cs="Times New Roman"/>
          <w:lang w:eastAsia="zh-CN"/>
        </w:rPr>
        <w:t>从源头上把好项目建设、资金支付管理关口，确保了项目建设</w:t>
      </w:r>
      <w:r>
        <w:rPr>
          <w:rFonts w:hint="default" w:ascii="Times New Roman" w:hAnsi="Times New Roman" w:cs="Times New Roman"/>
          <w:lang w:val="en-US" w:eastAsia="zh-CN"/>
        </w:rPr>
        <w:t>有人抓、有人管，确保了资金使用依法依规、专款专用。</w:t>
      </w:r>
    </w:p>
    <w:p w14:paraId="151F7EA9">
      <w:pPr>
        <w:bidi w:val="0"/>
        <w:rPr>
          <w:rFonts w:hint="default" w:ascii="Times New Roman" w:hAnsi="Times New Roman" w:cs="Times New Roman"/>
          <w:highlight w:val="yellow"/>
          <w:lang w:val="en-US" w:eastAsia="zh-CN"/>
        </w:rPr>
      </w:pPr>
      <w:r>
        <w:rPr>
          <w:rFonts w:hint="default" w:ascii="Times New Roman" w:hAnsi="Times New Roman" w:cs="Times New Roman"/>
          <w:b/>
          <w:bCs/>
          <w:lang w:val="en-US" w:eastAsia="zh-CN"/>
        </w:rPr>
        <w:t>6.预算绩效管理情况。</w:t>
      </w:r>
      <w:r>
        <w:rPr>
          <w:rFonts w:hint="default" w:ascii="Times New Roman" w:hAnsi="Times New Roman" w:cs="Times New Roman"/>
          <w:lang w:val="en-US" w:eastAsia="zh-CN"/>
        </w:rPr>
        <w:t>按照《中共中央国务院关于全面实施预算绩效管理的意见》、《关于加强和规范自治区本级项目支出“全过程”预算绩效管理结果应用的通知》（新财预〔2022〕57号）等相关文件要求，</w:t>
      </w:r>
      <w:r>
        <w:rPr>
          <w:rFonts w:hint="default" w:ascii="Times New Roman" w:hAnsi="Times New Roman" w:cs="Times New Roman"/>
          <w:highlight w:val="none"/>
          <w:lang w:val="en-US" w:eastAsia="zh-CN"/>
        </w:rPr>
        <w:t>一是认真履行预算绩效管理责任，形成书记厅长抓“难点”、副厅长分片包干、业务处室常态监管的局面，</w:t>
      </w:r>
      <w:r>
        <w:rPr>
          <w:rFonts w:hint="default" w:ascii="Times New Roman" w:hAnsi="Times New Roman" w:cs="Times New Roman"/>
          <w:highlight w:val="none"/>
        </w:rPr>
        <w:t>预算绩效管理覆盖率达100%</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提升了工作管理水平；二是印发《预算绩效执行责任落实方案》，明确职责任务，规范绩效运行监控、评价结果应用等各环节流程。结合《党政机关厉行节约反对浪费条例》，出台《经费支出管理办法》《政府采购公平竞争审查暂行办法》等制度文件，形成了较为完备的内部控制体系；三是组织开展了民政预算绩效及项目管理培训，为提升绩效管理水平夯实了基础；四是</w:t>
      </w:r>
      <w:r>
        <w:rPr>
          <w:rFonts w:hint="default" w:ascii="Times New Roman" w:hAnsi="Times New Roman" w:cs="Times New Roman"/>
          <w:highlight w:val="none"/>
          <w:lang w:eastAsia="zh-CN"/>
        </w:rPr>
        <w:t>联合自治区财政厅、发展改革委印发《项目建设任务及资金支出进度的通知》，指导各地各单位对照时间表、线路图加快项目推进，认真落实月调度制度，加大</w:t>
      </w:r>
      <w:r>
        <w:rPr>
          <w:rFonts w:hint="default" w:ascii="Times New Roman" w:hAnsi="Times New Roman" w:cs="Times New Roman"/>
          <w:highlight w:val="none"/>
        </w:rPr>
        <w:t>绩效监控</w:t>
      </w:r>
      <w:r>
        <w:rPr>
          <w:rFonts w:hint="default" w:ascii="Times New Roman" w:hAnsi="Times New Roman" w:cs="Times New Roman"/>
          <w:highlight w:val="none"/>
          <w:lang w:eastAsia="zh-CN"/>
        </w:rPr>
        <w:t>，强化资金使用绩效总体评价</w:t>
      </w:r>
      <w:r>
        <w:rPr>
          <w:rFonts w:hint="default" w:ascii="Times New Roman" w:hAnsi="Times New Roman" w:cs="Times New Roman"/>
          <w:highlight w:val="none"/>
        </w:rPr>
        <w:t>。</w:t>
      </w:r>
      <w:r>
        <w:rPr>
          <w:rFonts w:hint="default" w:ascii="Times New Roman" w:hAnsi="Times New Roman" w:cs="Times New Roman"/>
          <w:highlight w:val="none"/>
          <w:lang w:val="en-US" w:eastAsia="zh-CN"/>
        </w:rPr>
        <w:t>自治区民政厅严格执行有关财经制度，进一步加强预算绩效管理，在预算执行中做好绩效监控，预算执行完做好绩效评价，切实提高财政资金使用效益，确保资金安全规范使用，确保年度绩效目标如期实现。</w:t>
      </w:r>
    </w:p>
    <w:p w14:paraId="11EA4CA4">
      <w:pPr>
        <w:bidi w:val="0"/>
        <w:rPr>
          <w:rFonts w:hint="default" w:ascii="Times New Roman" w:hAnsi="Times New Roman" w:eastAsia="方正仿宋_GBK" w:cs="Times New Roman"/>
          <w:b w:val="0"/>
          <w:bCs w:val="0"/>
          <w:color w:val="auto"/>
          <w:kern w:val="2"/>
          <w:szCs w:val="32"/>
          <w:highlight w:val="none"/>
          <w:lang w:val="en-US" w:eastAsia="zh-CN" w:bidi="ar-SA"/>
        </w:rPr>
      </w:pPr>
      <w:r>
        <w:rPr>
          <w:rFonts w:hint="default" w:ascii="Times New Roman" w:hAnsi="Times New Roman" w:cs="Times New Roman"/>
          <w:b/>
          <w:bCs/>
          <w:lang w:val="en-US" w:eastAsia="zh-CN"/>
        </w:rPr>
        <w:t>7.支出责任履行情况。</w:t>
      </w:r>
      <w:r>
        <w:rPr>
          <w:rFonts w:hint="default" w:ascii="Times New Roman" w:hAnsi="Times New Roman" w:cs="Times New Roman"/>
          <w:lang w:val="en-US" w:eastAsia="zh-CN"/>
        </w:rPr>
        <w:t>按照财政事权和支出责任划分有关规定，自治区民政厅要求相关地（州、市）民政厅严格落实专项资金“事前审批、事中监管、事后评价”的管理工作要求，认真履行本级支出责任确保专项资金足额落实到位、专款专用，充分发挥专项资金使用效益。</w:t>
      </w:r>
    </w:p>
    <w:p w14:paraId="0E208252">
      <w:pPr>
        <w:pStyle w:val="5"/>
        <w:bidi w:val="0"/>
        <w:rPr>
          <w:rFonts w:hint="default" w:ascii="Times New Roman" w:hAnsi="Times New Roman" w:cs="Times New Roman"/>
          <w:lang w:val="en-US" w:eastAsia="zh-CN"/>
        </w:rPr>
      </w:pPr>
      <w:r>
        <w:rPr>
          <w:rFonts w:hint="default" w:ascii="Times New Roman" w:hAnsi="Times New Roman" w:cs="Times New Roman"/>
          <w:lang w:val="en-US" w:eastAsia="zh-CN"/>
        </w:rPr>
        <w:t>（三）总体绩效目标完成情况分析。</w:t>
      </w:r>
    </w:p>
    <w:p w14:paraId="6FD5E5DC">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年初总体绩效目标：</w:t>
      </w:r>
      <w:r>
        <w:rPr>
          <w:rFonts w:hint="default" w:ascii="Times New Roman" w:hAnsi="Times New Roman" w:cs="Times New Roman"/>
          <w:lang w:val="en-US" w:eastAsia="zh-CN"/>
        </w:rPr>
        <w:t>一是支持以服务生活困难和失能失智老年人为主的养老机构（含特困人员供养服务设施）、街道（乡镇）和社区养老服务设施维修改造和设备配置；支持开展老年人能力评估；二是支持精神卫生社会福利机构、民政直属康复辅助器具机构设施设备配置；三是支持儿童福利服务机构设施设备配置；四是支持殡葬设施设备配置。</w:t>
      </w:r>
    </w:p>
    <w:p w14:paraId="2AB069B9">
      <w:pPr>
        <w:bidi w:val="0"/>
        <w:rPr>
          <w:rFonts w:hint="default" w:ascii="Times New Roman" w:hAnsi="Times New Roman" w:cs="Times New Roman"/>
          <w:highlight w:val="yellow"/>
          <w:lang w:val="en-US" w:eastAsia="zh-CN"/>
        </w:rPr>
      </w:pPr>
      <w:r>
        <w:rPr>
          <w:rFonts w:hint="default" w:ascii="Times New Roman" w:hAnsi="Times New Roman" w:cs="Times New Roman"/>
          <w:b/>
          <w:bCs/>
          <w:lang w:val="en-US" w:eastAsia="zh-CN"/>
        </w:rPr>
        <w:t>总体绩效目标完成情况分析：</w:t>
      </w:r>
      <w:r>
        <w:rPr>
          <w:rFonts w:hint="default" w:ascii="Times New Roman" w:hAnsi="Times New Roman" w:cs="Times New Roman"/>
          <w:lang w:val="en-US" w:eastAsia="zh-CN"/>
        </w:rPr>
        <w:t>截至2025年底，</w:t>
      </w:r>
      <w:r>
        <w:rPr>
          <w:rFonts w:hint="default" w:ascii="Times New Roman" w:hAnsi="Times New Roman" w:cs="Times New Roman"/>
          <w:highlight w:val="none"/>
          <w:lang w:val="en-US" w:eastAsia="zh-CN"/>
        </w:rPr>
        <w:t>一是通过支持维修改造养老服务机构项目13个（其中：维修改造养老服务机构项目完成10个、正在改造3个）、完成6个维修改造社区日间照料中心项目，有效保障养老机构服务能力及水平；二是通过支持伊犁州康仁医院设施设备配置改造完善，及支持喀什、和田、吐鲁番等地服务对象康复辅助器具配置服务工作，共计完成配置康复辅助器具1231件，逐步保障对象的健康和安全；三是完成4个儿童福利机构、未成年人救助保护机构设施设备配置，有效提高机构服务能力；四是通过完成2家殡仪馆内的殡葬设施设备配置，高效提升殡葬服务能力及水平。</w:t>
      </w:r>
    </w:p>
    <w:p w14:paraId="47700966">
      <w:pPr>
        <w:pStyle w:val="5"/>
        <w:bidi w:val="0"/>
        <w:rPr>
          <w:rFonts w:hint="default" w:ascii="Times New Roman" w:hAnsi="Times New Roman" w:eastAsia="方正楷体_GBK" w:cs="Times New Roman"/>
          <w:b/>
          <w:bCs/>
          <w:kern w:val="2"/>
          <w:szCs w:val="32"/>
          <w:highlight w:val="none"/>
          <w:lang w:val="en-US" w:eastAsia="zh-CN" w:bidi="ar-SA"/>
        </w:rPr>
      </w:pPr>
      <w:r>
        <w:rPr>
          <w:rFonts w:hint="default" w:ascii="Times New Roman" w:hAnsi="Times New Roman" w:cs="Times New Roman"/>
          <w:lang w:val="en-US" w:eastAsia="zh-CN"/>
        </w:rPr>
        <w:t>（四）绩效指标完成情况</w:t>
      </w:r>
      <w:r>
        <w:rPr>
          <w:rFonts w:hint="default" w:ascii="Times New Roman" w:hAnsi="Times New Roman" w:cs="Times New Roman"/>
          <w:highlight w:val="none"/>
          <w:lang w:val="en-US" w:eastAsia="zh-CN"/>
        </w:rPr>
        <w:t>分</w:t>
      </w:r>
      <w:r>
        <w:rPr>
          <w:rFonts w:hint="default" w:ascii="Times New Roman" w:hAnsi="Times New Roman" w:cs="Times New Roman"/>
          <w:lang w:val="en-US" w:eastAsia="zh-CN"/>
        </w:rPr>
        <w:t>析</w:t>
      </w:r>
    </w:p>
    <w:p w14:paraId="08229268">
      <w:pPr>
        <w:bidi w:val="0"/>
        <w:rPr>
          <w:rFonts w:hint="default" w:ascii="Times New Roman" w:hAnsi="Times New Roman" w:eastAsia="方正仿宋_GBK" w:cs="Times New Roman"/>
          <w:b/>
          <w:bCs/>
          <w:kern w:val="2"/>
          <w:szCs w:val="32"/>
          <w:highlight w:val="none"/>
          <w:lang w:val="en-US" w:eastAsia="zh-CN" w:bidi="ar-SA"/>
        </w:rPr>
      </w:pPr>
      <w:r>
        <w:rPr>
          <w:rFonts w:hint="default" w:ascii="Times New Roman" w:hAnsi="Times New Roman" w:cs="Times New Roman"/>
          <w:b/>
          <w:bCs/>
          <w:lang w:val="en-US" w:eastAsia="zh-CN"/>
        </w:rPr>
        <w:t>1.产出指标完成情况分析</w:t>
      </w:r>
    </w:p>
    <w:p w14:paraId="6EA5A1FA">
      <w:pPr>
        <w:bidi w:val="0"/>
        <w:rPr>
          <w:rFonts w:hint="default" w:ascii="Times New Roman" w:hAnsi="Times New Roman" w:cs="Times New Roman"/>
          <w:lang w:val="en-US" w:eastAsia="zh-CN"/>
        </w:rPr>
      </w:pPr>
      <w:r>
        <w:rPr>
          <w:rFonts w:hint="default" w:ascii="Times New Roman" w:hAnsi="Times New Roman" w:cs="Times New Roman"/>
          <w:lang w:val="en-US" w:eastAsia="zh-CN"/>
        </w:rPr>
        <w:t>（1）数量指标。</w:t>
      </w:r>
    </w:p>
    <w:p w14:paraId="6A489A72">
      <w:pPr>
        <w:bidi w:val="0"/>
        <w:rPr>
          <w:rFonts w:hint="default" w:ascii="Times New Roman" w:hAnsi="Times New Roman" w:cs="Times New Roman"/>
          <w:highlight w:val="none"/>
          <w:lang w:val="en-US" w:eastAsia="zh-CN"/>
        </w:rPr>
      </w:pPr>
      <w:r>
        <w:rPr>
          <w:rFonts w:hint="default" w:ascii="Times New Roman" w:hAnsi="Times New Roman" w:cs="Times New Roman"/>
          <w:lang w:val="en-US" w:eastAsia="zh-CN"/>
        </w:rPr>
        <w:t>a.财政部随文下达维修改造养老服务机构数指标，指标值为≥13个，实际完成10个，完成率76.92%，偏差率23.08%。</w:t>
      </w:r>
      <w:r>
        <w:rPr>
          <w:rFonts w:hint="default" w:ascii="Times New Roman" w:hAnsi="Times New Roman" w:cs="Times New Roman"/>
          <w:highlight w:val="none"/>
          <w:lang w:val="en-US" w:eastAsia="zh-CN"/>
        </w:rPr>
        <w:t>偏差原因:乌鲁木齐市3个项目主体已完成，剩余装修、消防改造等内容正在实施。</w:t>
      </w:r>
    </w:p>
    <w:p w14:paraId="0B2A11E7">
      <w:pPr>
        <w:bidi w:val="0"/>
        <w:ind w:left="0" w:leftChars="0"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b.财政部随文下达养老服务机构护理型床位新增数指标，指标值为≥385张，实际完成400张，完成率103.89%，偏差率3.89%。</w:t>
      </w:r>
    </w:p>
    <w:p w14:paraId="0646547E">
      <w:pPr>
        <w:bidi w:val="0"/>
        <w:rPr>
          <w:rFonts w:hint="default" w:ascii="Times New Roman" w:hAnsi="Times New Roman" w:cs="Times New Roman"/>
          <w:lang w:val="en-US" w:eastAsia="zh-CN"/>
        </w:rPr>
      </w:pPr>
      <w:r>
        <w:rPr>
          <w:rFonts w:hint="default" w:ascii="Times New Roman" w:hAnsi="Times New Roman" w:cs="Times New Roman"/>
          <w:lang w:val="en-US" w:eastAsia="zh-CN"/>
        </w:rPr>
        <w:t>c.财政部随文下达老年人能力评估人次数指标，指标值为≥3000人次，实际完成3000人次，完成率100%，偏差率0%。</w:t>
      </w:r>
    </w:p>
    <w:p w14:paraId="61733F8C">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d.财政部随文下达精神卫生社会福利机构和民政直属康复辅助器具机构新配置设施设备数量指标，指标值为≥1台套，实际完成1台套，完成率100%，偏差率0%。</w:t>
      </w:r>
    </w:p>
    <w:p w14:paraId="2ACC13C4">
      <w:pPr>
        <w:bidi w:val="0"/>
        <w:rPr>
          <w:rFonts w:hint="default" w:ascii="Times New Roman" w:hAnsi="Times New Roman" w:cs="Times New Roman"/>
          <w:lang w:val="en-US" w:eastAsia="zh-CN"/>
        </w:rPr>
      </w:pPr>
      <w:r>
        <w:rPr>
          <w:rFonts w:hint="default" w:ascii="Times New Roman" w:hAnsi="Times New Roman" w:cs="Times New Roman"/>
          <w:lang w:val="en-US" w:eastAsia="zh-CN"/>
        </w:rPr>
        <w:t>e.财政部随文下达儿童福利服务机构新配置设施设备数指标，指标值为≥4台套，实际完成4台套，完成率100%，偏差率0%。</w:t>
      </w:r>
    </w:p>
    <w:p w14:paraId="28073B76">
      <w:pPr>
        <w:bidi w:val="0"/>
        <w:rPr>
          <w:rFonts w:hint="default" w:ascii="Times New Roman" w:hAnsi="Times New Roman" w:cs="Times New Roman"/>
          <w:highlight w:val="none"/>
          <w:lang w:val="en-US" w:eastAsia="zh-CN"/>
        </w:rPr>
      </w:pPr>
      <w:r>
        <w:rPr>
          <w:rFonts w:hint="default" w:ascii="Times New Roman" w:hAnsi="Times New Roman" w:cs="Times New Roman"/>
          <w:lang w:val="en-US" w:eastAsia="zh-CN"/>
        </w:rPr>
        <w:t>f.财政部随文下达殡葬设施设备配置数量指标，指标值为≥2台套，实际完成2台套，完成率100%，偏差率0%</w:t>
      </w:r>
      <w:r>
        <w:rPr>
          <w:rFonts w:hint="default" w:ascii="Times New Roman" w:hAnsi="Times New Roman" w:cs="Times New Roman"/>
          <w:highlight w:val="none"/>
          <w:lang w:val="en-US" w:eastAsia="zh-CN"/>
        </w:rPr>
        <w:t>。</w:t>
      </w:r>
    </w:p>
    <w:p w14:paraId="3ECA4D67">
      <w:pPr>
        <w:bidi w:val="0"/>
        <w:rPr>
          <w:rFonts w:hint="default" w:ascii="Times New Roman" w:hAnsi="Times New Roman" w:cs="Times New Roman"/>
          <w:lang w:val="en-US" w:eastAsia="zh-CN"/>
        </w:rPr>
      </w:pPr>
      <w:r>
        <w:rPr>
          <w:rFonts w:hint="default" w:ascii="Times New Roman" w:hAnsi="Times New Roman" w:cs="Times New Roman"/>
          <w:lang w:val="en-US" w:eastAsia="zh-CN"/>
        </w:rPr>
        <w:t>（2）质量指标。</w:t>
      </w:r>
    </w:p>
    <w:p w14:paraId="0E58DC65">
      <w:pPr>
        <w:bidi w:val="0"/>
        <w:rPr>
          <w:rFonts w:hint="default" w:ascii="Times New Roman" w:hAnsi="Times New Roman" w:cs="Times New Roman"/>
          <w:lang w:val="en-US" w:eastAsia="zh-CN"/>
        </w:rPr>
      </w:pPr>
      <w:r>
        <w:rPr>
          <w:rFonts w:hint="default" w:ascii="Times New Roman" w:hAnsi="Times New Roman" w:cs="Times New Roman"/>
          <w:lang w:val="en-US" w:eastAsia="zh-CN"/>
        </w:rPr>
        <w:t>a.财政部随文下达配置的设施设备验收合格率指标，指标值为=100%，</w:t>
      </w:r>
      <w:r>
        <w:rPr>
          <w:rFonts w:hint="default" w:ascii="Times New Roman" w:hAnsi="Times New Roman" w:cs="Times New Roman"/>
          <w:highlight w:val="none"/>
          <w:lang w:val="en-US" w:eastAsia="zh-CN"/>
        </w:rPr>
        <w:t>实际完成100%，完成率100%，偏差率0%。</w:t>
      </w:r>
      <w:r>
        <w:rPr>
          <w:rFonts w:hint="default" w:ascii="Times New Roman" w:hAnsi="Times New Roman" w:cs="Times New Roman"/>
          <w:lang w:val="en-US" w:eastAsia="zh-CN"/>
        </w:rPr>
        <w:t xml:space="preserve">  </w:t>
      </w:r>
    </w:p>
    <w:p w14:paraId="7AF48D35">
      <w:pPr>
        <w:bidi w:val="0"/>
        <w:rPr>
          <w:rFonts w:hint="default" w:ascii="Times New Roman" w:hAnsi="Times New Roman" w:cs="Times New Roman"/>
          <w:lang w:val="en-US" w:eastAsia="zh-CN"/>
        </w:rPr>
      </w:pPr>
      <w:r>
        <w:rPr>
          <w:rFonts w:hint="default" w:ascii="Times New Roman" w:hAnsi="Times New Roman" w:cs="Times New Roman"/>
          <w:lang w:val="en-US" w:eastAsia="zh-CN"/>
        </w:rPr>
        <w:t>（3）时效指标。</w:t>
      </w:r>
    </w:p>
    <w:p w14:paraId="63C2BDBC">
      <w:pPr>
        <w:bidi w:val="0"/>
        <w:rPr>
          <w:rFonts w:hint="default" w:ascii="Times New Roman" w:hAnsi="Times New Roman" w:cs="Times New Roman"/>
          <w:lang w:val="en-US" w:eastAsia="zh-CN"/>
        </w:rPr>
      </w:pPr>
      <w:r>
        <w:rPr>
          <w:rFonts w:hint="default" w:ascii="Times New Roman" w:hAnsi="Times New Roman" w:cs="Times New Roman"/>
          <w:lang w:val="en-US" w:eastAsia="zh-CN"/>
        </w:rPr>
        <w:t>财政部随文下达的绩效目标未设定时效指标。</w:t>
      </w:r>
    </w:p>
    <w:p w14:paraId="06062751">
      <w:pPr>
        <w:bidi w:val="0"/>
        <w:rPr>
          <w:rFonts w:hint="default" w:ascii="Times New Roman" w:hAnsi="Times New Roman" w:cs="Times New Roman"/>
          <w:lang w:val="en-US" w:eastAsia="zh-CN"/>
        </w:rPr>
      </w:pPr>
      <w:r>
        <w:rPr>
          <w:rFonts w:hint="default" w:ascii="Times New Roman" w:hAnsi="Times New Roman" w:cs="Times New Roman"/>
          <w:lang w:val="en-US" w:eastAsia="zh-CN"/>
        </w:rPr>
        <w:t>（4）成本指标。</w:t>
      </w:r>
    </w:p>
    <w:p w14:paraId="5B6CCBC5">
      <w:pPr>
        <w:bidi w:val="0"/>
        <w:rPr>
          <w:rFonts w:hint="default" w:ascii="Times New Roman" w:hAnsi="Times New Roman" w:cs="Times New Roman"/>
          <w:lang w:val="en-US" w:eastAsia="zh-CN"/>
        </w:rPr>
      </w:pPr>
      <w:r>
        <w:rPr>
          <w:rFonts w:hint="default" w:ascii="Times New Roman" w:hAnsi="Times New Roman" w:cs="Times New Roman"/>
          <w:lang w:val="en-US" w:eastAsia="zh-CN"/>
        </w:rPr>
        <w:t>财政部随文下达的绩效目标未设定成本指标。</w:t>
      </w:r>
    </w:p>
    <w:p w14:paraId="0EAB25A0">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2.效益指标完成情况分析。</w:t>
      </w:r>
    </w:p>
    <w:p w14:paraId="4B4AB8C1">
      <w:pPr>
        <w:bidi w:val="0"/>
        <w:rPr>
          <w:rFonts w:hint="default" w:ascii="Times New Roman" w:hAnsi="Times New Roman" w:cs="Times New Roman"/>
          <w:lang w:val="en-US" w:eastAsia="zh-CN"/>
        </w:rPr>
      </w:pPr>
      <w:r>
        <w:rPr>
          <w:rFonts w:hint="default" w:ascii="Times New Roman" w:hAnsi="Times New Roman" w:cs="Times New Roman"/>
          <w:lang w:val="en-US" w:eastAsia="zh-CN"/>
        </w:rPr>
        <w:t>（1）经济效益。</w:t>
      </w:r>
    </w:p>
    <w:p w14:paraId="7C22ADA7">
      <w:pPr>
        <w:bidi w:val="0"/>
        <w:rPr>
          <w:rFonts w:hint="default" w:ascii="Times New Roman" w:hAnsi="Times New Roman" w:cs="Times New Roman"/>
          <w:lang w:val="en-US" w:eastAsia="zh-CN"/>
        </w:rPr>
      </w:pPr>
      <w:r>
        <w:rPr>
          <w:rFonts w:hint="default" w:ascii="Times New Roman" w:hAnsi="Times New Roman" w:cs="Times New Roman"/>
          <w:lang w:val="en-US" w:eastAsia="zh-CN"/>
        </w:rPr>
        <w:t>财政部随文下达的绩效目标未设定经济效益指标。</w:t>
      </w:r>
    </w:p>
    <w:p w14:paraId="4277A016">
      <w:pPr>
        <w:bidi w:val="0"/>
        <w:rPr>
          <w:rFonts w:hint="default" w:ascii="Times New Roman" w:hAnsi="Times New Roman" w:cs="Times New Roman"/>
          <w:lang w:val="en-US" w:eastAsia="zh-CN"/>
        </w:rPr>
      </w:pPr>
      <w:r>
        <w:rPr>
          <w:rFonts w:hint="default" w:ascii="Times New Roman" w:hAnsi="Times New Roman" w:cs="Times New Roman"/>
          <w:lang w:val="en-US" w:eastAsia="zh-CN"/>
        </w:rPr>
        <w:t>（2）社会效益。</w:t>
      </w:r>
    </w:p>
    <w:p w14:paraId="4267C365">
      <w:pPr>
        <w:bidi w:val="0"/>
        <w:rPr>
          <w:rFonts w:hint="default" w:ascii="Times New Roman" w:hAnsi="Times New Roman" w:cs="Times New Roman"/>
          <w:lang w:val="en-US" w:eastAsia="zh-CN"/>
        </w:rPr>
      </w:pPr>
      <w:r>
        <w:rPr>
          <w:rFonts w:hint="default" w:ascii="Times New Roman" w:hAnsi="Times New Roman" w:cs="Times New Roman"/>
          <w:lang w:val="en-US" w:eastAsia="zh-CN"/>
        </w:rPr>
        <w:t>a.财政部随文下达中央集中彩票公益金支持社会福利事业资金支持社会福利事业发展成效指标，指标值为成效显著，实际完成100%，完成率100%，偏差率0%。</w:t>
      </w:r>
    </w:p>
    <w:p w14:paraId="173D4140">
      <w:pPr>
        <w:bidi w:val="0"/>
        <w:rPr>
          <w:rFonts w:hint="default" w:ascii="Times New Roman" w:hAnsi="Times New Roman" w:cs="Times New Roman"/>
          <w:lang w:val="en-US" w:eastAsia="zh-CN"/>
        </w:rPr>
      </w:pPr>
      <w:r>
        <w:rPr>
          <w:rFonts w:hint="default" w:ascii="Times New Roman" w:hAnsi="Times New Roman" w:cs="Times New Roman"/>
          <w:lang w:val="en-US" w:eastAsia="zh-CN"/>
        </w:rPr>
        <w:t>（3）生态效益。</w:t>
      </w:r>
    </w:p>
    <w:p w14:paraId="5FAF0D0A">
      <w:pPr>
        <w:bidi w:val="0"/>
        <w:rPr>
          <w:rFonts w:hint="default" w:ascii="Times New Roman" w:hAnsi="Times New Roman" w:cs="Times New Roman"/>
          <w:lang w:val="en-US" w:eastAsia="zh-CN"/>
        </w:rPr>
      </w:pPr>
      <w:r>
        <w:rPr>
          <w:rFonts w:hint="default" w:ascii="Times New Roman" w:hAnsi="Times New Roman" w:cs="Times New Roman"/>
          <w:lang w:val="en-US" w:eastAsia="zh-CN"/>
        </w:rPr>
        <w:t>财政厅随文下达的绩效目标未设定生态效益指标。</w:t>
      </w:r>
    </w:p>
    <w:p w14:paraId="0658B3D2">
      <w:pPr>
        <w:bidi w:val="0"/>
        <w:rPr>
          <w:rFonts w:hint="default" w:ascii="Times New Roman" w:hAnsi="Times New Roman" w:cs="Times New Roman"/>
          <w:lang w:val="en-US" w:eastAsia="zh-CN"/>
        </w:rPr>
      </w:pPr>
      <w:r>
        <w:rPr>
          <w:rFonts w:hint="default" w:ascii="Times New Roman" w:hAnsi="Times New Roman" w:cs="Times New Roman"/>
          <w:lang w:val="en-US" w:eastAsia="zh-CN"/>
        </w:rPr>
        <w:t>（4）可持续影响。</w:t>
      </w:r>
    </w:p>
    <w:p w14:paraId="2E1DD9E9">
      <w:pPr>
        <w:bidi w:val="0"/>
        <w:rPr>
          <w:rFonts w:hint="default" w:ascii="Times New Roman" w:hAnsi="Times New Roman" w:cs="Times New Roman"/>
          <w:lang w:val="en-US" w:eastAsia="zh-CN"/>
        </w:rPr>
      </w:pPr>
      <w:r>
        <w:rPr>
          <w:rFonts w:hint="default" w:ascii="Times New Roman" w:hAnsi="Times New Roman" w:cs="Times New Roman"/>
          <w:lang w:val="en-US" w:eastAsia="zh-CN"/>
        </w:rPr>
        <w:t>财政厅随文下达的绩效目标未设定可持续影响指标。</w:t>
      </w:r>
    </w:p>
    <w:p w14:paraId="077425B8">
      <w:pPr>
        <w:bidi w:val="0"/>
        <w:rPr>
          <w:rFonts w:hint="default" w:ascii="Times New Roman" w:hAnsi="Times New Roman" w:cs="Times New Roman"/>
          <w:b/>
          <w:bCs/>
          <w:lang w:val="en-US" w:eastAsia="zh-CN"/>
        </w:rPr>
      </w:pPr>
      <w:r>
        <w:rPr>
          <w:rFonts w:hint="default" w:ascii="Times New Roman" w:hAnsi="Times New Roman" w:cs="Times New Roman"/>
          <w:b/>
          <w:bCs/>
          <w:lang w:val="en-US" w:eastAsia="zh-CN"/>
        </w:rPr>
        <w:t>3.满意度指标完成情况分析。</w:t>
      </w:r>
    </w:p>
    <w:p w14:paraId="56837D6F">
      <w:pPr>
        <w:bidi w:val="0"/>
        <w:rPr>
          <w:rFonts w:hint="default" w:ascii="Times New Roman" w:hAnsi="Times New Roman" w:eastAsia="方正仿宋_GBK" w:cs="Times New Roman"/>
          <w:b w:val="0"/>
          <w:bCs w:val="0"/>
          <w:kern w:val="2"/>
          <w:szCs w:val="32"/>
          <w:highlight w:val="none"/>
          <w:lang w:val="en-US" w:eastAsia="zh-CN" w:bidi="ar-SA"/>
        </w:rPr>
      </w:pPr>
      <w:r>
        <w:rPr>
          <w:rFonts w:hint="default" w:ascii="Times New Roman" w:hAnsi="Times New Roman" w:cs="Times New Roman"/>
          <w:lang w:val="en-US" w:eastAsia="zh-CN"/>
        </w:rPr>
        <w:t>a.财政部随文下达接受养老服务的老年人（或家庭成员）满意度指标，指标值为≥90%，实际完成93.93%，完成率104.36%，偏差率4.36%。</w:t>
      </w:r>
    </w:p>
    <w:p w14:paraId="32D1A615">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三、偏离绩效目标的原因和下一步改进措</w:t>
      </w:r>
      <w:r>
        <w:rPr>
          <w:rFonts w:hint="default" w:ascii="Times New Roman" w:hAnsi="Times New Roman" w:cs="Times New Roman"/>
          <w:highlight w:val="none"/>
          <w:lang w:val="en-US" w:eastAsia="zh-CN"/>
        </w:rPr>
        <w:t>施</w:t>
      </w:r>
    </w:p>
    <w:p w14:paraId="255E7639">
      <w:pPr>
        <w:bidi w:val="0"/>
        <w:rPr>
          <w:rFonts w:hint="default" w:ascii="Times New Roman" w:hAnsi="Times New Roman" w:eastAsia="方正仿宋_GBK" w:cs="Times New Roman"/>
          <w:b/>
          <w:bCs/>
          <w:lang w:val="en-US" w:eastAsia="zh-CN"/>
        </w:rPr>
      </w:pPr>
      <w:r>
        <w:rPr>
          <w:rFonts w:hint="default" w:ascii="Times New Roman" w:hAnsi="Times New Roman" w:eastAsia="方正仿宋_GBK" w:cs="Times New Roman"/>
          <w:b/>
          <w:bCs/>
          <w:lang w:val="en-US" w:eastAsia="zh-CN"/>
        </w:rPr>
        <w:t>1.偏离的绩效目标</w:t>
      </w:r>
    </w:p>
    <w:p w14:paraId="273749FA">
      <w:pPr>
        <w:bidi w:val="0"/>
        <w:rPr>
          <w:rFonts w:hint="default" w:ascii="Times New Roman" w:hAnsi="Times New Roman" w:cs="Times New Roman"/>
          <w:lang w:val="en-US" w:eastAsia="zh-CN"/>
        </w:rPr>
      </w:pPr>
      <w:r>
        <w:rPr>
          <w:rFonts w:hint="default" w:ascii="Times New Roman" w:hAnsi="Times New Roman" w:cs="Times New Roman"/>
          <w:lang w:val="en-US" w:eastAsia="zh-CN"/>
        </w:rPr>
        <w:t>（1）未完成指标</w:t>
      </w:r>
    </w:p>
    <w:p w14:paraId="20161564">
      <w:pPr>
        <w:bidi w:val="0"/>
        <w:rPr>
          <w:rFonts w:hint="default" w:ascii="Times New Roman" w:hAnsi="Times New Roman" w:cs="Times New Roman"/>
          <w:lang w:val="en-US" w:eastAsia="zh-CN"/>
        </w:rPr>
      </w:pPr>
      <w:r>
        <w:rPr>
          <w:rFonts w:hint="default" w:ascii="Times New Roman" w:hAnsi="Times New Roman" w:cs="Times New Roman"/>
          <w:lang w:val="en-US" w:eastAsia="zh-CN"/>
        </w:rPr>
        <w:t>a</w:t>
      </w:r>
      <w:r>
        <w:rPr>
          <w:rFonts w:hint="default" w:ascii="Times New Roman" w:hAnsi="Times New Roman" w:cs="Times New Roman"/>
          <w:lang w:val="en" w:eastAsia="zh-CN"/>
        </w:rPr>
        <w:t>.维修改造养老服务机构数</w:t>
      </w:r>
      <w:r>
        <w:rPr>
          <w:rFonts w:hint="default" w:ascii="Times New Roman" w:hAnsi="Times New Roman" w:cs="Times New Roman"/>
          <w:lang w:val="en-US" w:eastAsia="zh-CN"/>
        </w:rPr>
        <w:t>指标，</w:t>
      </w:r>
      <w:r>
        <w:rPr>
          <w:rFonts w:hint="default" w:ascii="Times New Roman" w:hAnsi="Times New Roman" w:cs="Times New Roman"/>
          <w:highlight w:val="none"/>
          <w:lang w:val="en-US" w:eastAsia="zh-CN"/>
        </w:rPr>
        <w:t>未完成原因是乌鲁木齐市3个项目主体已完成，剩余装修、消防改造等内容正在实施。</w:t>
      </w:r>
      <w:r>
        <w:rPr>
          <w:rFonts w:hint="default" w:ascii="Times New Roman" w:hAnsi="Times New Roman" w:cs="Times New Roman"/>
          <w:lang w:val="en-US" w:eastAsia="zh-CN"/>
        </w:rPr>
        <w:t>下一步改进措施督促乌鲁木齐市加快项目实施进度，要求倒排工期，积极与财政部门对接，按时完成资金支付。</w:t>
      </w:r>
    </w:p>
    <w:p w14:paraId="74757A95">
      <w:pPr>
        <w:bidi w:val="0"/>
        <w:rPr>
          <w:rFonts w:hint="default" w:ascii="Times New Roman" w:hAnsi="Times New Roman" w:cs="Times New Roman"/>
          <w:b/>
          <w:bCs/>
          <w:lang w:val="en-US" w:eastAsia="zh-CN"/>
        </w:rPr>
      </w:pPr>
      <w:r>
        <w:rPr>
          <w:rFonts w:hint="default" w:ascii="Times New Roman" w:hAnsi="Times New Roman" w:cs="Times New Roman"/>
          <w:b/>
          <w:bCs/>
          <w:lang w:val="en-US" w:eastAsia="zh-CN"/>
        </w:rPr>
        <w:t>2.下一步改进措施</w:t>
      </w:r>
    </w:p>
    <w:p w14:paraId="6682E953">
      <w:pPr>
        <w:bidi w:val="0"/>
        <w:rPr>
          <w:rFonts w:hint="default" w:ascii="Times New Roman" w:hAnsi="Times New Roman" w:cs="Times New Roman"/>
          <w:lang w:val="en-US" w:eastAsia="zh-CN"/>
        </w:rPr>
      </w:pPr>
      <w:r>
        <w:rPr>
          <w:rFonts w:hint="default" w:ascii="Times New Roman" w:hAnsi="Times New Roman" w:cs="Times New Roman"/>
          <w:lang w:val="en-US" w:eastAsia="zh-CN"/>
        </w:rPr>
        <w:t>a.项目实施过程中存在不足</w:t>
      </w:r>
    </w:p>
    <w:p w14:paraId="4AF5ECDE">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是维修改造养老服务机构项目完成10个，剩余乌鲁木齐市3个项目主体已完成，装修、消防改造等内容正在实施；二是老年人福利类项目资金支付率略低，阿克苏地区、克拉玛依、阿勒泰地区项目结算评审后支出；和田地区、克州已向财政申请待支付；乌鲁木齐市、博州、喀什等地因财政年底扎帐未支付完毕，待开账后支付。</w:t>
      </w:r>
    </w:p>
    <w:p w14:paraId="6B8CB1D2">
      <w:pPr>
        <w:bidi w:val="0"/>
        <w:rPr>
          <w:rFonts w:hint="default" w:ascii="Times New Roman" w:hAnsi="Times New Roman" w:cs="Times New Roman"/>
          <w:lang w:val="en-US" w:eastAsia="zh-CN"/>
        </w:rPr>
      </w:pPr>
      <w:r>
        <w:rPr>
          <w:rFonts w:hint="default" w:ascii="Times New Roman" w:hAnsi="Times New Roman" w:cs="Times New Roman"/>
          <w:lang w:val="en-US" w:eastAsia="zh-CN"/>
        </w:rPr>
        <w:t>b.下一步工作实施改进措施</w:t>
      </w:r>
    </w:p>
    <w:p w14:paraId="312D6C06">
      <w:pPr>
        <w:bidi w:val="0"/>
        <w:rPr>
          <w:rFonts w:hint="default" w:ascii="Times New Roman" w:hAnsi="Times New Roman" w:eastAsia="方正仿宋_GBK" w:cs="Times New Roman"/>
          <w:color w:val="auto"/>
          <w:kern w:val="2"/>
          <w:szCs w:val="32"/>
          <w:highlight w:val="none"/>
          <w:lang w:val="en-US" w:eastAsia="zh-CN" w:bidi="ar-SA"/>
        </w:rPr>
      </w:pPr>
      <w:r>
        <w:rPr>
          <w:rFonts w:hint="default" w:ascii="Times New Roman" w:hAnsi="Times New Roman" w:cs="Times New Roman"/>
          <w:highlight w:val="none"/>
          <w:lang w:eastAsia="zh-CN"/>
        </w:rPr>
        <w:t>目前，督促各级民政部门积极对接各级财政部门按照合同约定对项目执行进度定期开展调度，对项目资金支付进展推进缓慢的县市加强督促，及时履行支付程序，确保项目建设进展顺利。</w:t>
      </w:r>
      <w:r>
        <w:rPr>
          <w:rFonts w:hint="default" w:ascii="Times New Roman" w:hAnsi="Times New Roman" w:cs="Times New Roman"/>
          <w:highlight w:val="none"/>
          <w:lang w:val="en-US" w:eastAsia="zh-CN"/>
        </w:rPr>
        <w:t>大力推进项目资金使用监督，重点排查资金使用管理工作中的薄弱环节，强化预算绩效“全方位、全过程、全覆盖”闭环管理体系建设，促进资金使用与绩效管理深度融合，确保项目资金及时发挥成效。</w:t>
      </w:r>
    </w:p>
    <w:p w14:paraId="37D57753">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四、绩效自评结果及拟应用和公开情况</w:t>
      </w:r>
    </w:p>
    <w:p w14:paraId="1D3CF35B">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按照财政部《项目支出绩效评价管理办法》（财预〔2020〕10号）规定，单位自评标准是：预算执行10分、产出指标50分、效益指标30分、服务对象满意度指标10分。经自评，2025年度中央集中彩票公益金支持社会福利事业专项资金资金绩效自评价得分为96.93分，其中：预算执行8.31分、产出指标48.62分、效益指标30分、服务对象满意度指标10分，自评结果为“优”。</w:t>
      </w:r>
    </w:p>
    <w:p w14:paraId="57D55A6D">
      <w:pPr>
        <w:bidi w:val="0"/>
        <w:rPr>
          <w:rFonts w:hint="default" w:ascii="Times New Roman" w:hAnsi="Times New Roman" w:cs="Times New Roman"/>
          <w:lang w:val="en-US" w:eastAsia="zh-CN"/>
        </w:rPr>
      </w:pPr>
      <w:r>
        <w:rPr>
          <w:rFonts w:hint="default" w:ascii="Times New Roman" w:hAnsi="Times New Roman" w:cs="Times New Roman"/>
          <w:lang w:val="en-US" w:eastAsia="zh-CN"/>
        </w:rPr>
        <w:t>2.自评价中发现资金执行进度缓慢的问题，针对该问题，</w:t>
      </w:r>
      <w:r>
        <w:rPr>
          <w:rFonts w:hint="default" w:ascii="Times New Roman" w:hAnsi="Times New Roman" w:cs="Times New Roman"/>
          <w:highlight w:val="none"/>
          <w:lang w:val="en-US" w:eastAsia="zh-CN"/>
        </w:rPr>
        <w:t>一是下发《新疆维吾尔自治区民政厅资金使用监控工作动态》，要求各地及时梳理未竣工验收、结算审计等未完成后续收尾工作项目，督促加快资金支出绩效执行进度；二是严格按照《新疆维吾尔自治区民政福利设施项目建设管理办法》、《关于推进民政福利设施建设项目实行月调度清单等五项制度的通知》等项目管理办法管理下达项目；三是对资金支付进展缓慢的项目，及时进行预警、督促督办相关地州市加强整改。</w:t>
      </w:r>
    </w:p>
    <w:p w14:paraId="3768BE5F">
      <w:pPr>
        <w:bidi w:val="0"/>
        <w:rPr>
          <w:rFonts w:hint="default" w:ascii="Times New Roman" w:hAnsi="Times New Roman" w:cs="Times New Roman"/>
          <w:lang w:val="en-US" w:eastAsia="zh-CN"/>
        </w:rPr>
      </w:pPr>
      <w:r>
        <w:rPr>
          <w:rFonts w:hint="default" w:ascii="Times New Roman" w:hAnsi="Times New Roman" w:cs="Times New Roman"/>
          <w:lang w:val="en-US" w:eastAsia="zh-CN"/>
        </w:rPr>
        <w:t>3.评价结果将在自治区民政厅、自治区财政厅门户网站进行公示公开，广泛接受社会监督。</w:t>
      </w:r>
    </w:p>
    <w:p w14:paraId="4E0370E3">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五、其他需要说明的问题</w:t>
      </w:r>
    </w:p>
    <w:p w14:paraId="2452B0A5">
      <w:pPr>
        <w:bidi w:val="0"/>
        <w:rPr>
          <w:rFonts w:hint="default" w:ascii="Times New Roman" w:hAnsi="Times New Roman" w:eastAsia="方正仿宋_GBK" w:cs="Times New Roman"/>
          <w:b w:val="0"/>
          <w:bCs w:val="0"/>
          <w:kern w:val="2"/>
          <w:szCs w:val="32"/>
          <w:highlight w:val="none"/>
          <w:lang w:val="en-US" w:eastAsia="zh-CN" w:bidi="ar-SA"/>
        </w:rPr>
      </w:pPr>
      <w:r>
        <w:rPr>
          <w:rFonts w:hint="default" w:ascii="Times New Roman" w:hAnsi="Times New Roman" w:cs="Times New Roman"/>
          <w:lang w:val="en-US" w:eastAsia="zh-CN"/>
        </w:rPr>
        <w:t>中央巡视、各级审计和财政监督中未发现问题。</w:t>
      </w:r>
    </w:p>
    <w:p w14:paraId="2326F532">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六、附件</w:t>
      </w:r>
    </w:p>
    <w:p w14:paraId="07321DE9">
      <w:pPr>
        <w:bidi w:val="0"/>
        <w:rPr>
          <w:rFonts w:hint="default" w:ascii="Times New Roman" w:hAnsi="Times New Roman" w:eastAsia="方正仿宋_GBK" w:cs="Times New Roman"/>
          <w:b w:val="0"/>
          <w:bCs w:val="0"/>
          <w:kern w:val="2"/>
          <w:szCs w:val="32"/>
          <w:highlight w:val="none"/>
          <w:lang w:val="en-US" w:eastAsia="zh-CN" w:bidi="ar-SA"/>
        </w:rPr>
        <w:sectPr>
          <w:pgSz w:w="11906" w:h="16838"/>
          <w:pgMar w:top="2098" w:right="1531" w:bottom="1984" w:left="1531" w:header="851" w:footer="992" w:gutter="0"/>
          <w:pgNumType w:fmt="decimal"/>
          <w:cols w:space="425" w:num="1"/>
          <w:docGrid w:type="lines" w:linePitch="312" w:charSpace="0"/>
        </w:sectPr>
      </w:pPr>
      <w:r>
        <w:rPr>
          <w:rFonts w:hint="default" w:ascii="Times New Roman" w:hAnsi="Times New Roman" w:cs="Times New Roman"/>
          <w:lang w:val="en-US" w:eastAsia="zh-CN"/>
        </w:rPr>
        <w:t>转移支付区域（项目）绩效自评表</w:t>
      </w:r>
    </w:p>
    <w:p w14:paraId="0EE71913">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cs="Times New Roman" w:eastAsiaTheme="minorEastAsia"/>
          <w:b/>
          <w:bCs/>
          <w:kern w:val="0"/>
          <w:sz w:val="30"/>
          <w:szCs w:val="30"/>
          <w:highlight w:val="none"/>
          <w:lang w:val="en-US"/>
        </w:rPr>
      </w:pPr>
      <w:r>
        <w:rPr>
          <w:rFonts w:hint="default" w:ascii="Times New Roman" w:hAnsi="Times New Roman" w:cs="Times New Roman" w:eastAsiaTheme="minorEastAsia"/>
          <w:b/>
          <w:bCs/>
          <w:kern w:val="0"/>
          <w:sz w:val="30"/>
          <w:szCs w:val="30"/>
          <w:highlight w:val="none"/>
          <w:lang w:val="en-US"/>
        </w:rPr>
        <w:t>中央对地方转移支付区域（项目）绩效自评表</w:t>
      </w:r>
    </w:p>
    <w:tbl>
      <w:tblPr>
        <w:tblStyle w:val="12"/>
        <w:tblW w:w="9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842"/>
        <w:gridCol w:w="1016"/>
        <w:gridCol w:w="1901"/>
        <w:gridCol w:w="1366"/>
        <w:gridCol w:w="1434"/>
        <w:gridCol w:w="1204"/>
        <w:gridCol w:w="1360"/>
      </w:tblGrid>
      <w:tr w14:paraId="5FE2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80" w:type="dxa"/>
            <w:gridSpan w:val="8"/>
            <w:tcBorders>
              <w:top w:val="nil"/>
              <w:left w:val="nil"/>
              <w:bottom w:val="nil"/>
              <w:right w:val="nil"/>
            </w:tcBorders>
            <w:shd w:val="clear" w:color="auto" w:fill="auto"/>
            <w:vAlign w:val="center"/>
          </w:tcPr>
          <w:p w14:paraId="18BB66F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（2025年度）</w:t>
            </w:r>
          </w:p>
        </w:tc>
      </w:tr>
      <w:tr w14:paraId="054F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98A3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转移支付(项目)名称</w:t>
            </w:r>
          </w:p>
        </w:tc>
        <w:tc>
          <w:tcPr>
            <w:tcW w:w="72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1B5F0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w:t>
            </w:r>
            <w:bookmarkStart w:id="0" w:name="_GoBack"/>
            <w:bookmarkEnd w:id="0"/>
            <w:r>
              <w:rPr>
                <w:rFonts w:hint="default" w:ascii="Times New Roman" w:hAnsi="Times New Roman" w:eastAsia="宋体" w:cs="Times New Roman"/>
                <w:i w:val="0"/>
                <w:color w:val="000000"/>
                <w:sz w:val="18"/>
                <w:szCs w:val="18"/>
                <w:highlight w:val="none"/>
                <w:u w:val="none"/>
                <w:lang w:val="en-US" w:eastAsia="zh-CN"/>
              </w:rPr>
              <w:t>中彩票公益金支持社会福利事业资金（第一批）</w:t>
            </w:r>
          </w:p>
        </w:tc>
      </w:tr>
      <w:tr w14:paraId="44F1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317D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中央主管部门</w:t>
            </w:r>
          </w:p>
        </w:tc>
        <w:tc>
          <w:tcPr>
            <w:tcW w:w="72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E7B0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民政部</w:t>
            </w:r>
          </w:p>
        </w:tc>
      </w:tr>
      <w:tr w14:paraId="6E2C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6" w:hRule="atLeast"/>
          <w:jc w:val="center"/>
        </w:trPr>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0550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地方主管部门</w:t>
            </w: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3EFB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自治区民政厅</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23BF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资金使用单位</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97A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各地民政部门</w:t>
            </w:r>
          </w:p>
        </w:tc>
      </w:tr>
      <w:tr w14:paraId="7CB1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0E5F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资金投入情况</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(万元)</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9E3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F02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全年预算数(A)</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39BFD">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全年执行数(B)</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8E4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预算执行率</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(B/A×100%)</w:t>
            </w:r>
          </w:p>
        </w:tc>
      </w:tr>
      <w:tr w14:paraId="1216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8BD8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262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年度资金总额：</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DE8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11558</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F10D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9603.53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E10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83.09%</w:t>
            </w:r>
          </w:p>
        </w:tc>
      </w:tr>
      <w:tr w14:paraId="6564D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8528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AAE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其中：中央财政资金</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BB9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11558</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4139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9603.53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F0A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83.09%</w:t>
            </w:r>
          </w:p>
        </w:tc>
      </w:tr>
      <w:tr w14:paraId="35C9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3"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C87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6A0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地方财政资金</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6D8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0</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0191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64C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0%</w:t>
            </w:r>
          </w:p>
        </w:tc>
      </w:tr>
      <w:tr w14:paraId="452F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4FB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220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其他资金</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75E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0</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674A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191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0%</w:t>
            </w:r>
          </w:p>
        </w:tc>
      </w:tr>
      <w:tr w14:paraId="72DA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E389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资金管理情况</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EC95A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40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9EF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情况说明</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B8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存在问题和改进措施</w:t>
            </w:r>
          </w:p>
        </w:tc>
      </w:tr>
      <w:tr w14:paraId="2BAF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6485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32D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分配科学性</w:t>
            </w:r>
          </w:p>
        </w:tc>
        <w:tc>
          <w:tcPr>
            <w:tcW w:w="40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E8FA6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根据财政部、民政部《关于提前下达2025年中央集中彩票公益金支持社会福利事业资金预算的通知》（财社〔2024〕135号），财政部、民政部《关于下达2025年中央集中彩票公益金支持社会福利事业资金预算（第一批）的通知》（财社〔2025〕51号）主要安排用于支持老年人福利类、残疾人福利类、儿童福利类、社会公益类等四个方面。坚持与民政事业发展规划相衔接，坚持与经济社会发展水平相适应，按照政策支持方向、支持标准，开展项目储备工作，要求各地民政部门按照程序申报项目，自治区民政厅规财处会同相关业务处室共同对申报项目严格审核把关，评估通过的项目纳入储备项目库，经厅党组研究审议通过后，将储备项目库报自治区财政厅审核。依据财政审核评估及修改意见建议，及时修改完善储备项目库。项目分配遴选坚持与资金使用、绩效管理挂钩机制，结合各地需求，优先考虑亟需建设，项目前期用地选址已落实、具备开工条件的项目。按照中央集中彩票公益金使用支持方向，会同相关业务处室对建议清单进行再核实、再评估，按照轻重缓急，形成资金分配建议清单。资金分配方案由民政厅规财处会同相关业务处室共同提出，经过民政厅党组会研究审议通过后，报财政厅按照程序审核审批后，自治区财政厅和民政厅联合发文下达项目资金，明确项目实施单位，项目资金直接分配至各县市区。</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EFE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无</w:t>
            </w:r>
          </w:p>
        </w:tc>
      </w:tr>
      <w:tr w14:paraId="32FE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9"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9C32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B6C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下达及时性</w:t>
            </w:r>
          </w:p>
        </w:tc>
        <w:tc>
          <w:tcPr>
            <w:tcW w:w="40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C62C2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严格按照预算法及《彩票公益金管理办法》（财综〔2021〕18号）《民政部办公厅关于印发&lt;民政部彩票公益金使用管理办法&gt;的通知》（民办发〔2024〕9号）等文件规定的时限要求分解下达，按照老年人福利、儿童福利、残疾人福利和社会公益等四方面内容，及时按照项目申报程序组织各地申报项目，经相关处室评估后提出项目分配建议清单，及时报请厅党组集体研究后报财政厅审核研究同意后，自治区民政厅、财政厅会签联合将拨款文件和项目预算绩效目标在规定30日内分解下达各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44E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无</w:t>
            </w:r>
          </w:p>
        </w:tc>
      </w:tr>
      <w:tr w14:paraId="5986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3"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08E1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6C4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拨付合规性</w:t>
            </w:r>
          </w:p>
        </w:tc>
        <w:tc>
          <w:tcPr>
            <w:tcW w:w="40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518A3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根据财政部、民政部《关于提前下达2025年中央集中彩票公益金支持社会福利事业资金预算的通知》（财社〔2024〕135号），财政部、民政部《关于下达2025年中央集中彩票公益金支持社会福利事业资金预算（第一批）的通知》（财社〔2025〕51号）等文件要求，未出现将资金从国库转入财政专户或支付到预算单位实有资金账户等问题，资金拨付合规。</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A96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无</w:t>
            </w:r>
          </w:p>
        </w:tc>
      </w:tr>
      <w:tr w14:paraId="4953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9"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72A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701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使用规范性</w:t>
            </w:r>
          </w:p>
        </w:tc>
        <w:tc>
          <w:tcPr>
            <w:tcW w:w="40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9483B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导各地专款专用，加快预算执行进度，切实提高资金使用效益。建立了资金使用管理制度，严格做到彩票公益资金专款专用，严禁挤占挪用，确保资金高效、安全使用。对套取、截留、挤占、挪用的，按有关规定严肃查处，确保项目在管理可控范围内顺利实施。总体来看，本项目资金的整体管理水平较好，做到了专款专用、及时拨付、规范支付，保障新疆维吾尔自治区中央集中彩票公益金专项转移支付项目资金支付需求，确保新疆维吾尔自治区中央集中彩票公益金转移支付项目顺利实施。</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D12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无</w:t>
            </w:r>
          </w:p>
        </w:tc>
      </w:tr>
      <w:tr w14:paraId="2455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E26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6EA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执行准确性</w:t>
            </w:r>
          </w:p>
        </w:tc>
        <w:tc>
          <w:tcPr>
            <w:tcW w:w="40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AF1C2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按照《彩票公益金管理办法》（财综〔2021〕18号）《民政部彩票公益金使用管理办法》（民办发〔2019〕34号）《民政部办公厅关于进一步加强彩票公益金使用管理的通知》（民办函〔2019〕79号）《自治区民政厅预算绩效一体化推进工作方案》《自治区民政厅工程建设项目变更管理办法》《自治区民政厅工程建设项目基本建设程序规范管理指引清单》等制度，指导各地按照时间表、线路图，严格落实调度制度，加快项目推进，强化日常监管，定期分析监测，从源头上把好项目建设、资金支付管理关口，确保了项目建设有人抓、有人管，确保了资金使用依法依规、专款专用。</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77B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无</w:t>
            </w:r>
          </w:p>
        </w:tc>
      </w:tr>
      <w:tr w14:paraId="5531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56"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21C6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B11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预算绩效管理情况</w:t>
            </w:r>
          </w:p>
        </w:tc>
        <w:tc>
          <w:tcPr>
            <w:tcW w:w="40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80FBFD">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按照《中共中央国务院关于全面实施预算绩效管理的意见》、《关于加强和规范自治区本级项目支出“全过程”预算绩效管理结果应用的通知》（新财预〔2022〕57号）等相关文件要求，一是认真履行预算绩效管理责任，形成书记厅长抓“难点”、副厅长分片包干、业务处室常态监管的局面，预算绩效管理覆盖率达100%，提升了工作管理水平；二是印发《预算绩效执行责任落实方案》，明确职责任务，规范绩效运行监控、评价结果应用等各环节流程。结合《党政机关厉行节约反对浪费条例》，出台《经费支出管理办法》《政府采购公平竞争审查暂行办法》等制度文件，形成了较为完备的内部控制体系；三是组织开展了民政预算绩效及项目管理培训，为提升绩效管理水平夯实了基础；四是联合自治区财政厅、发展改革委印发《项目建设任务及资金支出进度的通知》，指导各地各单位对照时间表、线路图加快项目推进，认真落实月调度制度，加大绩效监控，强化资金使用绩效总体评价。自治区民政厅严格执行有关财经制度，进一步加强预算绩效管理，在预算执行中做好绩效监控，预算执行完做好绩效评价，切实提高财政资金使用效益，确保资金安全规范使用，确保年度绩效目标如期实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F15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无</w:t>
            </w:r>
          </w:p>
        </w:tc>
      </w:tr>
      <w:tr w14:paraId="6104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jc w:val="center"/>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3E8A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4AA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支出责任履行情况</w:t>
            </w:r>
          </w:p>
        </w:tc>
        <w:tc>
          <w:tcPr>
            <w:tcW w:w="400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0A80D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按照财政事权和支出责任划分有关规定，自治区民政厅要求相关地（州、市）民政厅严格落实专项资金“事前审批、事中监管、事后评价”的管理工作要求，认真履行本级支出责任确保专项资金足额落实到位、专款专用，充分发挥专项资金使用效益。</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A11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无</w:t>
            </w:r>
          </w:p>
        </w:tc>
      </w:tr>
      <w:tr w14:paraId="0252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BC369A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总体</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目 标</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完成</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情况</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81D0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总体目标</w:t>
            </w:r>
          </w:p>
        </w:tc>
        <w:tc>
          <w:tcPr>
            <w:tcW w:w="3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0C2C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全年实际完成情况</w:t>
            </w:r>
          </w:p>
        </w:tc>
      </w:tr>
      <w:tr w14:paraId="1021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4"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9FBD9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405362">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是支持以服务生活困难和失能失智老年人为主的养老机构（含特困人员供养服务设施）、街道（乡镇）和社区养老服务设施维修改造和设备配置；支持开展老年人能力评估；二是支持精神卫生社会福利机构、民政直属康复辅助器具机构设施设备配置；三是支持儿童福利服务机构设施设备配置；四是支持殡葬设施设备配置。</w:t>
            </w:r>
          </w:p>
        </w:tc>
        <w:tc>
          <w:tcPr>
            <w:tcW w:w="399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C0C6A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截至2025年底，一是通过支持维修改造养老服务机构项目13个（其中：维修改造养老服务机构项目完成10个、正在改造3个）、完成6个维修改造社区日间照料中心项目，有效保障养老机构服务能力及水平；二是通过支持伊犁州康仁医院设施设备配置改造完善，及支持喀什、和田、吐鲁番等地服务对象康复辅助器具配置服务工作，共计完成配置康复辅助器具1231件，逐步保障对象的健康和安全；三是完成4个儿童福利机构、未成年人救助保护机构设施设备配置，有效提高机构服务能力；四是通过完成2家殡仪馆内的殡葬设施设备配置，高效提升殡葬服务能力及水平。</w:t>
            </w:r>
          </w:p>
        </w:tc>
      </w:tr>
      <w:tr w14:paraId="1608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6"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CB39A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绩效指标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B9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一级</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E0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二级指标</w:t>
            </w: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83C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三级指标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5E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指标值</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40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全年实际完成值</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34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未完成原因和改进措施</w:t>
            </w:r>
          </w:p>
        </w:tc>
      </w:tr>
      <w:tr w14:paraId="1745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1"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879F5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615B1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产出指标</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96B0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数量指标</w:t>
            </w: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97D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维修改造养老服务机构数</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B0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≥13个</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33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10个</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19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未完成原因：乌鲁木齐市3个项目主体已完成，剩余装修、消防改造等内容正在实施。</w:t>
            </w:r>
            <w:r>
              <w:rPr>
                <w:rFonts w:hint="default" w:ascii="Times New Roman" w:hAnsi="Times New Roman" w:eastAsia="宋体" w:cs="Times New Roman"/>
                <w:i w:val="0"/>
                <w:color w:val="000000"/>
                <w:sz w:val="18"/>
                <w:szCs w:val="18"/>
                <w:highlight w:val="none"/>
                <w:u w:val="none"/>
                <w:lang w:val="en-US" w:eastAsia="zh-CN"/>
              </w:rPr>
              <w:br w:type="textWrapping"/>
            </w:r>
            <w:r>
              <w:rPr>
                <w:rFonts w:hint="default" w:ascii="Times New Roman" w:hAnsi="Times New Roman" w:eastAsia="宋体" w:cs="Times New Roman"/>
                <w:i w:val="0"/>
                <w:color w:val="000000"/>
                <w:sz w:val="18"/>
                <w:szCs w:val="18"/>
                <w:highlight w:val="none"/>
                <w:u w:val="none"/>
                <w:lang w:val="en-US" w:eastAsia="zh-CN"/>
              </w:rPr>
              <w:t>改进措施：督促乌鲁木齐市加快项目实施进度，要求倒排工期，积极与财政部门对接，按时完成资金支付。</w:t>
            </w:r>
          </w:p>
        </w:tc>
      </w:tr>
      <w:tr w14:paraId="1FB2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FDEBB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E58D58">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D200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3D40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养老服务机构护理型床位新增数</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1F0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≥385张</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44F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400张</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C02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r>
      <w:tr w14:paraId="3ED1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77B77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393393">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A4F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6BC5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老年人能力评估人次数</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B1F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≥3000人次</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C06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3000人次</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68E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r>
      <w:tr w14:paraId="1EBD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4"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975347">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5D51FC">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F290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DE15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精神卫生社会福利机构和民政直属康复辅助器具机构新配置设施设备数量</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EAD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≥1台（套）</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7C9A">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1台（套）</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B24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r>
      <w:tr w14:paraId="20ED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FC618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440837">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2E5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0478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儿童福利服务机构新配置设施设备数</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F9D5">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≥4台（套）</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0CD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4台（套）</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96F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r>
      <w:tr w14:paraId="6542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72F98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4C0F3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AB54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BBCC4">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殡葬设施设备配置数量</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B1D6">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≥2台（套）</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1D59">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2台（套）</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AE6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r>
      <w:tr w14:paraId="1791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882F83">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74D8B2">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908A">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质量指标</w:t>
            </w: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C2A6E">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配置的设施设备验收合格率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160B">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E70C">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DB20">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r>
      <w:tr w14:paraId="6B3D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AC6AA1">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C2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效益指标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6F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社会效益指标</w:t>
            </w: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89F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中央集中彩票公益金支持社会福利事业资金支持社会福利事业发展成效</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65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成效显著</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E6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100%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7A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r>
      <w:tr w14:paraId="0CE8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0B62EF">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A7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满意度指标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5E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服务对象满意度指标</w:t>
            </w: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0E5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接受养老服务的老年人（或家庭成员）满意度</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12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41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93.93%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E1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p>
        </w:tc>
      </w:tr>
      <w:tr w14:paraId="0F115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32D8">
            <w:pPr>
              <w:keepNext w:val="0"/>
              <w:keepLines w:val="0"/>
              <w:widowControl/>
              <w:suppressLineNumbers w:val="0"/>
              <w:spacing w:line="240" w:lineRule="auto"/>
              <w:ind w:left="0" w:leftChars="0" w:firstLine="0" w:firstLineChars="0"/>
              <w:jc w:val="left"/>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说明</w:t>
            </w:r>
          </w:p>
        </w:tc>
        <w:tc>
          <w:tcPr>
            <w:tcW w:w="91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5AABEB">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default" w:ascii="Times New Roman" w:hAnsi="Times New Roman" w:eastAsia="宋体" w:cs="Times New Roman"/>
                <w:i w:val="0"/>
                <w:color w:val="000000"/>
                <w:sz w:val="18"/>
                <w:szCs w:val="18"/>
                <w:highlight w:val="none"/>
                <w:u w:val="none"/>
                <w:lang w:val="en-US" w:eastAsia="zh-CN"/>
              </w:rPr>
              <w:t>无</w:t>
            </w:r>
          </w:p>
        </w:tc>
      </w:tr>
    </w:tbl>
    <w:p w14:paraId="25B0D0E6">
      <w:pPr>
        <w:spacing w:line="240" w:lineRule="auto"/>
        <w:ind w:left="0" w:leftChars="0" w:firstLine="0" w:firstLineChars="0"/>
        <w:rPr>
          <w:rFonts w:hint="default" w:ascii="Times New Roman" w:hAnsi="Times New Roman" w:cs="Times New Roman"/>
        </w:rPr>
      </w:pPr>
    </w:p>
    <w:sectPr>
      <w:pgSz w:w="11906" w:h="16838"/>
      <w:pgMar w:top="2098" w:right="1531" w:bottom="1984"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imSun-ExtB">
    <w:altName w:val="Unifont"/>
    <w:panose1 w:val="02010609060101010101"/>
    <w:charset w:val="86"/>
    <w:family w:val="auto"/>
    <w:pitch w:val="default"/>
    <w:sig w:usb0="00000000" w:usb1="00000000" w:usb2="00000000" w:usb3="00000000" w:csb0="00040001" w:csb1="00000000"/>
  </w:font>
  <w:font w:name="Unifont">
    <w:panose1 w:val="02000604000000000000"/>
    <w:charset w:val="86"/>
    <w:family w:val="auto"/>
    <w:pitch w:val="default"/>
    <w:sig w:usb0="FFFFFFFF" w:usb1="EBFFFFFF" w:usb2="E817FFFF" w:usb3="007F001F" w:csb0="603F01FF" w:csb1="FFFF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584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5CD936">
                          <w:pPr>
                            <w:pStyle w:val="9"/>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05CD936">
                    <w:pPr>
                      <w:pStyle w:val="9"/>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03F84"/>
    <w:rsid w:val="03EB6FCF"/>
    <w:rsid w:val="0633511F"/>
    <w:rsid w:val="080812F8"/>
    <w:rsid w:val="09F50F01"/>
    <w:rsid w:val="0A247306"/>
    <w:rsid w:val="0ACA0AE6"/>
    <w:rsid w:val="0B83393C"/>
    <w:rsid w:val="0DCB0F52"/>
    <w:rsid w:val="0FD541B5"/>
    <w:rsid w:val="1003461C"/>
    <w:rsid w:val="114E74C6"/>
    <w:rsid w:val="13DB47B7"/>
    <w:rsid w:val="14277B52"/>
    <w:rsid w:val="16604D44"/>
    <w:rsid w:val="167DE0F3"/>
    <w:rsid w:val="19377C8F"/>
    <w:rsid w:val="1EFEA73E"/>
    <w:rsid w:val="1F72F480"/>
    <w:rsid w:val="1F779EF6"/>
    <w:rsid w:val="1FDFFBBA"/>
    <w:rsid w:val="21F5A3AC"/>
    <w:rsid w:val="23FCEDEC"/>
    <w:rsid w:val="256C3A33"/>
    <w:rsid w:val="25E1C5D1"/>
    <w:rsid w:val="26CD578F"/>
    <w:rsid w:val="2799071E"/>
    <w:rsid w:val="289E260F"/>
    <w:rsid w:val="2BBF994B"/>
    <w:rsid w:val="2C512E2E"/>
    <w:rsid w:val="2CE03F84"/>
    <w:rsid w:val="2DBCE226"/>
    <w:rsid w:val="2DEDE9DF"/>
    <w:rsid w:val="2EF94286"/>
    <w:rsid w:val="2F9F162D"/>
    <w:rsid w:val="31ECD0B6"/>
    <w:rsid w:val="31EE0245"/>
    <w:rsid w:val="339BC314"/>
    <w:rsid w:val="33B45D0C"/>
    <w:rsid w:val="33BE92D4"/>
    <w:rsid w:val="3445098B"/>
    <w:rsid w:val="35FFE42C"/>
    <w:rsid w:val="365FD4CB"/>
    <w:rsid w:val="36BEBB85"/>
    <w:rsid w:val="38D452E7"/>
    <w:rsid w:val="3A7AF1B4"/>
    <w:rsid w:val="3B6CFDF1"/>
    <w:rsid w:val="3B7ACF01"/>
    <w:rsid w:val="3BFE296F"/>
    <w:rsid w:val="3BFFDA64"/>
    <w:rsid w:val="3C3C365D"/>
    <w:rsid w:val="3DEE3363"/>
    <w:rsid w:val="3E37F3C4"/>
    <w:rsid w:val="3FD682A3"/>
    <w:rsid w:val="3FFECF66"/>
    <w:rsid w:val="41ED3EF9"/>
    <w:rsid w:val="433724B6"/>
    <w:rsid w:val="43E316AF"/>
    <w:rsid w:val="442A5B77"/>
    <w:rsid w:val="44693B25"/>
    <w:rsid w:val="49474952"/>
    <w:rsid w:val="49CC34A4"/>
    <w:rsid w:val="4C6267F5"/>
    <w:rsid w:val="4CFDDF11"/>
    <w:rsid w:val="4D993AD4"/>
    <w:rsid w:val="4E8E370A"/>
    <w:rsid w:val="4FEABE01"/>
    <w:rsid w:val="4FFB6349"/>
    <w:rsid w:val="50852AB2"/>
    <w:rsid w:val="50C51EA4"/>
    <w:rsid w:val="515F1F97"/>
    <w:rsid w:val="519B1507"/>
    <w:rsid w:val="536F2EC3"/>
    <w:rsid w:val="53FC29DA"/>
    <w:rsid w:val="56581800"/>
    <w:rsid w:val="56FF5A02"/>
    <w:rsid w:val="576D57AF"/>
    <w:rsid w:val="57767D52"/>
    <w:rsid w:val="577F278A"/>
    <w:rsid w:val="595C9BE5"/>
    <w:rsid w:val="59698E33"/>
    <w:rsid w:val="59D730F3"/>
    <w:rsid w:val="59FF04DB"/>
    <w:rsid w:val="5AF7F4BF"/>
    <w:rsid w:val="5BE4EEAD"/>
    <w:rsid w:val="5CBF559E"/>
    <w:rsid w:val="5CEFCD4A"/>
    <w:rsid w:val="5CFE0465"/>
    <w:rsid w:val="5DBF0BA4"/>
    <w:rsid w:val="5DE661CA"/>
    <w:rsid w:val="5DFC75A6"/>
    <w:rsid w:val="5EAD0F1B"/>
    <w:rsid w:val="5F3F6BCC"/>
    <w:rsid w:val="5FEC1704"/>
    <w:rsid w:val="5FF7E705"/>
    <w:rsid w:val="6197848A"/>
    <w:rsid w:val="61B9E05A"/>
    <w:rsid w:val="61D22010"/>
    <w:rsid w:val="63F0603D"/>
    <w:rsid w:val="6490515A"/>
    <w:rsid w:val="66422878"/>
    <w:rsid w:val="664F1741"/>
    <w:rsid w:val="66DF97FF"/>
    <w:rsid w:val="66FBBC10"/>
    <w:rsid w:val="67FFF16D"/>
    <w:rsid w:val="68354966"/>
    <w:rsid w:val="689A7112"/>
    <w:rsid w:val="6942417B"/>
    <w:rsid w:val="69E7BFEC"/>
    <w:rsid w:val="6AF5C424"/>
    <w:rsid w:val="6BFF754F"/>
    <w:rsid w:val="6CE626D3"/>
    <w:rsid w:val="6DD52417"/>
    <w:rsid w:val="6EBCAA43"/>
    <w:rsid w:val="6EEEB67B"/>
    <w:rsid w:val="6EF1B1BC"/>
    <w:rsid w:val="6EF46143"/>
    <w:rsid w:val="6F395458"/>
    <w:rsid w:val="6F547881"/>
    <w:rsid w:val="6F7EE323"/>
    <w:rsid w:val="6FACA883"/>
    <w:rsid w:val="710B095A"/>
    <w:rsid w:val="723914F7"/>
    <w:rsid w:val="72AE89C8"/>
    <w:rsid w:val="73E7745D"/>
    <w:rsid w:val="750B0E95"/>
    <w:rsid w:val="75FB5143"/>
    <w:rsid w:val="76283B67"/>
    <w:rsid w:val="763F9B57"/>
    <w:rsid w:val="765EF581"/>
    <w:rsid w:val="76BDD7C7"/>
    <w:rsid w:val="773E16C4"/>
    <w:rsid w:val="777F6493"/>
    <w:rsid w:val="779FE99B"/>
    <w:rsid w:val="77CFA6D4"/>
    <w:rsid w:val="77D7083C"/>
    <w:rsid w:val="77DD3B4C"/>
    <w:rsid w:val="78FAC0E0"/>
    <w:rsid w:val="793D45FF"/>
    <w:rsid w:val="79EE7F66"/>
    <w:rsid w:val="7A19B36D"/>
    <w:rsid w:val="7A33D1A7"/>
    <w:rsid w:val="7ADE298F"/>
    <w:rsid w:val="7AF3AB75"/>
    <w:rsid w:val="7BBD4EB6"/>
    <w:rsid w:val="7BEF9350"/>
    <w:rsid w:val="7BF5D39C"/>
    <w:rsid w:val="7BFF6B59"/>
    <w:rsid w:val="7C68679F"/>
    <w:rsid w:val="7C7BFB8E"/>
    <w:rsid w:val="7CB53D70"/>
    <w:rsid w:val="7D8F1511"/>
    <w:rsid w:val="7DBF4C08"/>
    <w:rsid w:val="7DCBDA11"/>
    <w:rsid w:val="7DCFAED3"/>
    <w:rsid w:val="7E265025"/>
    <w:rsid w:val="7EE64E79"/>
    <w:rsid w:val="7EFBD112"/>
    <w:rsid w:val="7F1781F0"/>
    <w:rsid w:val="7F37C726"/>
    <w:rsid w:val="7F4272A5"/>
    <w:rsid w:val="7F567244"/>
    <w:rsid w:val="7F7F35B8"/>
    <w:rsid w:val="7FDBF45F"/>
    <w:rsid w:val="7FE73339"/>
    <w:rsid w:val="7FF444F7"/>
    <w:rsid w:val="7FF66756"/>
    <w:rsid w:val="7FF66950"/>
    <w:rsid w:val="7FFA184C"/>
    <w:rsid w:val="7FFCD927"/>
    <w:rsid w:val="7FFD8C3E"/>
    <w:rsid w:val="7FFEA530"/>
    <w:rsid w:val="7FFEF458"/>
    <w:rsid w:val="7FFF6B7D"/>
    <w:rsid w:val="7FFFA725"/>
    <w:rsid w:val="7FFFDAD0"/>
    <w:rsid w:val="858D58BC"/>
    <w:rsid w:val="893D8055"/>
    <w:rsid w:val="8F7DB36F"/>
    <w:rsid w:val="8FC82329"/>
    <w:rsid w:val="9BEB9639"/>
    <w:rsid w:val="9F7F6CA3"/>
    <w:rsid w:val="AB3B73F8"/>
    <w:rsid w:val="ABFD515E"/>
    <w:rsid w:val="ACDF31B6"/>
    <w:rsid w:val="AEFA30A0"/>
    <w:rsid w:val="AFD66A5D"/>
    <w:rsid w:val="B5EA7065"/>
    <w:rsid w:val="B5FDD5F1"/>
    <w:rsid w:val="B75B9C4E"/>
    <w:rsid w:val="B7DBBED4"/>
    <w:rsid w:val="B8BCF045"/>
    <w:rsid w:val="B97E8C80"/>
    <w:rsid w:val="B9FC92C6"/>
    <w:rsid w:val="BAB1E408"/>
    <w:rsid w:val="BBFD387D"/>
    <w:rsid w:val="BBFF41B3"/>
    <w:rsid w:val="BD7BA47B"/>
    <w:rsid w:val="BE7F9E21"/>
    <w:rsid w:val="BED6501D"/>
    <w:rsid w:val="BEEF3E12"/>
    <w:rsid w:val="BEFDE7FF"/>
    <w:rsid w:val="BF1F1D89"/>
    <w:rsid w:val="BF26894F"/>
    <w:rsid w:val="BF9F059F"/>
    <w:rsid w:val="BFBF79CB"/>
    <w:rsid w:val="BFEF1B7C"/>
    <w:rsid w:val="C32A48E5"/>
    <w:rsid w:val="C3F65B62"/>
    <w:rsid w:val="C3FD0030"/>
    <w:rsid w:val="C5F66A9C"/>
    <w:rsid w:val="D56DB276"/>
    <w:rsid w:val="D5FC472B"/>
    <w:rsid w:val="D93F38D0"/>
    <w:rsid w:val="DB7A9F16"/>
    <w:rsid w:val="DBAF0019"/>
    <w:rsid w:val="DBBE8BDD"/>
    <w:rsid w:val="DBEBFBC8"/>
    <w:rsid w:val="DF3D9523"/>
    <w:rsid w:val="DFAC7A16"/>
    <w:rsid w:val="DFAECCB2"/>
    <w:rsid w:val="DFB338BC"/>
    <w:rsid w:val="DFF7F460"/>
    <w:rsid w:val="DFFBACA1"/>
    <w:rsid w:val="DFFBD6A2"/>
    <w:rsid w:val="E194C64D"/>
    <w:rsid w:val="E33FA9ED"/>
    <w:rsid w:val="E3BEF414"/>
    <w:rsid w:val="E70BC465"/>
    <w:rsid w:val="E7BF3510"/>
    <w:rsid w:val="E7DF4782"/>
    <w:rsid w:val="EB3FED9E"/>
    <w:rsid w:val="EBEFEEE4"/>
    <w:rsid w:val="EBF5EFC7"/>
    <w:rsid w:val="ECDF31FF"/>
    <w:rsid w:val="ECE3970C"/>
    <w:rsid w:val="ED317536"/>
    <w:rsid w:val="ED9F15A8"/>
    <w:rsid w:val="EDDF1AA4"/>
    <w:rsid w:val="EE7C65E3"/>
    <w:rsid w:val="EECB9D52"/>
    <w:rsid w:val="EF54D34F"/>
    <w:rsid w:val="EF7F5ADE"/>
    <w:rsid w:val="EF9F0CA4"/>
    <w:rsid w:val="EFB18024"/>
    <w:rsid w:val="EFEB5FF3"/>
    <w:rsid w:val="EFED26E2"/>
    <w:rsid w:val="EFF928CE"/>
    <w:rsid w:val="EFFFDCEE"/>
    <w:rsid w:val="F1F986B6"/>
    <w:rsid w:val="F3B5F12E"/>
    <w:rsid w:val="F5C79424"/>
    <w:rsid w:val="F5FB30A3"/>
    <w:rsid w:val="F61B7945"/>
    <w:rsid w:val="F6E77D24"/>
    <w:rsid w:val="F6FF9D9A"/>
    <w:rsid w:val="F72FEDFC"/>
    <w:rsid w:val="F77520F1"/>
    <w:rsid w:val="F777BC9E"/>
    <w:rsid w:val="F79CAA12"/>
    <w:rsid w:val="F7D7B651"/>
    <w:rsid w:val="F7DE39BF"/>
    <w:rsid w:val="F7E796E8"/>
    <w:rsid w:val="F7EF7993"/>
    <w:rsid w:val="F93B0D6D"/>
    <w:rsid w:val="F96F7D7B"/>
    <w:rsid w:val="F971F8F1"/>
    <w:rsid w:val="F9DD0495"/>
    <w:rsid w:val="F9E46C56"/>
    <w:rsid w:val="F9EFE550"/>
    <w:rsid w:val="F9FF1F73"/>
    <w:rsid w:val="F9FFC15E"/>
    <w:rsid w:val="FACDC95E"/>
    <w:rsid w:val="FAEE630A"/>
    <w:rsid w:val="FAF527E5"/>
    <w:rsid w:val="FB7A7FA4"/>
    <w:rsid w:val="FBB82DC8"/>
    <w:rsid w:val="FBDFF1D6"/>
    <w:rsid w:val="FBE51AAE"/>
    <w:rsid w:val="FBFFE979"/>
    <w:rsid w:val="FD43EA15"/>
    <w:rsid w:val="FD7D3C81"/>
    <w:rsid w:val="FDB349BE"/>
    <w:rsid w:val="FDF2EED7"/>
    <w:rsid w:val="FDF34804"/>
    <w:rsid w:val="FDF8D4BB"/>
    <w:rsid w:val="FDFFDB8F"/>
    <w:rsid w:val="FEB7F66A"/>
    <w:rsid w:val="FECF25FC"/>
    <w:rsid w:val="FEEFD824"/>
    <w:rsid w:val="FEF58E89"/>
    <w:rsid w:val="FF3FAED3"/>
    <w:rsid w:val="FF770665"/>
    <w:rsid w:val="FF7FB1CF"/>
    <w:rsid w:val="FFAF3405"/>
    <w:rsid w:val="FFBF10AE"/>
    <w:rsid w:val="FFD5419C"/>
    <w:rsid w:val="FFDC4498"/>
    <w:rsid w:val="FFDFDF04"/>
    <w:rsid w:val="FFEFE1BF"/>
    <w:rsid w:val="FFFB3DA9"/>
    <w:rsid w:val="FFFF70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方正仿宋_GBK" w:cs="Times New Roman"/>
      <w:kern w:val="2"/>
      <w:sz w:val="32"/>
      <w:szCs w:val="22"/>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outlineLvl w:val="0"/>
    </w:pPr>
    <w:rPr>
      <w:rFonts w:ascii="Times New Roman" w:hAnsi="Times New Roman" w:eastAsia="方正黑体_GBK"/>
      <w:kern w:val="44"/>
      <w:sz w:val="32"/>
    </w:rPr>
  </w:style>
  <w:style w:type="paragraph" w:styleId="5">
    <w:name w:val="heading 2"/>
    <w:basedOn w:val="1"/>
    <w:next w:val="1"/>
    <w:unhideWhenUsed/>
    <w:qFormat/>
    <w:uiPriority w:val="0"/>
    <w:pPr>
      <w:keepNext/>
      <w:keepLines/>
      <w:spacing w:beforeLines="0" w:beforeAutospacing="0" w:afterLines="0" w:afterAutospacing="0" w:line="560" w:lineRule="exact"/>
      <w:outlineLvl w:val="1"/>
    </w:pPr>
    <w:rPr>
      <w:rFonts w:eastAsia="方正楷体_GBK"/>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rPr>
      <w:rFonts w:ascii="Calibri" w:hAnsi="Calibri"/>
    </w:rPr>
  </w:style>
  <w:style w:type="paragraph" w:styleId="3">
    <w:name w:val="Body Text Indent"/>
    <w:basedOn w:val="1"/>
    <w:next w:val="2"/>
    <w:semiHidden/>
    <w:qFormat/>
    <w:uiPriority w:val="99"/>
    <w:pPr>
      <w:spacing w:after="120"/>
      <w:ind w:left="420" w:leftChars="200"/>
    </w:pPr>
  </w:style>
  <w:style w:type="paragraph" w:styleId="6">
    <w:name w:val="table of authorities"/>
    <w:basedOn w:val="1"/>
    <w:next w:val="1"/>
    <w:qFormat/>
    <w:uiPriority w:val="0"/>
    <w:pPr>
      <w:ind w:left="420" w:leftChars="200"/>
    </w:pPr>
  </w:style>
  <w:style w:type="paragraph" w:styleId="7">
    <w:name w:val="Normal Indent"/>
    <w:basedOn w:val="1"/>
    <w:unhideWhenUsed/>
    <w:qFormat/>
    <w:uiPriority w:val="99"/>
    <w:pPr>
      <w:ind w:firstLine="420" w:firstLineChars="200"/>
    </w:pPr>
    <w:rPr>
      <w:rFonts w:eastAsia="仿宋"/>
      <w:sz w:val="32"/>
    </w:rPr>
  </w:style>
  <w:style w:type="paragraph" w:styleId="8">
    <w:name w:val="Body Text"/>
    <w:basedOn w:val="1"/>
    <w:qFormat/>
    <w:uiPriority w:val="0"/>
    <w:pPr>
      <w:spacing w:after="120"/>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8"/>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ascii="Times New Roman" w:hAnsi="Times New Roman" w:eastAsia="宋体" w:cs="Times New Roman"/>
      <w:b/>
      <w:bCs/>
    </w:rPr>
  </w:style>
  <w:style w:type="table" w:customStyle="1" w:styleId="16">
    <w:name w:val="Table Normal"/>
    <w:unhideWhenUsed/>
    <w:qFormat/>
    <w:uiPriority w:val="0"/>
    <w:tblPr>
      <w:tblCellMar>
        <w:top w:w="0" w:type="dxa"/>
        <w:left w:w="0" w:type="dxa"/>
        <w:bottom w:w="0" w:type="dxa"/>
        <w:right w:w="0" w:type="dxa"/>
      </w:tblCellMar>
    </w:tblPr>
  </w:style>
  <w:style w:type="character" w:customStyle="1" w:styleId="17">
    <w:name w:val="font141"/>
    <w:basedOn w:val="14"/>
    <w:qFormat/>
    <w:uiPriority w:val="0"/>
    <w:rPr>
      <w:rFonts w:ascii="宋体" w:hAnsi="宋体" w:eastAsia="宋体" w:cs="宋体"/>
      <w:b/>
      <w:bCs/>
      <w:color w:val="000000"/>
      <w:sz w:val="34"/>
      <w:szCs w:val="34"/>
      <w:u w:val="none"/>
    </w:rPr>
  </w:style>
  <w:style w:type="character" w:customStyle="1" w:styleId="18">
    <w:name w:val="font121"/>
    <w:basedOn w:val="14"/>
    <w:qFormat/>
    <w:uiPriority w:val="0"/>
    <w:rPr>
      <w:rFonts w:ascii="宋体" w:hAnsi="宋体" w:eastAsia="宋体" w:cs="宋体"/>
      <w:color w:val="000000"/>
      <w:sz w:val="16"/>
      <w:szCs w:val="16"/>
      <w:u w:val="none"/>
    </w:rPr>
  </w:style>
  <w:style w:type="character" w:customStyle="1" w:styleId="19">
    <w:name w:val="font81"/>
    <w:basedOn w:val="14"/>
    <w:qFormat/>
    <w:uiPriority w:val="0"/>
    <w:rPr>
      <w:rFonts w:ascii="宋体" w:hAnsi="宋体" w:eastAsia="宋体" w:cs="宋体"/>
      <w:b/>
      <w:bCs/>
      <w:color w:val="000000"/>
      <w:sz w:val="16"/>
      <w:szCs w:val="16"/>
      <w:u w:val="none"/>
    </w:rPr>
  </w:style>
  <w:style w:type="character" w:customStyle="1" w:styleId="20">
    <w:name w:val="font71"/>
    <w:basedOn w:val="14"/>
    <w:qFormat/>
    <w:uiPriority w:val="0"/>
    <w:rPr>
      <w:rFonts w:hint="default" w:ascii="SimSun-ExtB" w:hAnsi="SimSun-ExtB" w:eastAsia="SimSun-ExtB" w:cs="SimSun-ExtB"/>
      <w:color w:val="000000"/>
      <w:sz w:val="16"/>
      <w:szCs w:val="16"/>
      <w:u w:val="none"/>
    </w:rPr>
  </w:style>
  <w:style w:type="character" w:customStyle="1" w:styleId="21">
    <w:name w:val="font151"/>
    <w:basedOn w:val="14"/>
    <w:qFormat/>
    <w:uiPriority w:val="0"/>
    <w:rPr>
      <w:rFonts w:hint="default" w:ascii="Times New Roman" w:hAnsi="Times New Roman" w:cs="Times New Roman"/>
      <w:color w:val="000000"/>
      <w:sz w:val="16"/>
      <w:szCs w:val="16"/>
      <w:u w:val="none"/>
    </w:rPr>
  </w:style>
  <w:style w:type="character" w:customStyle="1" w:styleId="22">
    <w:name w:val="font161"/>
    <w:basedOn w:val="14"/>
    <w:qFormat/>
    <w:uiPriority w:val="0"/>
    <w:rPr>
      <w:rFonts w:hint="default" w:ascii="Times New Roman" w:hAnsi="Times New Roman" w:cs="Times New Roman"/>
      <w:color w:val="000000"/>
      <w:sz w:val="16"/>
      <w:szCs w:val="16"/>
      <w:u w:val="none"/>
    </w:rPr>
  </w:style>
  <w:style w:type="character" w:customStyle="1" w:styleId="23">
    <w:name w:val="font51"/>
    <w:basedOn w:val="14"/>
    <w:qFormat/>
    <w:uiPriority w:val="0"/>
    <w:rPr>
      <w:rFonts w:hint="default" w:ascii="SimSun-ExtB" w:hAnsi="SimSun-ExtB" w:eastAsia="SimSun-ExtB" w:cs="SimSun-ExtB"/>
      <w:color w:val="000000"/>
      <w:sz w:val="16"/>
      <w:szCs w:val="16"/>
      <w:u w:val="none"/>
    </w:rPr>
  </w:style>
  <w:style w:type="character" w:customStyle="1" w:styleId="24">
    <w:name w:val="font31"/>
    <w:basedOn w:val="14"/>
    <w:qFormat/>
    <w:uiPriority w:val="0"/>
    <w:rPr>
      <w:rFonts w:hint="default" w:ascii="Times New Roman" w:hAnsi="Times New Roman" w:cs="Times New Roman"/>
      <w:color w:val="000000"/>
      <w:sz w:val="18"/>
      <w:szCs w:val="18"/>
      <w:u w:val="none"/>
    </w:rPr>
  </w:style>
  <w:style w:type="character" w:customStyle="1" w:styleId="25">
    <w:name w:val="font41"/>
    <w:basedOn w:val="14"/>
    <w:qFormat/>
    <w:uiPriority w:val="0"/>
    <w:rPr>
      <w:rFonts w:hint="default" w:ascii="SimSun-ExtB" w:hAnsi="SimSun-ExtB" w:eastAsia="SimSun-ExtB" w:cs="SimSun-ExtB"/>
      <w:color w:val="000000"/>
      <w:sz w:val="18"/>
      <w:szCs w:val="18"/>
      <w:u w:val="none"/>
    </w:rPr>
  </w:style>
  <w:style w:type="character" w:customStyle="1" w:styleId="26">
    <w:name w:val="font01"/>
    <w:basedOn w:val="14"/>
    <w:qFormat/>
    <w:uiPriority w:val="0"/>
    <w:rPr>
      <w:rFonts w:hint="default" w:ascii="Times New Roman" w:hAnsi="Times New Roman" w:cs="Times New Roman"/>
      <w:color w:val="000000"/>
      <w:sz w:val="18"/>
      <w:szCs w:val="18"/>
      <w:u w:val="none"/>
    </w:rPr>
  </w:style>
  <w:style w:type="character" w:customStyle="1" w:styleId="27">
    <w:name w:val="font91"/>
    <w:basedOn w:val="14"/>
    <w:qFormat/>
    <w:uiPriority w:val="0"/>
    <w:rPr>
      <w:rFonts w:hint="default" w:ascii="SimSun-ExtB" w:hAnsi="SimSun-ExtB" w:eastAsia="SimSun-ExtB" w:cs="SimSun-ExtB"/>
      <w:color w:val="000000"/>
      <w:sz w:val="18"/>
      <w:szCs w:val="18"/>
      <w:u w:val="none"/>
    </w:rPr>
  </w:style>
  <w:style w:type="character" w:customStyle="1" w:styleId="28">
    <w:name w:val="font61"/>
    <w:basedOn w:val="14"/>
    <w:qFormat/>
    <w:uiPriority w:val="0"/>
    <w:rPr>
      <w:rFonts w:ascii="宋体" w:hAnsi="宋体" w:eastAsia="宋体" w:cs="宋体"/>
      <w:b/>
      <w:bCs/>
      <w:color w:val="000000"/>
      <w:sz w:val="40"/>
      <w:szCs w:val="40"/>
      <w:u w:val="none"/>
    </w:rPr>
  </w:style>
  <w:style w:type="character" w:customStyle="1" w:styleId="29">
    <w:name w:val="font21"/>
    <w:basedOn w:val="14"/>
    <w:qFormat/>
    <w:uiPriority w:val="0"/>
    <w:rPr>
      <w:rFonts w:ascii="宋体" w:hAnsi="宋体" w:eastAsia="宋体" w:cs="宋体"/>
      <w:color w:val="000000"/>
      <w:sz w:val="20"/>
      <w:szCs w:val="20"/>
      <w:u w:val="none"/>
    </w:rPr>
  </w:style>
  <w:style w:type="character" w:customStyle="1" w:styleId="30">
    <w:name w:val="font11"/>
    <w:basedOn w:val="14"/>
    <w:qFormat/>
    <w:uiPriority w:val="0"/>
    <w:rPr>
      <w:rFonts w:hint="default" w:ascii="Times New Roman" w:hAnsi="Times New Roman" w:cs="Times New Roman"/>
      <w:color w:val="000000"/>
      <w:sz w:val="18"/>
      <w:szCs w:val="18"/>
      <w:u w:val="none"/>
    </w:rPr>
  </w:style>
  <w:style w:type="character" w:customStyle="1" w:styleId="31">
    <w:name w:val="font112"/>
    <w:basedOn w:val="14"/>
    <w:qFormat/>
    <w:uiPriority w:val="0"/>
    <w:rPr>
      <w:rFonts w:hint="default" w:ascii="SimSun-ExtB" w:hAnsi="SimSun-ExtB" w:eastAsia="SimSun-ExtB" w:cs="SimSun-ExtB"/>
      <w:color w:val="000000"/>
      <w:sz w:val="18"/>
      <w:szCs w:val="18"/>
      <w:u w:val="none"/>
    </w:rPr>
  </w:style>
  <w:style w:type="character" w:customStyle="1" w:styleId="32">
    <w:name w:val="font13"/>
    <w:basedOn w:val="14"/>
    <w:qFormat/>
    <w:uiPriority w:val="0"/>
    <w:rPr>
      <w:rFonts w:hint="default" w:ascii="Times New Roman" w:hAnsi="Times New Roman" w:cs="Times New Roman"/>
      <w:color w:val="000000"/>
      <w:sz w:val="18"/>
      <w:szCs w:val="18"/>
      <w:u w:val="none"/>
    </w:rPr>
  </w:style>
  <w:style w:type="character" w:customStyle="1" w:styleId="33">
    <w:name w:val="font132"/>
    <w:basedOn w:val="14"/>
    <w:qFormat/>
    <w:uiPriority w:val="0"/>
    <w:rPr>
      <w:rFonts w:hint="default" w:ascii="SimSun-ExtB" w:hAnsi="SimSun-ExtB" w:eastAsia="SimSun-ExtB" w:cs="SimSun-ExtB"/>
      <w:color w:val="000000"/>
      <w:sz w:val="18"/>
      <w:szCs w:val="18"/>
      <w:u w:val="none"/>
    </w:rPr>
  </w:style>
  <w:style w:type="character" w:customStyle="1" w:styleId="34">
    <w:name w:val="font101"/>
    <w:basedOn w:val="14"/>
    <w:qFormat/>
    <w:uiPriority w:val="0"/>
    <w:rPr>
      <w:rFonts w:ascii="宋体" w:hAnsi="宋体" w:eastAsia="宋体" w:cs="宋体"/>
      <w:color w:val="000000"/>
      <w:sz w:val="20"/>
      <w:szCs w:val="20"/>
      <w:u w:val="none"/>
    </w:rPr>
  </w:style>
  <w:style w:type="character" w:customStyle="1" w:styleId="35">
    <w:name w:val="font122"/>
    <w:basedOn w:val="14"/>
    <w:qFormat/>
    <w:uiPriority w:val="0"/>
    <w:rPr>
      <w:rFonts w:ascii="宋体" w:hAnsi="宋体" w:eastAsia="宋体" w:cs="宋体"/>
      <w:color w:val="000000"/>
      <w:sz w:val="18"/>
      <w:szCs w:val="18"/>
      <w:u w:val="none"/>
    </w:rPr>
  </w:style>
  <w:style w:type="character" w:customStyle="1" w:styleId="36">
    <w:name w:val="font12"/>
    <w:basedOn w:val="14"/>
    <w:qFormat/>
    <w:uiPriority w:val="0"/>
    <w:rPr>
      <w:rFonts w:hint="default" w:ascii="SimSun-ExtB" w:hAnsi="SimSun-ExtB" w:eastAsia="SimSun-ExtB" w:cs="SimSun-ExtB"/>
      <w:color w:val="000000"/>
      <w:sz w:val="16"/>
      <w:szCs w:val="16"/>
      <w:u w:val="none"/>
    </w:rPr>
  </w:style>
  <w:style w:type="character" w:customStyle="1" w:styleId="37">
    <w:name w:val="font131"/>
    <w:basedOn w:val="14"/>
    <w:qFormat/>
    <w:uiPriority w:val="0"/>
    <w:rPr>
      <w:rFonts w:ascii="宋体" w:hAnsi="宋体" w:eastAsia="宋体" w:cs="宋体"/>
      <w:color w:val="000000"/>
      <w:sz w:val="20"/>
      <w:szCs w:val="20"/>
      <w:u w:val="none"/>
    </w:rPr>
  </w:style>
  <w:style w:type="character" w:customStyle="1" w:styleId="38">
    <w:name w:val="font171"/>
    <w:basedOn w:val="14"/>
    <w:qFormat/>
    <w:uiPriority w:val="0"/>
    <w:rPr>
      <w:rFonts w:ascii="宋体" w:hAnsi="宋体" w:eastAsia="宋体" w:cs="宋体"/>
      <w:color w:val="000000"/>
      <w:sz w:val="20"/>
      <w:szCs w:val="20"/>
      <w:u w:val="none"/>
    </w:rPr>
  </w:style>
  <w:style w:type="character" w:customStyle="1" w:styleId="39">
    <w:name w:val="font181"/>
    <w:basedOn w:val="14"/>
    <w:qFormat/>
    <w:uiPriority w:val="0"/>
    <w:rPr>
      <w:rFonts w:hint="default" w:ascii="Arial" w:hAnsi="Arial" w:cs="Arial"/>
      <w:color w:val="000000"/>
      <w:sz w:val="20"/>
      <w:szCs w:val="20"/>
      <w:u w:val="none"/>
    </w:rPr>
  </w:style>
  <w:style w:type="character" w:customStyle="1" w:styleId="40">
    <w:name w:val="font111"/>
    <w:basedOn w:val="14"/>
    <w:qFormat/>
    <w:uiPriority w:val="0"/>
    <w:rPr>
      <w:rFonts w:hint="default" w:ascii="SimSun-ExtB" w:hAnsi="SimSun-ExtB" w:eastAsia="SimSun-ExtB" w:cs="SimSun-ExtB"/>
      <w:color w:val="000000"/>
      <w:sz w:val="16"/>
      <w:szCs w:val="16"/>
      <w:u w:val="none"/>
    </w:rPr>
  </w:style>
  <w:style w:type="paragraph" w:customStyle="1" w:styleId="41">
    <w:name w:val="常用样式（方正仿宋简）"/>
    <w:basedOn w:val="1"/>
    <w:qFormat/>
    <w:uiPriority w:val="0"/>
    <w:pPr>
      <w:ind w:firstLine="640"/>
    </w:pPr>
    <w:rPr>
      <w:rFonts w:ascii="Times New Roman" w:hAnsi="Times New Roman" w:eastAsia="方正仿宋_GBK"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1591</Words>
  <Characters>1830</Characters>
  <Lines>0</Lines>
  <Paragraphs>0</Paragraphs>
  <TotalTime>30</TotalTime>
  <ScaleCrop>false</ScaleCrop>
  <LinksUpToDate>false</LinksUpToDate>
  <CharactersWithSpaces>1830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2025-01-13T08:46:00Z</dcterms:created>
  <dc:creator>Qin</dc:creator>
  <cp:lastModifiedBy>user</cp:lastModifiedBy>
  <cp:lastPrinted>2026-03-10T18:13:00Z</cp:lastPrinted>
  <dcterms:modified xsi:type="dcterms:W3CDTF">2026-04-03T15:50:56Z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64795AD133D1BB23EE3EAE699A27372F_43</vt:lpwstr>
  </property>
  <property fmtid="{D5CDD505-2E9C-101B-9397-08002B2CF9AE}" pid="4" name="KSOTemplateDocerSaveRecord">
    <vt:lpwstr>eyJoZGlkIjoiZDhmN2ZhMmM1MTViZmI5NzI3ZDA3MDJmMzU4NzcyYWYiLCJ1c2VySWQiOiI0MjA2NzU2NDIifQ==</vt:lpwstr>
  </property>
</Properties>
</file>