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466427">
      <w:pPr>
        <w:spacing w:line="540" w:lineRule="exact"/>
        <w:jc w:val="center"/>
        <w:rPr>
          <w:rFonts w:ascii="方正小标宋_GBK" w:hAnsi="华文中宋" w:eastAsia="方正小标宋_GBK" w:cs="宋体"/>
          <w:b/>
          <w:kern w:val="0"/>
          <w:sz w:val="48"/>
          <w:szCs w:val="48"/>
        </w:rPr>
      </w:pPr>
    </w:p>
    <w:p w14:paraId="27E7C899">
      <w:pPr>
        <w:spacing w:line="540" w:lineRule="exact"/>
        <w:jc w:val="center"/>
        <w:rPr>
          <w:rFonts w:ascii="方正小标宋_GBK" w:hAnsi="华文中宋" w:eastAsia="方正小标宋_GBK" w:cs="宋体"/>
          <w:b/>
          <w:kern w:val="0"/>
          <w:sz w:val="48"/>
          <w:szCs w:val="48"/>
        </w:rPr>
      </w:pPr>
    </w:p>
    <w:p w14:paraId="3A1F8423">
      <w:pPr>
        <w:spacing w:line="540" w:lineRule="exact"/>
        <w:jc w:val="center"/>
        <w:rPr>
          <w:rFonts w:ascii="方正小标宋_GBK" w:hAnsi="华文中宋" w:eastAsia="方正小标宋_GBK" w:cs="宋体"/>
          <w:b/>
          <w:kern w:val="0"/>
          <w:sz w:val="48"/>
          <w:szCs w:val="48"/>
        </w:rPr>
      </w:pPr>
    </w:p>
    <w:p w14:paraId="6DA8F1BF">
      <w:pPr>
        <w:spacing w:line="540" w:lineRule="exact"/>
        <w:jc w:val="center"/>
        <w:rPr>
          <w:rFonts w:ascii="方正小标宋_GBK" w:hAnsi="华文中宋" w:eastAsia="方正小标宋_GBK" w:cs="宋体"/>
          <w:b/>
          <w:kern w:val="0"/>
          <w:sz w:val="48"/>
          <w:szCs w:val="48"/>
        </w:rPr>
      </w:pPr>
    </w:p>
    <w:p w14:paraId="3C712662">
      <w:pPr>
        <w:spacing w:line="540" w:lineRule="exact"/>
        <w:jc w:val="center"/>
        <w:rPr>
          <w:rFonts w:ascii="方正小标宋_GBK" w:hAnsi="华文中宋" w:eastAsia="方正小标宋_GBK" w:cs="宋体"/>
          <w:b/>
          <w:kern w:val="0"/>
          <w:sz w:val="48"/>
          <w:szCs w:val="48"/>
        </w:rPr>
      </w:pPr>
    </w:p>
    <w:p w14:paraId="6A79EB03">
      <w:pPr>
        <w:spacing w:line="540" w:lineRule="exact"/>
        <w:jc w:val="center"/>
        <w:rPr>
          <w:rFonts w:ascii="方正小标宋_GBK" w:hAnsi="华文中宋" w:eastAsia="方正小标宋_GBK" w:cs="宋体"/>
          <w:b/>
          <w:kern w:val="0"/>
          <w:sz w:val="48"/>
          <w:szCs w:val="48"/>
        </w:rPr>
      </w:pPr>
    </w:p>
    <w:p w14:paraId="2EF15800">
      <w:pPr>
        <w:spacing w:line="540" w:lineRule="exact"/>
        <w:jc w:val="center"/>
        <w:rPr>
          <w:rFonts w:hint="eastAsia" w:ascii="黑体" w:hAnsi="黑体" w:eastAsia="黑体" w:cs="黑体"/>
          <w:b/>
          <w:kern w:val="0"/>
          <w:sz w:val="52"/>
          <w:szCs w:val="52"/>
        </w:rPr>
      </w:pPr>
      <w:r>
        <w:rPr>
          <w:rFonts w:hint="eastAsia" w:ascii="黑体" w:hAnsi="黑体" w:eastAsia="黑体" w:cs="黑体"/>
          <w:b/>
          <w:kern w:val="0"/>
          <w:sz w:val="52"/>
          <w:szCs w:val="52"/>
          <w:highlight w:val="none"/>
          <w:lang w:val="en-US" w:eastAsia="zh-CN"/>
        </w:rPr>
        <w:t>自治区民政厅</w:t>
      </w:r>
      <w:r>
        <w:rPr>
          <w:rFonts w:hint="eastAsia" w:ascii="黑体" w:hAnsi="黑体" w:eastAsia="黑体" w:cs="黑体"/>
          <w:b/>
          <w:kern w:val="0"/>
          <w:sz w:val="52"/>
          <w:szCs w:val="52"/>
        </w:rPr>
        <w:t>部门整体支出绩效</w:t>
      </w:r>
    </w:p>
    <w:p w14:paraId="2311B373">
      <w:pPr>
        <w:spacing w:line="540" w:lineRule="exact"/>
        <w:jc w:val="center"/>
        <w:rPr>
          <w:rFonts w:hint="eastAsia" w:ascii="黑体" w:hAnsi="黑体" w:eastAsia="黑体" w:cs="黑体"/>
          <w:b/>
          <w:kern w:val="0"/>
          <w:sz w:val="52"/>
          <w:szCs w:val="52"/>
        </w:rPr>
      </w:pPr>
      <w:r>
        <w:rPr>
          <w:rFonts w:hint="eastAsia" w:ascii="黑体" w:hAnsi="黑体" w:eastAsia="黑体" w:cs="黑体"/>
          <w:b/>
          <w:kern w:val="0"/>
          <w:sz w:val="52"/>
          <w:szCs w:val="52"/>
        </w:rPr>
        <w:t>自评报告</w:t>
      </w:r>
    </w:p>
    <w:p w14:paraId="566C62A2">
      <w:pPr>
        <w:spacing w:line="540" w:lineRule="exact"/>
        <w:jc w:val="center"/>
        <w:rPr>
          <w:rFonts w:ascii="华文中宋" w:hAnsi="华文中宋" w:eastAsia="华文中宋" w:cs="宋体"/>
          <w:b/>
          <w:kern w:val="0"/>
          <w:sz w:val="52"/>
          <w:szCs w:val="52"/>
        </w:rPr>
      </w:pPr>
    </w:p>
    <w:p w14:paraId="3CA2F2AC">
      <w:pPr>
        <w:spacing w:line="540" w:lineRule="exact"/>
        <w:jc w:val="center"/>
        <w:rPr>
          <w:rFonts w:hAnsi="宋体" w:eastAsia="仿宋_GB2312" w:cs="宋体"/>
          <w:kern w:val="0"/>
          <w:sz w:val="36"/>
          <w:szCs w:val="36"/>
        </w:rPr>
      </w:pPr>
      <w:r>
        <w:rPr>
          <w:rFonts w:hint="eastAsia" w:hAnsi="宋体" w:eastAsia="仿宋_GB2312" w:cs="宋体"/>
          <w:kern w:val="0"/>
          <w:sz w:val="36"/>
          <w:szCs w:val="36"/>
        </w:rPr>
        <w:t>（</w:t>
      </w:r>
      <w:r>
        <w:rPr>
          <w:rFonts w:hint="eastAsia" w:hAnsi="宋体" w:eastAsia="仿宋_GB2312" w:cs="宋体"/>
          <w:kern w:val="0"/>
          <w:sz w:val="36"/>
          <w:szCs w:val="36"/>
          <w:lang w:val="en-US" w:eastAsia="zh-CN"/>
        </w:rPr>
        <w:t>2025</w:t>
      </w:r>
      <w:r>
        <w:rPr>
          <w:rFonts w:hint="eastAsia" w:hAnsi="宋体" w:eastAsia="仿宋_GB2312" w:cs="宋体"/>
          <w:kern w:val="0"/>
          <w:sz w:val="36"/>
          <w:szCs w:val="36"/>
        </w:rPr>
        <w:t>年度）</w:t>
      </w:r>
    </w:p>
    <w:p w14:paraId="3051B1CE">
      <w:pPr>
        <w:spacing w:line="540" w:lineRule="exact"/>
        <w:jc w:val="center"/>
        <w:rPr>
          <w:rFonts w:hAnsi="宋体" w:eastAsia="仿宋_GB2312" w:cs="宋体"/>
          <w:kern w:val="0"/>
          <w:sz w:val="30"/>
          <w:szCs w:val="30"/>
        </w:rPr>
      </w:pPr>
    </w:p>
    <w:p w14:paraId="7DA53191">
      <w:pPr>
        <w:spacing w:line="540" w:lineRule="exact"/>
        <w:jc w:val="center"/>
        <w:rPr>
          <w:rFonts w:hAnsi="宋体" w:eastAsia="仿宋_GB2312" w:cs="宋体"/>
          <w:kern w:val="0"/>
          <w:sz w:val="30"/>
          <w:szCs w:val="30"/>
        </w:rPr>
      </w:pPr>
    </w:p>
    <w:p w14:paraId="76D98F86">
      <w:pPr>
        <w:spacing w:line="540" w:lineRule="exact"/>
        <w:jc w:val="center"/>
        <w:rPr>
          <w:rFonts w:ascii="方正小标宋_GBK" w:hAnsi="宋体" w:eastAsia="方正小标宋_GBK" w:cs="宋体"/>
          <w:kern w:val="0"/>
          <w:sz w:val="36"/>
          <w:szCs w:val="36"/>
        </w:rPr>
      </w:pPr>
    </w:p>
    <w:p w14:paraId="2E7AC174">
      <w:pPr>
        <w:spacing w:line="540" w:lineRule="exact"/>
        <w:jc w:val="center"/>
        <w:rPr>
          <w:rFonts w:hAnsi="宋体" w:eastAsia="仿宋_GB2312" w:cs="宋体"/>
          <w:kern w:val="0"/>
          <w:sz w:val="30"/>
          <w:szCs w:val="30"/>
        </w:rPr>
      </w:pPr>
    </w:p>
    <w:p w14:paraId="26D3FD2B">
      <w:pPr>
        <w:spacing w:line="540" w:lineRule="exact"/>
        <w:jc w:val="center"/>
        <w:rPr>
          <w:rFonts w:hAnsi="宋体" w:eastAsia="仿宋_GB2312" w:cs="宋体"/>
          <w:kern w:val="0"/>
          <w:sz w:val="30"/>
          <w:szCs w:val="30"/>
        </w:rPr>
      </w:pPr>
    </w:p>
    <w:p w14:paraId="47FA86E3">
      <w:pPr>
        <w:spacing w:line="540" w:lineRule="exact"/>
        <w:jc w:val="center"/>
        <w:rPr>
          <w:rFonts w:hAnsi="宋体" w:eastAsia="仿宋_GB2312" w:cs="宋体"/>
          <w:kern w:val="0"/>
          <w:sz w:val="30"/>
          <w:szCs w:val="30"/>
        </w:rPr>
      </w:pPr>
    </w:p>
    <w:p w14:paraId="296A0655">
      <w:pPr>
        <w:spacing w:line="540" w:lineRule="exact"/>
        <w:rPr>
          <w:rFonts w:hAnsi="宋体" w:eastAsia="仿宋_GB2312" w:cs="宋体"/>
          <w:kern w:val="0"/>
          <w:sz w:val="30"/>
          <w:szCs w:val="30"/>
        </w:rPr>
      </w:pPr>
    </w:p>
    <w:p w14:paraId="17D384BA">
      <w:pPr>
        <w:spacing w:line="540" w:lineRule="exact"/>
        <w:rPr>
          <w:rFonts w:hAnsi="宋体" w:eastAsia="仿宋_GB2312" w:cs="宋体"/>
          <w:kern w:val="0"/>
          <w:sz w:val="30"/>
          <w:szCs w:val="30"/>
        </w:rPr>
      </w:pPr>
    </w:p>
    <w:p w14:paraId="46263368">
      <w:pPr>
        <w:spacing w:line="700" w:lineRule="exact"/>
        <w:jc w:val="left"/>
        <w:rPr>
          <w:rFonts w:hAnsi="宋体" w:eastAsia="仿宋_GB2312" w:cs="宋体"/>
          <w:kern w:val="0"/>
          <w:sz w:val="36"/>
          <w:szCs w:val="36"/>
        </w:rPr>
      </w:pPr>
      <w:r>
        <w:rPr>
          <w:rFonts w:hint="eastAsia" w:hAnsi="宋体" w:eastAsia="仿宋_GB2312" w:cs="宋体"/>
          <w:kern w:val="0"/>
          <w:sz w:val="36"/>
          <w:szCs w:val="36"/>
        </w:rPr>
        <w:t xml:space="preserve">  </w:t>
      </w:r>
    </w:p>
    <w:p w14:paraId="3630429E">
      <w:pPr>
        <w:spacing w:line="700" w:lineRule="exact"/>
        <w:ind w:firstLine="849" w:firstLineChars="236"/>
        <w:jc w:val="left"/>
        <w:rPr>
          <w:rFonts w:hint="default" w:hAnsi="宋体" w:eastAsia="仿宋_GB2312" w:cs="宋体"/>
          <w:kern w:val="0"/>
          <w:sz w:val="36"/>
          <w:szCs w:val="36"/>
          <w:lang w:val="en-US" w:eastAsia="zh-CN"/>
        </w:rPr>
      </w:pPr>
      <w:r>
        <w:rPr>
          <w:rFonts w:hint="eastAsia" w:hAnsi="宋体" w:eastAsia="仿宋_GB2312" w:cs="宋体"/>
          <w:kern w:val="0"/>
          <w:sz w:val="36"/>
          <w:szCs w:val="36"/>
        </w:rPr>
        <w:t>部门单位名称（公章）：</w:t>
      </w:r>
      <w:r>
        <w:rPr>
          <w:rFonts w:hint="eastAsia" w:hAnsi="宋体" w:eastAsia="仿宋_GB2312" w:cs="宋体"/>
          <w:kern w:val="0"/>
          <w:sz w:val="36"/>
          <w:szCs w:val="36"/>
          <w:lang w:val="en-US" w:eastAsia="zh-CN"/>
        </w:rPr>
        <w:t>自治区民政厅</w:t>
      </w:r>
    </w:p>
    <w:p w14:paraId="6894DD8D">
      <w:pPr>
        <w:spacing w:line="700" w:lineRule="exact"/>
        <w:ind w:firstLine="849" w:firstLineChars="236"/>
        <w:jc w:val="left"/>
        <w:rPr>
          <w:rFonts w:hAnsi="宋体" w:eastAsia="仿宋_GB2312" w:cs="宋体"/>
          <w:kern w:val="0"/>
          <w:sz w:val="36"/>
          <w:szCs w:val="36"/>
        </w:rPr>
      </w:pPr>
      <w:r>
        <w:rPr>
          <w:rFonts w:hint="eastAsia" w:hAnsi="宋体" w:eastAsia="仿宋_GB2312" w:cs="宋体"/>
          <w:kern w:val="0"/>
          <w:sz w:val="36"/>
          <w:szCs w:val="36"/>
        </w:rPr>
        <w:t>填报时间：</w:t>
      </w:r>
      <w:r>
        <w:rPr>
          <w:rFonts w:hint="eastAsia" w:hAnsi="宋体" w:eastAsia="仿宋_GB2312" w:cs="宋体"/>
          <w:kern w:val="0"/>
          <w:sz w:val="36"/>
          <w:szCs w:val="36"/>
          <w:lang w:val="en-US" w:eastAsia="zh-CN"/>
        </w:rPr>
        <w:t>2026</w:t>
      </w:r>
      <w:r>
        <w:rPr>
          <w:rFonts w:hint="eastAsia" w:hAnsi="宋体" w:eastAsia="仿宋_GB2312" w:cs="宋体"/>
          <w:kern w:val="0"/>
          <w:sz w:val="36"/>
          <w:szCs w:val="36"/>
        </w:rPr>
        <w:t>年</w:t>
      </w:r>
      <w:r>
        <w:rPr>
          <w:rFonts w:hint="eastAsia" w:hAnsi="宋体" w:eastAsia="仿宋_GB2312" w:cs="宋体"/>
          <w:kern w:val="0"/>
          <w:sz w:val="36"/>
          <w:szCs w:val="36"/>
          <w:lang w:val="en-US" w:eastAsia="zh-CN"/>
        </w:rPr>
        <w:t>4</w:t>
      </w:r>
      <w:r>
        <w:rPr>
          <w:rFonts w:hint="eastAsia" w:hAnsi="宋体" w:eastAsia="仿宋_GB2312" w:cs="宋体"/>
          <w:kern w:val="0"/>
          <w:sz w:val="36"/>
          <w:szCs w:val="36"/>
        </w:rPr>
        <w:t>月</w:t>
      </w:r>
      <w:r>
        <w:rPr>
          <w:rFonts w:hint="eastAsia" w:hAnsi="宋体" w:eastAsia="仿宋_GB2312" w:cs="宋体"/>
          <w:kern w:val="0"/>
          <w:sz w:val="36"/>
          <w:szCs w:val="36"/>
          <w:lang w:val="en-US" w:eastAsia="zh-CN"/>
        </w:rPr>
        <w:t>7</w:t>
      </w:r>
      <w:r>
        <w:rPr>
          <w:rFonts w:hint="eastAsia" w:hAnsi="宋体" w:eastAsia="仿宋_GB2312" w:cs="宋体"/>
          <w:kern w:val="0"/>
          <w:sz w:val="36"/>
          <w:szCs w:val="36"/>
        </w:rPr>
        <w:t>日</w:t>
      </w:r>
    </w:p>
    <w:p w14:paraId="402E1FE5">
      <w:pPr>
        <w:spacing w:line="700" w:lineRule="exact"/>
        <w:ind w:firstLine="0" w:firstLineChars="0"/>
        <w:jc w:val="left"/>
        <w:rPr>
          <w:rFonts w:hAnsi="宋体" w:eastAsia="仿宋_GB2312" w:cs="宋体"/>
          <w:kern w:val="0"/>
          <w:sz w:val="36"/>
          <w:szCs w:val="36"/>
        </w:rPr>
        <w:sectPr>
          <w:footerReference r:id="rId3" w:type="default"/>
          <w:pgSz w:w="11906" w:h="16838"/>
          <w:pgMar w:top="1440" w:right="1800" w:bottom="1440" w:left="1800" w:header="851" w:footer="992" w:gutter="0"/>
          <w:cols w:space="720" w:num="1"/>
          <w:docGrid w:type="lines" w:linePitch="312" w:charSpace="0"/>
        </w:sectPr>
      </w:pPr>
    </w:p>
    <w:p w14:paraId="01ED0B0B">
      <w:pPr>
        <w:spacing w:before="0" w:beforeLines="0" w:after="0" w:afterLines="0" w:line="560" w:lineRule="exact"/>
        <w:ind w:left="0" w:leftChars="0" w:right="0" w:rightChars="0" w:firstLine="0" w:firstLineChars="0"/>
        <w:jc w:val="center"/>
        <w:rPr>
          <w:rFonts w:hint="eastAsia" w:ascii="仿宋_GB2312" w:hAnsi="仿宋_GB2312" w:eastAsia="仿宋_GB2312" w:cs="仿宋_GB2312"/>
          <w:sz w:val="32"/>
          <w:szCs w:val="32"/>
        </w:rPr>
      </w:pPr>
      <w:bookmarkStart w:id="0" w:name="_Toc17212"/>
    </w:p>
    <w:p w14:paraId="7C8E1861">
      <w:pPr>
        <w:spacing w:before="0" w:beforeLines="0" w:after="0" w:afterLines="0" w:line="560" w:lineRule="exact"/>
        <w:ind w:left="0" w:leftChars="0" w:right="0" w:rightChars="0" w:firstLine="0" w:firstLineChars="0"/>
        <w:jc w:val="center"/>
        <w:rPr>
          <w:rFonts w:hint="eastAsia" w:ascii="黑体" w:hAnsi="黑体" w:eastAsia="黑体" w:cs="黑体"/>
          <w:sz w:val="44"/>
          <w:szCs w:val="44"/>
          <w:highlight w:val="none"/>
        </w:rPr>
      </w:pPr>
      <w:r>
        <w:rPr>
          <w:rFonts w:hint="eastAsia" w:ascii="黑体" w:hAnsi="黑体" w:eastAsia="黑体" w:cs="黑体"/>
          <w:sz w:val="44"/>
          <w:szCs w:val="44"/>
          <w:highlight w:val="none"/>
        </w:rPr>
        <w:t>目</w:t>
      </w:r>
      <w:r>
        <w:rPr>
          <w:rFonts w:hint="eastAsia" w:ascii="黑体" w:hAnsi="黑体" w:eastAsia="黑体" w:cs="黑体"/>
          <w:sz w:val="44"/>
          <w:szCs w:val="44"/>
          <w:highlight w:val="none"/>
          <w:lang w:val="en-US" w:eastAsia="zh-CN"/>
        </w:rPr>
        <w:t xml:space="preserve"> </w:t>
      </w:r>
      <w:r>
        <w:rPr>
          <w:rFonts w:hint="eastAsia" w:ascii="黑体" w:hAnsi="黑体" w:eastAsia="黑体" w:cs="黑体"/>
          <w:sz w:val="44"/>
          <w:szCs w:val="44"/>
          <w:highlight w:val="none"/>
        </w:rPr>
        <w:t>录</w:t>
      </w:r>
    </w:p>
    <w:p w14:paraId="0FE0C4E0">
      <w:pPr>
        <w:spacing w:before="0" w:beforeLines="0" w:after="0" w:afterLines="0" w:line="560" w:lineRule="exact"/>
        <w:ind w:left="0" w:leftChars="0" w:right="0" w:rightChars="0" w:firstLine="0" w:firstLineChars="0"/>
        <w:jc w:val="center"/>
        <w:rPr>
          <w:rFonts w:hint="eastAsia" w:ascii="仿宋_GB2312" w:hAnsi="仿宋_GB2312" w:eastAsia="仿宋_GB2312" w:cs="仿宋_GB2312"/>
          <w:sz w:val="32"/>
          <w:szCs w:val="32"/>
        </w:rPr>
      </w:pPr>
    </w:p>
    <w:p w14:paraId="6F749FF6">
      <w:pPr>
        <w:pStyle w:val="4"/>
        <w:tabs>
          <w:tab w:val="right" w:leader="middleDot" w:pos="8306"/>
        </w:tabs>
        <w:jc w:val="left"/>
        <w:rPr>
          <w:rFonts w:hint="eastAsia" w:ascii="Times New Roman" w:hAnsi="Times New Roman" w:eastAsia="方正仿宋_GBK" w:cs="仿宋_GB2312"/>
          <w:b w:val="0"/>
          <w:bCs/>
          <w:color w:val="auto"/>
          <w:kern w:val="2"/>
          <w:sz w:val="32"/>
          <w:szCs w:val="32"/>
          <w:lang w:val="en-US" w:eastAsia="zh-CN" w:bidi="ar-SA"/>
        </w:rPr>
      </w:pPr>
      <w:r>
        <w:rPr>
          <w:rFonts w:hint="eastAsia" w:ascii="Times New Roman" w:hAnsi="Times New Roman" w:eastAsia="方正仿宋_GBK" w:cs="仿宋_GB2312"/>
          <w:b w:val="0"/>
          <w:bCs/>
          <w:color w:val="auto"/>
          <w:kern w:val="2"/>
          <w:sz w:val="32"/>
          <w:szCs w:val="32"/>
          <w:lang w:val="en-US" w:eastAsia="zh-CN" w:bidi="ar-SA"/>
        </w:rPr>
        <w:fldChar w:fldCharType="begin"/>
      </w:r>
      <w:r>
        <w:rPr>
          <w:rFonts w:hint="eastAsia" w:ascii="Times New Roman" w:hAnsi="Times New Roman" w:eastAsia="方正仿宋_GBK" w:cs="仿宋_GB2312"/>
          <w:b w:val="0"/>
          <w:bCs/>
          <w:color w:val="auto"/>
          <w:kern w:val="2"/>
          <w:sz w:val="32"/>
          <w:szCs w:val="32"/>
          <w:lang w:val="en-US" w:eastAsia="zh-CN" w:bidi="ar-SA"/>
        </w:rPr>
        <w:instrText xml:space="preserve">TOC \o "1-3" \h \u </w:instrText>
      </w:r>
      <w:r>
        <w:rPr>
          <w:rFonts w:hint="eastAsia" w:ascii="Times New Roman" w:hAnsi="Times New Roman" w:eastAsia="方正仿宋_GBK" w:cs="仿宋_GB2312"/>
          <w:b w:val="0"/>
          <w:bCs/>
          <w:color w:val="auto"/>
          <w:kern w:val="2"/>
          <w:sz w:val="32"/>
          <w:szCs w:val="32"/>
          <w:lang w:val="en-US" w:eastAsia="zh-CN" w:bidi="ar-SA"/>
        </w:rPr>
        <w:fldChar w:fldCharType="separate"/>
      </w:r>
      <w:r>
        <w:rPr>
          <w:rFonts w:hint="eastAsia" w:ascii="Times New Roman" w:hAnsi="Times New Roman" w:eastAsia="方正仿宋_GBK" w:cs="仿宋_GB2312"/>
          <w:b w:val="0"/>
          <w:bCs/>
          <w:color w:val="auto"/>
          <w:kern w:val="2"/>
          <w:sz w:val="32"/>
          <w:szCs w:val="32"/>
          <w:lang w:val="en-US" w:eastAsia="zh-CN" w:bidi="ar-SA"/>
        </w:rPr>
        <w:fldChar w:fldCharType="begin"/>
      </w:r>
      <w:r>
        <w:rPr>
          <w:rFonts w:hint="eastAsia" w:ascii="Times New Roman" w:hAnsi="Times New Roman" w:eastAsia="方正仿宋_GBK" w:cs="仿宋_GB2312"/>
          <w:b w:val="0"/>
          <w:bCs/>
          <w:color w:val="auto"/>
          <w:kern w:val="2"/>
          <w:sz w:val="32"/>
          <w:szCs w:val="32"/>
          <w:lang w:val="en-US" w:eastAsia="zh-CN" w:bidi="ar-SA"/>
        </w:rPr>
        <w:instrText xml:space="preserve"> HYPERLINK \l _Toc27041 </w:instrText>
      </w:r>
      <w:r>
        <w:rPr>
          <w:rFonts w:hint="eastAsia" w:ascii="Times New Roman" w:hAnsi="Times New Roman" w:eastAsia="方正仿宋_GBK" w:cs="仿宋_GB2312"/>
          <w:b w:val="0"/>
          <w:bCs/>
          <w:color w:val="auto"/>
          <w:kern w:val="2"/>
          <w:sz w:val="32"/>
          <w:szCs w:val="32"/>
          <w:lang w:val="en-US" w:eastAsia="zh-CN" w:bidi="ar-SA"/>
        </w:rPr>
        <w:fldChar w:fldCharType="separate"/>
      </w:r>
      <w:r>
        <w:rPr>
          <w:rFonts w:hint="eastAsia" w:ascii="Times New Roman" w:hAnsi="Times New Roman" w:eastAsia="方正仿宋_GBK" w:cs="仿宋_GB2312"/>
          <w:b w:val="0"/>
          <w:bCs/>
          <w:color w:val="auto"/>
          <w:kern w:val="2"/>
          <w:sz w:val="32"/>
          <w:szCs w:val="32"/>
          <w:lang w:val="en-US" w:eastAsia="zh-CN" w:bidi="ar-SA"/>
        </w:rPr>
        <w:t>一、基本概况</w:t>
      </w:r>
      <w:r>
        <w:rPr>
          <w:rFonts w:hint="eastAsia" w:ascii="Times New Roman" w:hAnsi="Times New Roman" w:eastAsia="方正仿宋_GBK" w:cs="仿宋_GB2312"/>
          <w:b w:val="0"/>
          <w:bCs/>
          <w:color w:val="auto"/>
          <w:kern w:val="2"/>
          <w:sz w:val="32"/>
          <w:szCs w:val="32"/>
          <w:lang w:val="en-US" w:eastAsia="zh-CN" w:bidi="ar-SA"/>
        </w:rPr>
        <w:tab/>
      </w:r>
      <w:r>
        <w:rPr>
          <w:rFonts w:hint="eastAsia" w:ascii="Times New Roman" w:hAnsi="Times New Roman" w:eastAsia="方正仿宋_GBK" w:cs="仿宋_GB2312"/>
          <w:b w:val="0"/>
          <w:bCs/>
          <w:color w:val="auto"/>
          <w:kern w:val="2"/>
          <w:sz w:val="32"/>
          <w:szCs w:val="32"/>
          <w:lang w:val="en-US" w:eastAsia="zh-CN" w:bidi="ar-SA"/>
        </w:rPr>
        <w:fldChar w:fldCharType="begin"/>
      </w:r>
      <w:r>
        <w:rPr>
          <w:rFonts w:hint="eastAsia" w:ascii="Times New Roman" w:hAnsi="Times New Roman" w:eastAsia="方正仿宋_GBK" w:cs="仿宋_GB2312"/>
          <w:b w:val="0"/>
          <w:bCs/>
          <w:color w:val="auto"/>
          <w:kern w:val="2"/>
          <w:sz w:val="32"/>
          <w:szCs w:val="32"/>
          <w:lang w:val="en-US" w:eastAsia="zh-CN" w:bidi="ar-SA"/>
        </w:rPr>
        <w:instrText xml:space="preserve"> PAGEREF _Toc27041 \h </w:instrText>
      </w:r>
      <w:r>
        <w:rPr>
          <w:rFonts w:hint="eastAsia" w:ascii="Times New Roman" w:hAnsi="Times New Roman" w:eastAsia="方正仿宋_GBK" w:cs="仿宋_GB2312"/>
          <w:b w:val="0"/>
          <w:bCs/>
          <w:color w:val="auto"/>
          <w:kern w:val="2"/>
          <w:sz w:val="32"/>
          <w:szCs w:val="32"/>
          <w:lang w:val="en-US" w:eastAsia="zh-CN" w:bidi="ar-SA"/>
        </w:rPr>
        <w:fldChar w:fldCharType="separate"/>
      </w:r>
      <w:r>
        <w:rPr>
          <w:rFonts w:hint="eastAsia" w:ascii="Times New Roman" w:hAnsi="Times New Roman" w:eastAsia="方正仿宋_GBK" w:cs="仿宋_GB2312"/>
          <w:b w:val="0"/>
          <w:bCs/>
          <w:color w:val="auto"/>
          <w:kern w:val="2"/>
          <w:sz w:val="32"/>
          <w:szCs w:val="32"/>
          <w:lang w:val="en-US" w:eastAsia="zh-CN" w:bidi="ar-SA"/>
        </w:rPr>
        <w:t>1</w:t>
      </w:r>
      <w:r>
        <w:rPr>
          <w:rFonts w:hint="eastAsia" w:ascii="Times New Roman" w:hAnsi="Times New Roman" w:eastAsia="方正仿宋_GBK" w:cs="仿宋_GB2312"/>
          <w:b w:val="0"/>
          <w:bCs/>
          <w:color w:val="auto"/>
          <w:kern w:val="2"/>
          <w:sz w:val="32"/>
          <w:szCs w:val="32"/>
          <w:lang w:val="en-US" w:eastAsia="zh-CN" w:bidi="ar-SA"/>
        </w:rPr>
        <w:fldChar w:fldCharType="end"/>
      </w:r>
      <w:r>
        <w:rPr>
          <w:rFonts w:hint="eastAsia" w:ascii="Times New Roman" w:hAnsi="Times New Roman" w:eastAsia="方正仿宋_GBK" w:cs="仿宋_GB2312"/>
          <w:b w:val="0"/>
          <w:bCs/>
          <w:color w:val="auto"/>
          <w:kern w:val="2"/>
          <w:sz w:val="32"/>
          <w:szCs w:val="32"/>
          <w:lang w:val="en-US" w:eastAsia="zh-CN" w:bidi="ar-SA"/>
        </w:rPr>
        <w:fldChar w:fldCharType="end"/>
      </w:r>
    </w:p>
    <w:p w14:paraId="0AFB7DB3">
      <w:pPr>
        <w:pStyle w:val="5"/>
        <w:tabs>
          <w:tab w:val="right" w:leader="middleDot" w:pos="8306"/>
        </w:tabs>
        <w:jc w:val="left"/>
        <w:rPr>
          <w:rFonts w:hint="eastAsia" w:ascii="Times New Roman" w:hAnsi="Times New Roman" w:eastAsia="方正仿宋_GBK" w:cs="仿宋_GB2312"/>
          <w:b w:val="0"/>
          <w:bCs/>
          <w:color w:val="auto"/>
          <w:kern w:val="2"/>
          <w:sz w:val="32"/>
          <w:szCs w:val="32"/>
          <w:lang w:val="en-US" w:eastAsia="zh-CN" w:bidi="ar-SA"/>
        </w:rPr>
      </w:pPr>
      <w:r>
        <w:rPr>
          <w:rFonts w:hint="eastAsia" w:ascii="Times New Roman" w:hAnsi="Times New Roman" w:eastAsia="方正仿宋_GBK" w:cs="仿宋_GB2312"/>
          <w:b w:val="0"/>
          <w:bCs/>
          <w:color w:val="auto"/>
          <w:kern w:val="2"/>
          <w:sz w:val="32"/>
          <w:szCs w:val="32"/>
          <w:lang w:val="en-US" w:eastAsia="zh-CN" w:bidi="ar-SA"/>
        </w:rPr>
        <w:fldChar w:fldCharType="begin"/>
      </w:r>
      <w:r>
        <w:rPr>
          <w:rFonts w:hint="eastAsia" w:ascii="Times New Roman" w:hAnsi="Times New Roman" w:eastAsia="方正仿宋_GBK" w:cs="仿宋_GB2312"/>
          <w:b w:val="0"/>
          <w:bCs/>
          <w:color w:val="auto"/>
          <w:kern w:val="2"/>
          <w:sz w:val="32"/>
          <w:szCs w:val="32"/>
          <w:lang w:val="en-US" w:eastAsia="zh-CN" w:bidi="ar-SA"/>
        </w:rPr>
        <w:instrText xml:space="preserve"> HYPERLINK \l _Toc31623 </w:instrText>
      </w:r>
      <w:r>
        <w:rPr>
          <w:rFonts w:hint="eastAsia" w:ascii="Times New Roman" w:hAnsi="Times New Roman" w:eastAsia="方正仿宋_GBK" w:cs="仿宋_GB2312"/>
          <w:b w:val="0"/>
          <w:bCs/>
          <w:color w:val="auto"/>
          <w:kern w:val="2"/>
          <w:sz w:val="32"/>
          <w:szCs w:val="32"/>
          <w:lang w:val="en-US" w:eastAsia="zh-CN" w:bidi="ar-SA"/>
        </w:rPr>
        <w:fldChar w:fldCharType="separate"/>
      </w:r>
      <w:r>
        <w:rPr>
          <w:rFonts w:hint="eastAsia" w:ascii="Times New Roman" w:hAnsi="Times New Roman" w:eastAsia="方正仿宋_GBK" w:cs="仿宋_GB2312"/>
          <w:b w:val="0"/>
          <w:bCs/>
          <w:color w:val="auto"/>
          <w:kern w:val="2"/>
          <w:sz w:val="32"/>
          <w:szCs w:val="32"/>
          <w:lang w:val="en-US" w:eastAsia="zh-CN" w:bidi="ar-SA"/>
        </w:rPr>
        <w:t>（一）部门单位基本情况</w:t>
      </w:r>
      <w:r>
        <w:rPr>
          <w:rFonts w:hint="eastAsia" w:ascii="Times New Roman" w:hAnsi="Times New Roman" w:eastAsia="方正仿宋_GBK" w:cs="仿宋_GB2312"/>
          <w:b w:val="0"/>
          <w:bCs/>
          <w:color w:val="auto"/>
          <w:kern w:val="2"/>
          <w:sz w:val="32"/>
          <w:szCs w:val="32"/>
          <w:lang w:val="en-US" w:eastAsia="zh-CN" w:bidi="ar-SA"/>
        </w:rPr>
        <w:tab/>
      </w:r>
      <w:r>
        <w:rPr>
          <w:rFonts w:hint="eastAsia" w:ascii="Times New Roman" w:hAnsi="Times New Roman" w:eastAsia="方正仿宋_GBK" w:cs="仿宋_GB2312"/>
          <w:b w:val="0"/>
          <w:bCs/>
          <w:color w:val="auto"/>
          <w:kern w:val="2"/>
          <w:sz w:val="32"/>
          <w:szCs w:val="32"/>
          <w:lang w:val="en-US" w:eastAsia="zh-CN" w:bidi="ar-SA"/>
        </w:rPr>
        <w:fldChar w:fldCharType="begin"/>
      </w:r>
      <w:r>
        <w:rPr>
          <w:rFonts w:hint="eastAsia" w:ascii="Times New Roman" w:hAnsi="Times New Roman" w:eastAsia="方正仿宋_GBK" w:cs="仿宋_GB2312"/>
          <w:b w:val="0"/>
          <w:bCs/>
          <w:color w:val="auto"/>
          <w:kern w:val="2"/>
          <w:sz w:val="32"/>
          <w:szCs w:val="32"/>
          <w:lang w:val="en-US" w:eastAsia="zh-CN" w:bidi="ar-SA"/>
        </w:rPr>
        <w:instrText xml:space="preserve"> PAGEREF _Toc31623 \h </w:instrText>
      </w:r>
      <w:r>
        <w:rPr>
          <w:rFonts w:hint="eastAsia" w:ascii="Times New Roman" w:hAnsi="Times New Roman" w:eastAsia="方正仿宋_GBK" w:cs="仿宋_GB2312"/>
          <w:b w:val="0"/>
          <w:bCs/>
          <w:color w:val="auto"/>
          <w:kern w:val="2"/>
          <w:sz w:val="32"/>
          <w:szCs w:val="32"/>
          <w:lang w:val="en-US" w:eastAsia="zh-CN" w:bidi="ar-SA"/>
        </w:rPr>
        <w:fldChar w:fldCharType="separate"/>
      </w:r>
      <w:r>
        <w:rPr>
          <w:rFonts w:hint="eastAsia" w:ascii="Times New Roman" w:hAnsi="Times New Roman" w:eastAsia="方正仿宋_GBK" w:cs="仿宋_GB2312"/>
          <w:b w:val="0"/>
          <w:bCs/>
          <w:color w:val="auto"/>
          <w:kern w:val="2"/>
          <w:sz w:val="32"/>
          <w:szCs w:val="32"/>
          <w:lang w:val="en-US" w:eastAsia="zh-CN" w:bidi="ar-SA"/>
        </w:rPr>
        <w:t>1</w:t>
      </w:r>
      <w:r>
        <w:rPr>
          <w:rFonts w:hint="eastAsia" w:ascii="Times New Roman" w:hAnsi="Times New Roman" w:eastAsia="方正仿宋_GBK" w:cs="仿宋_GB2312"/>
          <w:b w:val="0"/>
          <w:bCs/>
          <w:color w:val="auto"/>
          <w:kern w:val="2"/>
          <w:sz w:val="32"/>
          <w:szCs w:val="32"/>
          <w:lang w:val="en-US" w:eastAsia="zh-CN" w:bidi="ar-SA"/>
        </w:rPr>
        <w:fldChar w:fldCharType="end"/>
      </w:r>
      <w:r>
        <w:rPr>
          <w:rFonts w:hint="eastAsia" w:ascii="Times New Roman" w:hAnsi="Times New Roman" w:eastAsia="方正仿宋_GBK" w:cs="仿宋_GB2312"/>
          <w:b w:val="0"/>
          <w:bCs/>
          <w:color w:val="auto"/>
          <w:kern w:val="2"/>
          <w:sz w:val="32"/>
          <w:szCs w:val="32"/>
          <w:lang w:val="en-US" w:eastAsia="zh-CN" w:bidi="ar-SA"/>
        </w:rPr>
        <w:fldChar w:fldCharType="end"/>
      </w:r>
    </w:p>
    <w:p w14:paraId="24ED658F">
      <w:pPr>
        <w:pStyle w:val="5"/>
        <w:tabs>
          <w:tab w:val="right" w:leader="middleDot" w:pos="8306"/>
        </w:tabs>
        <w:jc w:val="left"/>
        <w:rPr>
          <w:rFonts w:hint="eastAsia" w:ascii="Times New Roman" w:hAnsi="Times New Roman" w:eastAsia="方正仿宋_GBK" w:cs="仿宋_GB2312"/>
          <w:b w:val="0"/>
          <w:bCs/>
          <w:color w:val="auto"/>
          <w:kern w:val="2"/>
          <w:sz w:val="32"/>
          <w:szCs w:val="32"/>
          <w:lang w:val="en-US" w:eastAsia="zh-CN" w:bidi="ar-SA"/>
        </w:rPr>
      </w:pPr>
      <w:r>
        <w:rPr>
          <w:rFonts w:hint="eastAsia" w:ascii="Times New Roman" w:hAnsi="Times New Roman" w:eastAsia="方正仿宋_GBK" w:cs="仿宋_GB2312"/>
          <w:b w:val="0"/>
          <w:bCs/>
          <w:color w:val="auto"/>
          <w:kern w:val="2"/>
          <w:sz w:val="32"/>
          <w:szCs w:val="32"/>
          <w:lang w:val="en-US" w:eastAsia="zh-CN" w:bidi="ar-SA"/>
        </w:rPr>
        <w:fldChar w:fldCharType="begin"/>
      </w:r>
      <w:r>
        <w:rPr>
          <w:rFonts w:hint="eastAsia" w:ascii="Times New Roman" w:hAnsi="Times New Roman" w:eastAsia="方正仿宋_GBK" w:cs="仿宋_GB2312"/>
          <w:b w:val="0"/>
          <w:bCs/>
          <w:color w:val="auto"/>
          <w:kern w:val="2"/>
          <w:sz w:val="32"/>
          <w:szCs w:val="32"/>
          <w:lang w:val="en-US" w:eastAsia="zh-CN" w:bidi="ar-SA"/>
        </w:rPr>
        <w:instrText xml:space="preserve"> HYPERLINK \l _Toc29039 </w:instrText>
      </w:r>
      <w:r>
        <w:rPr>
          <w:rFonts w:hint="eastAsia" w:ascii="Times New Roman" w:hAnsi="Times New Roman" w:eastAsia="方正仿宋_GBK" w:cs="仿宋_GB2312"/>
          <w:b w:val="0"/>
          <w:bCs/>
          <w:color w:val="auto"/>
          <w:kern w:val="2"/>
          <w:sz w:val="32"/>
          <w:szCs w:val="32"/>
          <w:lang w:val="en-US" w:eastAsia="zh-CN" w:bidi="ar-SA"/>
        </w:rPr>
        <w:fldChar w:fldCharType="separate"/>
      </w:r>
      <w:r>
        <w:rPr>
          <w:rFonts w:hint="eastAsia" w:ascii="Times New Roman" w:hAnsi="Times New Roman" w:eastAsia="方正仿宋_GBK" w:cs="仿宋_GB2312"/>
          <w:b w:val="0"/>
          <w:bCs/>
          <w:color w:val="auto"/>
          <w:kern w:val="2"/>
          <w:sz w:val="32"/>
          <w:szCs w:val="32"/>
          <w:lang w:val="en-US" w:eastAsia="zh-CN" w:bidi="ar-SA"/>
        </w:rPr>
        <w:t>（二）部门单位年度重点工作</w:t>
      </w:r>
      <w:r>
        <w:rPr>
          <w:rFonts w:hint="eastAsia" w:ascii="Times New Roman" w:hAnsi="Times New Roman" w:eastAsia="方正仿宋_GBK" w:cs="仿宋_GB2312"/>
          <w:b w:val="0"/>
          <w:bCs/>
          <w:color w:val="auto"/>
          <w:kern w:val="2"/>
          <w:sz w:val="32"/>
          <w:szCs w:val="32"/>
          <w:lang w:val="en-US" w:eastAsia="zh-CN" w:bidi="ar-SA"/>
        </w:rPr>
        <w:tab/>
      </w:r>
      <w:r>
        <w:rPr>
          <w:rFonts w:hint="eastAsia" w:ascii="Times New Roman" w:hAnsi="Times New Roman" w:eastAsia="方正仿宋_GBK" w:cs="仿宋_GB2312"/>
          <w:b w:val="0"/>
          <w:bCs/>
          <w:color w:val="auto"/>
          <w:kern w:val="2"/>
          <w:sz w:val="32"/>
          <w:szCs w:val="32"/>
          <w:lang w:val="en-US" w:eastAsia="zh-CN" w:bidi="ar-SA"/>
        </w:rPr>
        <w:fldChar w:fldCharType="begin"/>
      </w:r>
      <w:r>
        <w:rPr>
          <w:rFonts w:hint="eastAsia" w:ascii="Times New Roman" w:hAnsi="Times New Roman" w:eastAsia="方正仿宋_GBK" w:cs="仿宋_GB2312"/>
          <w:b w:val="0"/>
          <w:bCs/>
          <w:color w:val="auto"/>
          <w:kern w:val="2"/>
          <w:sz w:val="32"/>
          <w:szCs w:val="32"/>
          <w:lang w:val="en-US" w:eastAsia="zh-CN" w:bidi="ar-SA"/>
        </w:rPr>
        <w:instrText xml:space="preserve"> PAGEREF _Toc29039 \h </w:instrText>
      </w:r>
      <w:r>
        <w:rPr>
          <w:rFonts w:hint="eastAsia" w:ascii="Times New Roman" w:hAnsi="Times New Roman" w:eastAsia="方正仿宋_GBK" w:cs="仿宋_GB2312"/>
          <w:b w:val="0"/>
          <w:bCs/>
          <w:color w:val="auto"/>
          <w:kern w:val="2"/>
          <w:sz w:val="32"/>
          <w:szCs w:val="32"/>
          <w:lang w:val="en-US" w:eastAsia="zh-CN" w:bidi="ar-SA"/>
        </w:rPr>
        <w:fldChar w:fldCharType="separate"/>
      </w:r>
      <w:r>
        <w:rPr>
          <w:rFonts w:hint="eastAsia" w:ascii="Times New Roman" w:hAnsi="Times New Roman" w:eastAsia="方正仿宋_GBK" w:cs="仿宋_GB2312"/>
          <w:b w:val="0"/>
          <w:bCs/>
          <w:color w:val="auto"/>
          <w:kern w:val="2"/>
          <w:sz w:val="32"/>
          <w:szCs w:val="32"/>
          <w:lang w:val="en-US" w:eastAsia="zh-CN" w:bidi="ar-SA"/>
        </w:rPr>
        <w:t>3</w:t>
      </w:r>
      <w:r>
        <w:rPr>
          <w:rFonts w:hint="eastAsia" w:ascii="Times New Roman" w:hAnsi="Times New Roman" w:eastAsia="方正仿宋_GBK" w:cs="仿宋_GB2312"/>
          <w:b w:val="0"/>
          <w:bCs/>
          <w:color w:val="auto"/>
          <w:kern w:val="2"/>
          <w:sz w:val="32"/>
          <w:szCs w:val="32"/>
          <w:lang w:val="en-US" w:eastAsia="zh-CN" w:bidi="ar-SA"/>
        </w:rPr>
        <w:fldChar w:fldCharType="end"/>
      </w:r>
      <w:r>
        <w:rPr>
          <w:rFonts w:hint="eastAsia" w:ascii="Times New Roman" w:hAnsi="Times New Roman" w:eastAsia="方正仿宋_GBK" w:cs="仿宋_GB2312"/>
          <w:b w:val="0"/>
          <w:bCs/>
          <w:color w:val="auto"/>
          <w:kern w:val="2"/>
          <w:sz w:val="32"/>
          <w:szCs w:val="32"/>
          <w:lang w:val="en-US" w:eastAsia="zh-CN" w:bidi="ar-SA"/>
        </w:rPr>
        <w:fldChar w:fldCharType="end"/>
      </w:r>
    </w:p>
    <w:p w14:paraId="672DE235">
      <w:pPr>
        <w:pStyle w:val="5"/>
        <w:tabs>
          <w:tab w:val="right" w:leader="middleDot" w:pos="8306"/>
        </w:tabs>
        <w:jc w:val="left"/>
        <w:rPr>
          <w:rFonts w:hint="eastAsia" w:ascii="Times New Roman" w:hAnsi="Times New Roman" w:eastAsia="方正仿宋_GBK" w:cs="仿宋_GB2312"/>
          <w:b w:val="0"/>
          <w:bCs/>
          <w:color w:val="auto"/>
          <w:kern w:val="2"/>
          <w:sz w:val="32"/>
          <w:szCs w:val="32"/>
          <w:lang w:val="en-US" w:eastAsia="zh-CN" w:bidi="ar-SA"/>
        </w:rPr>
      </w:pPr>
      <w:r>
        <w:rPr>
          <w:rFonts w:hint="eastAsia" w:ascii="Times New Roman" w:hAnsi="Times New Roman" w:eastAsia="方正仿宋_GBK" w:cs="仿宋_GB2312"/>
          <w:b w:val="0"/>
          <w:bCs/>
          <w:color w:val="auto"/>
          <w:kern w:val="2"/>
          <w:sz w:val="32"/>
          <w:szCs w:val="32"/>
          <w:lang w:val="en-US" w:eastAsia="zh-CN" w:bidi="ar-SA"/>
        </w:rPr>
        <w:fldChar w:fldCharType="begin"/>
      </w:r>
      <w:r>
        <w:rPr>
          <w:rFonts w:hint="eastAsia" w:ascii="Times New Roman" w:hAnsi="Times New Roman" w:eastAsia="方正仿宋_GBK" w:cs="仿宋_GB2312"/>
          <w:b w:val="0"/>
          <w:bCs/>
          <w:color w:val="auto"/>
          <w:kern w:val="2"/>
          <w:sz w:val="32"/>
          <w:szCs w:val="32"/>
          <w:lang w:val="en-US" w:eastAsia="zh-CN" w:bidi="ar-SA"/>
        </w:rPr>
        <w:instrText xml:space="preserve"> HYPERLINK \l _Toc7727 </w:instrText>
      </w:r>
      <w:r>
        <w:rPr>
          <w:rFonts w:hint="eastAsia" w:ascii="Times New Roman" w:hAnsi="Times New Roman" w:eastAsia="方正仿宋_GBK" w:cs="仿宋_GB2312"/>
          <w:b w:val="0"/>
          <w:bCs/>
          <w:color w:val="auto"/>
          <w:kern w:val="2"/>
          <w:sz w:val="32"/>
          <w:szCs w:val="32"/>
          <w:lang w:val="en-US" w:eastAsia="zh-CN" w:bidi="ar-SA"/>
        </w:rPr>
        <w:fldChar w:fldCharType="separate"/>
      </w:r>
      <w:r>
        <w:rPr>
          <w:rFonts w:hint="eastAsia" w:ascii="Times New Roman" w:hAnsi="Times New Roman" w:eastAsia="方正仿宋_GBK" w:cs="仿宋_GB2312"/>
          <w:b w:val="0"/>
          <w:bCs/>
          <w:color w:val="auto"/>
          <w:kern w:val="2"/>
          <w:sz w:val="32"/>
          <w:szCs w:val="32"/>
          <w:lang w:val="en-US" w:eastAsia="zh-CN" w:bidi="ar-SA"/>
        </w:rPr>
        <w:t>（三）部门单位整体预算规模及安排情况</w:t>
      </w:r>
      <w:r>
        <w:rPr>
          <w:rFonts w:hint="eastAsia" w:ascii="Times New Roman" w:hAnsi="Times New Roman" w:eastAsia="方正仿宋_GBK" w:cs="仿宋_GB2312"/>
          <w:b w:val="0"/>
          <w:bCs/>
          <w:color w:val="auto"/>
          <w:kern w:val="2"/>
          <w:sz w:val="32"/>
          <w:szCs w:val="32"/>
          <w:lang w:val="en-US" w:eastAsia="zh-CN" w:bidi="ar-SA"/>
        </w:rPr>
        <w:tab/>
      </w:r>
      <w:r>
        <w:rPr>
          <w:rFonts w:hint="eastAsia" w:ascii="Times New Roman" w:hAnsi="Times New Roman" w:eastAsia="方正仿宋_GBK" w:cs="仿宋_GB2312"/>
          <w:b w:val="0"/>
          <w:bCs/>
          <w:color w:val="auto"/>
          <w:kern w:val="2"/>
          <w:sz w:val="32"/>
          <w:szCs w:val="32"/>
          <w:lang w:val="en-US" w:eastAsia="zh-CN" w:bidi="ar-SA"/>
        </w:rPr>
        <w:fldChar w:fldCharType="begin"/>
      </w:r>
      <w:r>
        <w:rPr>
          <w:rFonts w:hint="eastAsia" w:ascii="Times New Roman" w:hAnsi="Times New Roman" w:eastAsia="方正仿宋_GBK" w:cs="仿宋_GB2312"/>
          <w:b w:val="0"/>
          <w:bCs/>
          <w:color w:val="auto"/>
          <w:kern w:val="2"/>
          <w:sz w:val="32"/>
          <w:szCs w:val="32"/>
          <w:lang w:val="en-US" w:eastAsia="zh-CN" w:bidi="ar-SA"/>
        </w:rPr>
        <w:instrText xml:space="preserve"> PAGEREF _Toc7727 \h </w:instrText>
      </w:r>
      <w:r>
        <w:rPr>
          <w:rFonts w:hint="eastAsia" w:ascii="Times New Roman" w:hAnsi="Times New Roman" w:eastAsia="方正仿宋_GBK" w:cs="仿宋_GB2312"/>
          <w:b w:val="0"/>
          <w:bCs/>
          <w:color w:val="auto"/>
          <w:kern w:val="2"/>
          <w:sz w:val="32"/>
          <w:szCs w:val="32"/>
          <w:lang w:val="en-US" w:eastAsia="zh-CN" w:bidi="ar-SA"/>
        </w:rPr>
        <w:fldChar w:fldCharType="separate"/>
      </w:r>
      <w:r>
        <w:rPr>
          <w:rFonts w:hint="eastAsia" w:ascii="Times New Roman" w:hAnsi="Times New Roman" w:eastAsia="方正仿宋_GBK" w:cs="仿宋_GB2312"/>
          <w:b w:val="0"/>
          <w:bCs/>
          <w:color w:val="auto"/>
          <w:kern w:val="2"/>
          <w:sz w:val="32"/>
          <w:szCs w:val="32"/>
          <w:lang w:val="en-US" w:eastAsia="zh-CN" w:bidi="ar-SA"/>
        </w:rPr>
        <w:t>5</w:t>
      </w:r>
      <w:r>
        <w:rPr>
          <w:rFonts w:hint="eastAsia" w:ascii="Times New Roman" w:hAnsi="Times New Roman" w:eastAsia="方正仿宋_GBK" w:cs="仿宋_GB2312"/>
          <w:b w:val="0"/>
          <w:bCs/>
          <w:color w:val="auto"/>
          <w:kern w:val="2"/>
          <w:sz w:val="32"/>
          <w:szCs w:val="32"/>
          <w:lang w:val="en-US" w:eastAsia="zh-CN" w:bidi="ar-SA"/>
        </w:rPr>
        <w:fldChar w:fldCharType="end"/>
      </w:r>
      <w:r>
        <w:rPr>
          <w:rFonts w:hint="eastAsia" w:ascii="Times New Roman" w:hAnsi="Times New Roman" w:eastAsia="方正仿宋_GBK" w:cs="仿宋_GB2312"/>
          <w:b w:val="0"/>
          <w:bCs/>
          <w:color w:val="auto"/>
          <w:kern w:val="2"/>
          <w:sz w:val="32"/>
          <w:szCs w:val="32"/>
          <w:lang w:val="en-US" w:eastAsia="zh-CN" w:bidi="ar-SA"/>
        </w:rPr>
        <w:fldChar w:fldCharType="end"/>
      </w:r>
    </w:p>
    <w:p w14:paraId="6EF1733A">
      <w:pPr>
        <w:pStyle w:val="4"/>
        <w:tabs>
          <w:tab w:val="right" w:leader="middleDot" w:pos="8306"/>
        </w:tabs>
        <w:jc w:val="left"/>
        <w:rPr>
          <w:rFonts w:hint="eastAsia" w:ascii="Times New Roman" w:hAnsi="Times New Roman" w:eastAsia="方正仿宋_GBK" w:cs="仿宋_GB2312"/>
          <w:b w:val="0"/>
          <w:bCs/>
          <w:color w:val="auto"/>
          <w:kern w:val="2"/>
          <w:sz w:val="32"/>
          <w:szCs w:val="32"/>
          <w:lang w:val="en-US" w:eastAsia="zh-CN" w:bidi="ar-SA"/>
        </w:rPr>
      </w:pPr>
      <w:r>
        <w:rPr>
          <w:rFonts w:hint="eastAsia" w:ascii="Times New Roman" w:hAnsi="Times New Roman" w:eastAsia="方正仿宋_GBK" w:cs="仿宋_GB2312"/>
          <w:b w:val="0"/>
          <w:bCs/>
          <w:color w:val="auto"/>
          <w:kern w:val="2"/>
          <w:sz w:val="32"/>
          <w:szCs w:val="32"/>
          <w:lang w:val="en-US" w:eastAsia="zh-CN" w:bidi="ar-SA"/>
        </w:rPr>
        <w:fldChar w:fldCharType="begin"/>
      </w:r>
      <w:r>
        <w:rPr>
          <w:rFonts w:hint="eastAsia" w:ascii="Times New Roman" w:hAnsi="Times New Roman" w:eastAsia="方正仿宋_GBK" w:cs="仿宋_GB2312"/>
          <w:b w:val="0"/>
          <w:bCs/>
          <w:color w:val="auto"/>
          <w:kern w:val="2"/>
          <w:sz w:val="32"/>
          <w:szCs w:val="32"/>
          <w:lang w:val="en-US" w:eastAsia="zh-CN" w:bidi="ar-SA"/>
        </w:rPr>
        <w:instrText xml:space="preserve"> HYPERLINK \l _Toc31292 </w:instrText>
      </w:r>
      <w:r>
        <w:rPr>
          <w:rFonts w:hint="eastAsia" w:ascii="Times New Roman" w:hAnsi="Times New Roman" w:eastAsia="方正仿宋_GBK" w:cs="仿宋_GB2312"/>
          <w:b w:val="0"/>
          <w:bCs/>
          <w:color w:val="auto"/>
          <w:kern w:val="2"/>
          <w:sz w:val="32"/>
          <w:szCs w:val="32"/>
          <w:lang w:val="en-US" w:eastAsia="zh-CN" w:bidi="ar-SA"/>
        </w:rPr>
        <w:fldChar w:fldCharType="separate"/>
      </w:r>
      <w:r>
        <w:rPr>
          <w:rFonts w:hint="eastAsia" w:ascii="Times New Roman" w:hAnsi="Times New Roman" w:eastAsia="方正仿宋_GBK" w:cs="仿宋_GB2312"/>
          <w:b w:val="0"/>
          <w:bCs/>
          <w:color w:val="auto"/>
          <w:kern w:val="2"/>
          <w:sz w:val="32"/>
          <w:szCs w:val="32"/>
          <w:lang w:val="en-US" w:eastAsia="zh-CN" w:bidi="ar-SA"/>
        </w:rPr>
        <w:t>二、部门单位整体支出管理及使用情况</w:t>
      </w:r>
      <w:r>
        <w:rPr>
          <w:rFonts w:hint="eastAsia" w:ascii="Times New Roman" w:hAnsi="Times New Roman" w:eastAsia="方正仿宋_GBK" w:cs="仿宋_GB2312"/>
          <w:b w:val="0"/>
          <w:bCs/>
          <w:color w:val="auto"/>
          <w:kern w:val="2"/>
          <w:sz w:val="32"/>
          <w:szCs w:val="32"/>
          <w:lang w:val="en-US" w:eastAsia="zh-CN" w:bidi="ar-SA"/>
        </w:rPr>
        <w:tab/>
      </w:r>
      <w:r>
        <w:rPr>
          <w:rFonts w:hint="eastAsia" w:ascii="Times New Roman" w:hAnsi="Times New Roman" w:eastAsia="方正仿宋_GBK" w:cs="仿宋_GB2312"/>
          <w:b w:val="0"/>
          <w:bCs/>
          <w:color w:val="auto"/>
          <w:kern w:val="2"/>
          <w:sz w:val="32"/>
          <w:szCs w:val="32"/>
          <w:lang w:val="en-US" w:eastAsia="zh-CN" w:bidi="ar-SA"/>
        </w:rPr>
        <w:fldChar w:fldCharType="begin"/>
      </w:r>
      <w:r>
        <w:rPr>
          <w:rFonts w:hint="eastAsia" w:ascii="Times New Roman" w:hAnsi="Times New Roman" w:eastAsia="方正仿宋_GBK" w:cs="仿宋_GB2312"/>
          <w:b w:val="0"/>
          <w:bCs/>
          <w:color w:val="auto"/>
          <w:kern w:val="2"/>
          <w:sz w:val="32"/>
          <w:szCs w:val="32"/>
          <w:lang w:val="en-US" w:eastAsia="zh-CN" w:bidi="ar-SA"/>
        </w:rPr>
        <w:instrText xml:space="preserve"> PAGEREF _Toc31292 \h </w:instrText>
      </w:r>
      <w:r>
        <w:rPr>
          <w:rFonts w:hint="eastAsia" w:ascii="Times New Roman" w:hAnsi="Times New Roman" w:eastAsia="方正仿宋_GBK" w:cs="仿宋_GB2312"/>
          <w:b w:val="0"/>
          <w:bCs/>
          <w:color w:val="auto"/>
          <w:kern w:val="2"/>
          <w:sz w:val="32"/>
          <w:szCs w:val="32"/>
          <w:lang w:val="en-US" w:eastAsia="zh-CN" w:bidi="ar-SA"/>
        </w:rPr>
        <w:fldChar w:fldCharType="separate"/>
      </w:r>
      <w:r>
        <w:rPr>
          <w:rFonts w:hint="eastAsia" w:ascii="Times New Roman" w:hAnsi="Times New Roman" w:eastAsia="方正仿宋_GBK" w:cs="仿宋_GB2312"/>
          <w:b w:val="0"/>
          <w:bCs/>
          <w:color w:val="auto"/>
          <w:kern w:val="2"/>
          <w:sz w:val="32"/>
          <w:szCs w:val="32"/>
          <w:lang w:val="en-US" w:eastAsia="zh-CN" w:bidi="ar-SA"/>
        </w:rPr>
        <w:t>7</w:t>
      </w:r>
      <w:r>
        <w:rPr>
          <w:rFonts w:hint="eastAsia" w:ascii="Times New Roman" w:hAnsi="Times New Roman" w:eastAsia="方正仿宋_GBK" w:cs="仿宋_GB2312"/>
          <w:b w:val="0"/>
          <w:bCs/>
          <w:color w:val="auto"/>
          <w:kern w:val="2"/>
          <w:sz w:val="32"/>
          <w:szCs w:val="32"/>
          <w:lang w:val="en-US" w:eastAsia="zh-CN" w:bidi="ar-SA"/>
        </w:rPr>
        <w:fldChar w:fldCharType="end"/>
      </w:r>
      <w:r>
        <w:rPr>
          <w:rFonts w:hint="eastAsia" w:ascii="Times New Roman" w:hAnsi="Times New Roman" w:eastAsia="方正仿宋_GBK" w:cs="仿宋_GB2312"/>
          <w:b w:val="0"/>
          <w:bCs/>
          <w:color w:val="auto"/>
          <w:kern w:val="2"/>
          <w:sz w:val="32"/>
          <w:szCs w:val="32"/>
          <w:lang w:val="en-US" w:eastAsia="zh-CN" w:bidi="ar-SA"/>
        </w:rPr>
        <w:fldChar w:fldCharType="end"/>
      </w:r>
    </w:p>
    <w:p w14:paraId="37400598">
      <w:pPr>
        <w:pStyle w:val="5"/>
        <w:tabs>
          <w:tab w:val="right" w:leader="middleDot" w:pos="8306"/>
        </w:tabs>
        <w:jc w:val="left"/>
        <w:rPr>
          <w:rFonts w:hint="eastAsia" w:ascii="Times New Roman" w:hAnsi="Times New Roman" w:eastAsia="方正仿宋_GBK" w:cs="仿宋_GB2312"/>
          <w:b w:val="0"/>
          <w:bCs/>
          <w:color w:val="auto"/>
          <w:kern w:val="2"/>
          <w:sz w:val="32"/>
          <w:szCs w:val="32"/>
          <w:lang w:val="en-US" w:eastAsia="zh-CN" w:bidi="ar-SA"/>
        </w:rPr>
      </w:pPr>
      <w:r>
        <w:rPr>
          <w:rFonts w:hint="eastAsia" w:ascii="Times New Roman" w:hAnsi="Times New Roman" w:eastAsia="方正仿宋_GBK" w:cs="仿宋_GB2312"/>
          <w:b w:val="0"/>
          <w:bCs/>
          <w:color w:val="auto"/>
          <w:kern w:val="2"/>
          <w:sz w:val="32"/>
          <w:szCs w:val="32"/>
          <w:lang w:val="en-US" w:eastAsia="zh-CN" w:bidi="ar-SA"/>
        </w:rPr>
        <w:fldChar w:fldCharType="begin"/>
      </w:r>
      <w:r>
        <w:rPr>
          <w:rFonts w:hint="eastAsia" w:ascii="Times New Roman" w:hAnsi="Times New Roman" w:eastAsia="方正仿宋_GBK" w:cs="仿宋_GB2312"/>
          <w:b w:val="0"/>
          <w:bCs/>
          <w:color w:val="auto"/>
          <w:kern w:val="2"/>
          <w:sz w:val="32"/>
          <w:szCs w:val="32"/>
          <w:lang w:val="en-US" w:eastAsia="zh-CN" w:bidi="ar-SA"/>
        </w:rPr>
        <w:instrText xml:space="preserve"> HYPERLINK \l _Toc29253 </w:instrText>
      </w:r>
      <w:r>
        <w:rPr>
          <w:rFonts w:hint="eastAsia" w:ascii="Times New Roman" w:hAnsi="Times New Roman" w:eastAsia="方正仿宋_GBK" w:cs="仿宋_GB2312"/>
          <w:b w:val="0"/>
          <w:bCs/>
          <w:color w:val="auto"/>
          <w:kern w:val="2"/>
          <w:sz w:val="32"/>
          <w:szCs w:val="32"/>
          <w:lang w:val="en-US" w:eastAsia="zh-CN" w:bidi="ar-SA"/>
        </w:rPr>
        <w:fldChar w:fldCharType="separate"/>
      </w:r>
      <w:r>
        <w:rPr>
          <w:rFonts w:hint="eastAsia" w:ascii="Times New Roman" w:hAnsi="Times New Roman" w:eastAsia="方正仿宋_GBK" w:cs="仿宋_GB2312"/>
          <w:b w:val="0"/>
          <w:bCs/>
          <w:color w:val="auto"/>
          <w:kern w:val="2"/>
          <w:sz w:val="32"/>
          <w:szCs w:val="32"/>
          <w:lang w:val="en-US" w:eastAsia="zh-CN" w:bidi="ar-SA"/>
        </w:rPr>
        <w:t>（一）部门单位整体支出管理情况</w:t>
      </w:r>
      <w:r>
        <w:rPr>
          <w:rFonts w:hint="eastAsia" w:ascii="Times New Roman" w:hAnsi="Times New Roman" w:eastAsia="方正仿宋_GBK" w:cs="仿宋_GB2312"/>
          <w:b w:val="0"/>
          <w:bCs/>
          <w:color w:val="auto"/>
          <w:kern w:val="2"/>
          <w:sz w:val="32"/>
          <w:szCs w:val="32"/>
          <w:lang w:val="en-US" w:eastAsia="zh-CN" w:bidi="ar-SA"/>
        </w:rPr>
        <w:tab/>
      </w:r>
      <w:r>
        <w:rPr>
          <w:rFonts w:hint="eastAsia" w:ascii="Times New Roman" w:hAnsi="Times New Roman" w:eastAsia="方正仿宋_GBK" w:cs="仿宋_GB2312"/>
          <w:b w:val="0"/>
          <w:bCs/>
          <w:color w:val="auto"/>
          <w:kern w:val="2"/>
          <w:sz w:val="32"/>
          <w:szCs w:val="32"/>
          <w:lang w:val="en-US" w:eastAsia="zh-CN" w:bidi="ar-SA"/>
        </w:rPr>
        <w:fldChar w:fldCharType="begin"/>
      </w:r>
      <w:r>
        <w:rPr>
          <w:rFonts w:hint="eastAsia" w:ascii="Times New Roman" w:hAnsi="Times New Roman" w:eastAsia="方正仿宋_GBK" w:cs="仿宋_GB2312"/>
          <w:b w:val="0"/>
          <w:bCs/>
          <w:color w:val="auto"/>
          <w:kern w:val="2"/>
          <w:sz w:val="32"/>
          <w:szCs w:val="32"/>
          <w:lang w:val="en-US" w:eastAsia="zh-CN" w:bidi="ar-SA"/>
        </w:rPr>
        <w:instrText xml:space="preserve"> PAGEREF _Toc29253 \h </w:instrText>
      </w:r>
      <w:r>
        <w:rPr>
          <w:rFonts w:hint="eastAsia" w:ascii="Times New Roman" w:hAnsi="Times New Roman" w:eastAsia="方正仿宋_GBK" w:cs="仿宋_GB2312"/>
          <w:b w:val="0"/>
          <w:bCs/>
          <w:color w:val="auto"/>
          <w:kern w:val="2"/>
          <w:sz w:val="32"/>
          <w:szCs w:val="32"/>
          <w:lang w:val="en-US" w:eastAsia="zh-CN" w:bidi="ar-SA"/>
        </w:rPr>
        <w:fldChar w:fldCharType="separate"/>
      </w:r>
      <w:r>
        <w:rPr>
          <w:rFonts w:hint="eastAsia" w:ascii="Times New Roman" w:hAnsi="Times New Roman" w:eastAsia="方正仿宋_GBK" w:cs="仿宋_GB2312"/>
          <w:b w:val="0"/>
          <w:bCs/>
          <w:color w:val="auto"/>
          <w:kern w:val="2"/>
          <w:sz w:val="32"/>
          <w:szCs w:val="32"/>
          <w:lang w:val="en-US" w:eastAsia="zh-CN" w:bidi="ar-SA"/>
        </w:rPr>
        <w:t>7</w:t>
      </w:r>
      <w:r>
        <w:rPr>
          <w:rFonts w:hint="eastAsia" w:ascii="Times New Roman" w:hAnsi="Times New Roman" w:eastAsia="方正仿宋_GBK" w:cs="仿宋_GB2312"/>
          <w:b w:val="0"/>
          <w:bCs/>
          <w:color w:val="auto"/>
          <w:kern w:val="2"/>
          <w:sz w:val="32"/>
          <w:szCs w:val="32"/>
          <w:lang w:val="en-US" w:eastAsia="zh-CN" w:bidi="ar-SA"/>
        </w:rPr>
        <w:fldChar w:fldCharType="end"/>
      </w:r>
      <w:r>
        <w:rPr>
          <w:rFonts w:hint="eastAsia" w:ascii="Times New Roman" w:hAnsi="Times New Roman" w:eastAsia="方正仿宋_GBK" w:cs="仿宋_GB2312"/>
          <w:b w:val="0"/>
          <w:bCs/>
          <w:color w:val="auto"/>
          <w:kern w:val="2"/>
          <w:sz w:val="32"/>
          <w:szCs w:val="32"/>
          <w:lang w:val="en-US" w:eastAsia="zh-CN" w:bidi="ar-SA"/>
        </w:rPr>
        <w:fldChar w:fldCharType="end"/>
      </w:r>
    </w:p>
    <w:p w14:paraId="714ECDFF">
      <w:pPr>
        <w:pStyle w:val="5"/>
        <w:tabs>
          <w:tab w:val="right" w:leader="middleDot" w:pos="8306"/>
        </w:tabs>
        <w:jc w:val="left"/>
        <w:rPr>
          <w:rFonts w:hint="eastAsia" w:ascii="Times New Roman" w:hAnsi="Times New Roman" w:eastAsia="方正仿宋_GBK" w:cs="仿宋_GB2312"/>
          <w:b w:val="0"/>
          <w:bCs/>
          <w:color w:val="auto"/>
          <w:kern w:val="2"/>
          <w:sz w:val="32"/>
          <w:szCs w:val="32"/>
          <w:lang w:val="en-US" w:eastAsia="zh-CN" w:bidi="ar-SA"/>
        </w:rPr>
      </w:pPr>
      <w:r>
        <w:rPr>
          <w:rFonts w:hint="eastAsia" w:ascii="Times New Roman" w:hAnsi="Times New Roman" w:eastAsia="方正仿宋_GBK" w:cs="仿宋_GB2312"/>
          <w:b w:val="0"/>
          <w:bCs/>
          <w:color w:val="auto"/>
          <w:kern w:val="2"/>
          <w:sz w:val="32"/>
          <w:szCs w:val="32"/>
          <w:lang w:val="en-US" w:eastAsia="zh-CN" w:bidi="ar-SA"/>
        </w:rPr>
        <w:fldChar w:fldCharType="begin"/>
      </w:r>
      <w:r>
        <w:rPr>
          <w:rFonts w:hint="eastAsia" w:ascii="Times New Roman" w:hAnsi="Times New Roman" w:eastAsia="方正仿宋_GBK" w:cs="仿宋_GB2312"/>
          <w:b w:val="0"/>
          <w:bCs/>
          <w:color w:val="auto"/>
          <w:kern w:val="2"/>
          <w:sz w:val="32"/>
          <w:szCs w:val="32"/>
          <w:lang w:val="en-US" w:eastAsia="zh-CN" w:bidi="ar-SA"/>
        </w:rPr>
        <w:instrText xml:space="preserve"> HYPERLINK \l _Toc4078 </w:instrText>
      </w:r>
      <w:r>
        <w:rPr>
          <w:rFonts w:hint="eastAsia" w:ascii="Times New Roman" w:hAnsi="Times New Roman" w:eastAsia="方正仿宋_GBK" w:cs="仿宋_GB2312"/>
          <w:b w:val="0"/>
          <w:bCs/>
          <w:color w:val="auto"/>
          <w:kern w:val="2"/>
          <w:sz w:val="32"/>
          <w:szCs w:val="32"/>
          <w:lang w:val="en-US" w:eastAsia="zh-CN" w:bidi="ar-SA"/>
        </w:rPr>
        <w:fldChar w:fldCharType="separate"/>
      </w:r>
      <w:r>
        <w:rPr>
          <w:rFonts w:hint="eastAsia" w:ascii="Times New Roman" w:hAnsi="Times New Roman" w:eastAsia="方正仿宋_GBK" w:cs="仿宋_GB2312"/>
          <w:b w:val="0"/>
          <w:bCs/>
          <w:color w:val="auto"/>
          <w:kern w:val="2"/>
          <w:sz w:val="32"/>
          <w:szCs w:val="32"/>
          <w:lang w:val="en-US" w:eastAsia="zh-CN" w:bidi="ar-SA"/>
        </w:rPr>
        <w:t>（二）部门单位整体支出使用情况</w:t>
      </w:r>
      <w:r>
        <w:rPr>
          <w:rFonts w:hint="eastAsia" w:ascii="Times New Roman" w:hAnsi="Times New Roman" w:eastAsia="方正仿宋_GBK" w:cs="仿宋_GB2312"/>
          <w:b w:val="0"/>
          <w:bCs/>
          <w:color w:val="auto"/>
          <w:kern w:val="2"/>
          <w:sz w:val="32"/>
          <w:szCs w:val="32"/>
          <w:lang w:val="en-US" w:eastAsia="zh-CN" w:bidi="ar-SA"/>
        </w:rPr>
        <w:tab/>
      </w:r>
      <w:r>
        <w:rPr>
          <w:rFonts w:hint="eastAsia" w:ascii="Times New Roman" w:hAnsi="Times New Roman" w:eastAsia="方正仿宋_GBK" w:cs="仿宋_GB2312"/>
          <w:b w:val="0"/>
          <w:bCs/>
          <w:color w:val="auto"/>
          <w:kern w:val="2"/>
          <w:sz w:val="32"/>
          <w:szCs w:val="32"/>
          <w:lang w:val="en-US" w:eastAsia="zh-CN" w:bidi="ar-SA"/>
        </w:rPr>
        <w:fldChar w:fldCharType="begin"/>
      </w:r>
      <w:r>
        <w:rPr>
          <w:rFonts w:hint="eastAsia" w:ascii="Times New Roman" w:hAnsi="Times New Roman" w:eastAsia="方正仿宋_GBK" w:cs="仿宋_GB2312"/>
          <w:b w:val="0"/>
          <w:bCs/>
          <w:color w:val="auto"/>
          <w:kern w:val="2"/>
          <w:sz w:val="32"/>
          <w:szCs w:val="32"/>
          <w:lang w:val="en-US" w:eastAsia="zh-CN" w:bidi="ar-SA"/>
        </w:rPr>
        <w:instrText xml:space="preserve"> PAGEREF _Toc4078 \h </w:instrText>
      </w:r>
      <w:r>
        <w:rPr>
          <w:rFonts w:hint="eastAsia" w:ascii="Times New Roman" w:hAnsi="Times New Roman" w:eastAsia="方正仿宋_GBK" w:cs="仿宋_GB2312"/>
          <w:b w:val="0"/>
          <w:bCs/>
          <w:color w:val="auto"/>
          <w:kern w:val="2"/>
          <w:sz w:val="32"/>
          <w:szCs w:val="32"/>
          <w:lang w:val="en-US" w:eastAsia="zh-CN" w:bidi="ar-SA"/>
        </w:rPr>
        <w:fldChar w:fldCharType="separate"/>
      </w:r>
      <w:r>
        <w:rPr>
          <w:rFonts w:hint="eastAsia" w:ascii="Times New Roman" w:hAnsi="Times New Roman" w:eastAsia="方正仿宋_GBK" w:cs="仿宋_GB2312"/>
          <w:b w:val="0"/>
          <w:bCs/>
          <w:color w:val="auto"/>
          <w:kern w:val="2"/>
          <w:sz w:val="32"/>
          <w:szCs w:val="32"/>
          <w:lang w:val="en-US" w:eastAsia="zh-CN" w:bidi="ar-SA"/>
        </w:rPr>
        <w:t>9</w:t>
      </w:r>
      <w:r>
        <w:rPr>
          <w:rFonts w:hint="eastAsia" w:ascii="Times New Roman" w:hAnsi="Times New Roman" w:eastAsia="方正仿宋_GBK" w:cs="仿宋_GB2312"/>
          <w:b w:val="0"/>
          <w:bCs/>
          <w:color w:val="auto"/>
          <w:kern w:val="2"/>
          <w:sz w:val="32"/>
          <w:szCs w:val="32"/>
          <w:lang w:val="en-US" w:eastAsia="zh-CN" w:bidi="ar-SA"/>
        </w:rPr>
        <w:fldChar w:fldCharType="end"/>
      </w:r>
      <w:r>
        <w:rPr>
          <w:rFonts w:hint="eastAsia" w:ascii="Times New Roman" w:hAnsi="Times New Roman" w:eastAsia="方正仿宋_GBK" w:cs="仿宋_GB2312"/>
          <w:b w:val="0"/>
          <w:bCs/>
          <w:color w:val="auto"/>
          <w:kern w:val="2"/>
          <w:sz w:val="32"/>
          <w:szCs w:val="32"/>
          <w:lang w:val="en-US" w:eastAsia="zh-CN" w:bidi="ar-SA"/>
        </w:rPr>
        <w:fldChar w:fldCharType="end"/>
      </w:r>
    </w:p>
    <w:p w14:paraId="7A26D39A">
      <w:pPr>
        <w:pStyle w:val="4"/>
        <w:tabs>
          <w:tab w:val="right" w:leader="middleDot" w:pos="8306"/>
        </w:tabs>
        <w:jc w:val="left"/>
        <w:rPr>
          <w:rFonts w:hint="eastAsia" w:ascii="Times New Roman" w:hAnsi="Times New Roman" w:eastAsia="方正仿宋_GBK" w:cs="仿宋_GB2312"/>
          <w:b w:val="0"/>
          <w:bCs/>
          <w:color w:val="auto"/>
          <w:kern w:val="2"/>
          <w:sz w:val="32"/>
          <w:szCs w:val="32"/>
          <w:lang w:val="en-US" w:eastAsia="zh-CN" w:bidi="ar-SA"/>
        </w:rPr>
      </w:pPr>
      <w:r>
        <w:rPr>
          <w:rFonts w:hint="eastAsia" w:ascii="Times New Roman" w:hAnsi="Times New Roman" w:eastAsia="方正仿宋_GBK" w:cs="仿宋_GB2312"/>
          <w:b w:val="0"/>
          <w:bCs/>
          <w:color w:val="auto"/>
          <w:kern w:val="2"/>
          <w:sz w:val="32"/>
          <w:szCs w:val="32"/>
          <w:lang w:val="en-US" w:eastAsia="zh-CN" w:bidi="ar-SA"/>
        </w:rPr>
        <w:fldChar w:fldCharType="begin"/>
      </w:r>
      <w:r>
        <w:rPr>
          <w:rFonts w:hint="eastAsia" w:ascii="Times New Roman" w:hAnsi="Times New Roman" w:eastAsia="方正仿宋_GBK" w:cs="仿宋_GB2312"/>
          <w:b w:val="0"/>
          <w:bCs/>
          <w:color w:val="auto"/>
          <w:kern w:val="2"/>
          <w:sz w:val="32"/>
          <w:szCs w:val="32"/>
          <w:lang w:val="en-US" w:eastAsia="zh-CN" w:bidi="ar-SA"/>
        </w:rPr>
        <w:instrText xml:space="preserve"> HYPERLINK \l _Toc23861 </w:instrText>
      </w:r>
      <w:r>
        <w:rPr>
          <w:rFonts w:hint="eastAsia" w:ascii="Times New Roman" w:hAnsi="Times New Roman" w:eastAsia="方正仿宋_GBK" w:cs="仿宋_GB2312"/>
          <w:b w:val="0"/>
          <w:bCs/>
          <w:color w:val="auto"/>
          <w:kern w:val="2"/>
          <w:sz w:val="32"/>
          <w:szCs w:val="32"/>
          <w:lang w:val="en-US" w:eastAsia="zh-CN" w:bidi="ar-SA"/>
        </w:rPr>
        <w:fldChar w:fldCharType="separate"/>
      </w:r>
      <w:r>
        <w:rPr>
          <w:rFonts w:hint="eastAsia" w:ascii="Times New Roman" w:hAnsi="Times New Roman" w:eastAsia="方正仿宋_GBK" w:cs="仿宋_GB2312"/>
          <w:b w:val="0"/>
          <w:bCs/>
          <w:color w:val="auto"/>
          <w:kern w:val="2"/>
          <w:sz w:val="32"/>
          <w:szCs w:val="32"/>
          <w:lang w:val="en-US" w:eastAsia="zh-CN" w:bidi="ar-SA"/>
        </w:rPr>
        <w:t>三、部门单位整体支出绩效情况</w:t>
      </w:r>
      <w:r>
        <w:rPr>
          <w:rFonts w:hint="eastAsia" w:ascii="Times New Roman" w:hAnsi="Times New Roman" w:eastAsia="方正仿宋_GBK" w:cs="仿宋_GB2312"/>
          <w:b w:val="0"/>
          <w:bCs/>
          <w:color w:val="auto"/>
          <w:kern w:val="2"/>
          <w:sz w:val="32"/>
          <w:szCs w:val="32"/>
          <w:lang w:val="en-US" w:eastAsia="zh-CN" w:bidi="ar-SA"/>
        </w:rPr>
        <w:tab/>
      </w:r>
      <w:r>
        <w:rPr>
          <w:rFonts w:hint="eastAsia" w:ascii="Times New Roman" w:hAnsi="Times New Roman" w:eastAsia="方正仿宋_GBK" w:cs="仿宋_GB2312"/>
          <w:b w:val="0"/>
          <w:bCs/>
          <w:color w:val="auto"/>
          <w:kern w:val="2"/>
          <w:sz w:val="32"/>
          <w:szCs w:val="32"/>
          <w:lang w:val="en-US" w:eastAsia="zh-CN" w:bidi="ar-SA"/>
        </w:rPr>
        <w:fldChar w:fldCharType="begin"/>
      </w:r>
      <w:r>
        <w:rPr>
          <w:rFonts w:hint="eastAsia" w:ascii="Times New Roman" w:hAnsi="Times New Roman" w:eastAsia="方正仿宋_GBK" w:cs="仿宋_GB2312"/>
          <w:b w:val="0"/>
          <w:bCs/>
          <w:color w:val="auto"/>
          <w:kern w:val="2"/>
          <w:sz w:val="32"/>
          <w:szCs w:val="32"/>
          <w:lang w:val="en-US" w:eastAsia="zh-CN" w:bidi="ar-SA"/>
        </w:rPr>
        <w:instrText xml:space="preserve"> PAGEREF _Toc23861 \h </w:instrText>
      </w:r>
      <w:r>
        <w:rPr>
          <w:rFonts w:hint="eastAsia" w:ascii="Times New Roman" w:hAnsi="Times New Roman" w:eastAsia="方正仿宋_GBK" w:cs="仿宋_GB2312"/>
          <w:b w:val="0"/>
          <w:bCs/>
          <w:color w:val="auto"/>
          <w:kern w:val="2"/>
          <w:sz w:val="32"/>
          <w:szCs w:val="32"/>
          <w:lang w:val="en-US" w:eastAsia="zh-CN" w:bidi="ar-SA"/>
        </w:rPr>
        <w:fldChar w:fldCharType="separate"/>
      </w:r>
      <w:r>
        <w:rPr>
          <w:rFonts w:hint="eastAsia" w:ascii="Times New Roman" w:hAnsi="Times New Roman" w:eastAsia="方正仿宋_GBK" w:cs="仿宋_GB2312"/>
          <w:b w:val="0"/>
          <w:bCs/>
          <w:color w:val="auto"/>
          <w:kern w:val="2"/>
          <w:sz w:val="32"/>
          <w:szCs w:val="32"/>
          <w:lang w:val="en-US" w:eastAsia="zh-CN" w:bidi="ar-SA"/>
        </w:rPr>
        <w:t>12</w:t>
      </w:r>
      <w:r>
        <w:rPr>
          <w:rFonts w:hint="eastAsia" w:ascii="Times New Roman" w:hAnsi="Times New Roman" w:eastAsia="方正仿宋_GBK" w:cs="仿宋_GB2312"/>
          <w:b w:val="0"/>
          <w:bCs/>
          <w:color w:val="auto"/>
          <w:kern w:val="2"/>
          <w:sz w:val="32"/>
          <w:szCs w:val="32"/>
          <w:lang w:val="en-US" w:eastAsia="zh-CN" w:bidi="ar-SA"/>
        </w:rPr>
        <w:fldChar w:fldCharType="end"/>
      </w:r>
      <w:r>
        <w:rPr>
          <w:rFonts w:hint="eastAsia" w:ascii="Times New Roman" w:hAnsi="Times New Roman" w:eastAsia="方正仿宋_GBK" w:cs="仿宋_GB2312"/>
          <w:b w:val="0"/>
          <w:bCs/>
          <w:color w:val="auto"/>
          <w:kern w:val="2"/>
          <w:sz w:val="32"/>
          <w:szCs w:val="32"/>
          <w:lang w:val="en-US" w:eastAsia="zh-CN" w:bidi="ar-SA"/>
        </w:rPr>
        <w:fldChar w:fldCharType="end"/>
      </w:r>
    </w:p>
    <w:p w14:paraId="6FEFA980">
      <w:pPr>
        <w:pStyle w:val="5"/>
        <w:tabs>
          <w:tab w:val="right" w:leader="middleDot" w:pos="8306"/>
        </w:tabs>
        <w:jc w:val="left"/>
        <w:rPr>
          <w:rFonts w:hint="eastAsia" w:ascii="Times New Roman" w:hAnsi="Times New Roman" w:eastAsia="方正仿宋_GBK" w:cs="仿宋_GB2312"/>
          <w:b w:val="0"/>
          <w:bCs/>
          <w:color w:val="auto"/>
          <w:kern w:val="2"/>
          <w:sz w:val="32"/>
          <w:szCs w:val="32"/>
          <w:lang w:val="en-US" w:eastAsia="zh-CN" w:bidi="ar-SA"/>
        </w:rPr>
      </w:pPr>
      <w:r>
        <w:rPr>
          <w:rFonts w:hint="eastAsia" w:ascii="Times New Roman" w:hAnsi="Times New Roman" w:eastAsia="方正仿宋_GBK" w:cs="仿宋_GB2312"/>
          <w:b w:val="0"/>
          <w:bCs/>
          <w:color w:val="auto"/>
          <w:kern w:val="2"/>
          <w:sz w:val="32"/>
          <w:szCs w:val="32"/>
          <w:lang w:val="en-US" w:eastAsia="zh-CN" w:bidi="ar-SA"/>
        </w:rPr>
        <w:fldChar w:fldCharType="begin"/>
      </w:r>
      <w:r>
        <w:rPr>
          <w:rFonts w:hint="eastAsia" w:ascii="Times New Roman" w:hAnsi="Times New Roman" w:eastAsia="方正仿宋_GBK" w:cs="仿宋_GB2312"/>
          <w:b w:val="0"/>
          <w:bCs/>
          <w:color w:val="auto"/>
          <w:kern w:val="2"/>
          <w:sz w:val="32"/>
          <w:szCs w:val="32"/>
          <w:lang w:val="en-US" w:eastAsia="zh-CN" w:bidi="ar-SA"/>
        </w:rPr>
        <w:instrText xml:space="preserve"> HYPERLINK \l _Toc32392 </w:instrText>
      </w:r>
      <w:r>
        <w:rPr>
          <w:rFonts w:hint="eastAsia" w:ascii="Times New Roman" w:hAnsi="Times New Roman" w:eastAsia="方正仿宋_GBK" w:cs="仿宋_GB2312"/>
          <w:b w:val="0"/>
          <w:bCs/>
          <w:color w:val="auto"/>
          <w:kern w:val="2"/>
          <w:sz w:val="32"/>
          <w:szCs w:val="32"/>
          <w:lang w:val="en-US" w:eastAsia="zh-CN" w:bidi="ar-SA"/>
        </w:rPr>
        <w:fldChar w:fldCharType="separate"/>
      </w:r>
      <w:r>
        <w:rPr>
          <w:rFonts w:hint="eastAsia" w:ascii="Times New Roman" w:hAnsi="Times New Roman" w:eastAsia="方正仿宋_GBK" w:cs="仿宋_GB2312"/>
          <w:b w:val="0"/>
          <w:bCs/>
          <w:color w:val="auto"/>
          <w:kern w:val="2"/>
          <w:sz w:val="32"/>
          <w:szCs w:val="32"/>
          <w:lang w:val="en-US" w:eastAsia="zh-CN" w:bidi="ar-SA"/>
        </w:rPr>
        <w:t>（一）年度绩效目标完成情况</w:t>
      </w:r>
      <w:r>
        <w:rPr>
          <w:rFonts w:hint="eastAsia" w:ascii="Times New Roman" w:hAnsi="Times New Roman" w:eastAsia="方正仿宋_GBK" w:cs="仿宋_GB2312"/>
          <w:b w:val="0"/>
          <w:bCs/>
          <w:color w:val="auto"/>
          <w:kern w:val="2"/>
          <w:sz w:val="32"/>
          <w:szCs w:val="32"/>
          <w:lang w:val="en-US" w:eastAsia="zh-CN" w:bidi="ar-SA"/>
        </w:rPr>
        <w:tab/>
      </w:r>
      <w:r>
        <w:rPr>
          <w:rFonts w:hint="eastAsia" w:ascii="Times New Roman" w:hAnsi="Times New Roman" w:eastAsia="方正仿宋_GBK" w:cs="仿宋_GB2312"/>
          <w:b w:val="0"/>
          <w:bCs/>
          <w:color w:val="auto"/>
          <w:kern w:val="2"/>
          <w:sz w:val="32"/>
          <w:szCs w:val="32"/>
          <w:lang w:val="en-US" w:eastAsia="zh-CN" w:bidi="ar-SA"/>
        </w:rPr>
        <w:fldChar w:fldCharType="begin"/>
      </w:r>
      <w:r>
        <w:rPr>
          <w:rFonts w:hint="eastAsia" w:ascii="Times New Roman" w:hAnsi="Times New Roman" w:eastAsia="方正仿宋_GBK" w:cs="仿宋_GB2312"/>
          <w:b w:val="0"/>
          <w:bCs/>
          <w:color w:val="auto"/>
          <w:kern w:val="2"/>
          <w:sz w:val="32"/>
          <w:szCs w:val="32"/>
          <w:lang w:val="en-US" w:eastAsia="zh-CN" w:bidi="ar-SA"/>
        </w:rPr>
        <w:instrText xml:space="preserve"> PAGEREF _Toc32392 \h </w:instrText>
      </w:r>
      <w:r>
        <w:rPr>
          <w:rFonts w:hint="eastAsia" w:ascii="Times New Roman" w:hAnsi="Times New Roman" w:eastAsia="方正仿宋_GBK" w:cs="仿宋_GB2312"/>
          <w:b w:val="0"/>
          <w:bCs/>
          <w:color w:val="auto"/>
          <w:kern w:val="2"/>
          <w:sz w:val="32"/>
          <w:szCs w:val="32"/>
          <w:lang w:val="en-US" w:eastAsia="zh-CN" w:bidi="ar-SA"/>
        </w:rPr>
        <w:fldChar w:fldCharType="separate"/>
      </w:r>
      <w:r>
        <w:rPr>
          <w:rFonts w:hint="eastAsia" w:ascii="Times New Roman" w:hAnsi="Times New Roman" w:eastAsia="方正仿宋_GBK" w:cs="仿宋_GB2312"/>
          <w:b w:val="0"/>
          <w:bCs/>
          <w:color w:val="auto"/>
          <w:kern w:val="2"/>
          <w:sz w:val="32"/>
          <w:szCs w:val="32"/>
          <w:lang w:val="en-US" w:eastAsia="zh-CN" w:bidi="ar-SA"/>
        </w:rPr>
        <w:t>12</w:t>
      </w:r>
      <w:r>
        <w:rPr>
          <w:rFonts w:hint="eastAsia" w:ascii="Times New Roman" w:hAnsi="Times New Roman" w:eastAsia="方正仿宋_GBK" w:cs="仿宋_GB2312"/>
          <w:b w:val="0"/>
          <w:bCs/>
          <w:color w:val="auto"/>
          <w:kern w:val="2"/>
          <w:sz w:val="32"/>
          <w:szCs w:val="32"/>
          <w:lang w:val="en-US" w:eastAsia="zh-CN" w:bidi="ar-SA"/>
        </w:rPr>
        <w:fldChar w:fldCharType="end"/>
      </w:r>
      <w:r>
        <w:rPr>
          <w:rFonts w:hint="eastAsia" w:ascii="Times New Roman" w:hAnsi="Times New Roman" w:eastAsia="方正仿宋_GBK" w:cs="仿宋_GB2312"/>
          <w:b w:val="0"/>
          <w:bCs/>
          <w:color w:val="auto"/>
          <w:kern w:val="2"/>
          <w:sz w:val="32"/>
          <w:szCs w:val="32"/>
          <w:lang w:val="en-US" w:eastAsia="zh-CN" w:bidi="ar-SA"/>
        </w:rPr>
        <w:fldChar w:fldCharType="end"/>
      </w:r>
    </w:p>
    <w:p w14:paraId="11C0832A">
      <w:pPr>
        <w:pStyle w:val="5"/>
        <w:tabs>
          <w:tab w:val="right" w:leader="middleDot" w:pos="8306"/>
        </w:tabs>
        <w:jc w:val="left"/>
        <w:rPr>
          <w:rFonts w:hint="eastAsia" w:ascii="Times New Roman" w:hAnsi="Times New Roman" w:eastAsia="方正仿宋_GBK" w:cs="仿宋_GB2312"/>
          <w:b w:val="0"/>
          <w:bCs/>
          <w:color w:val="auto"/>
          <w:kern w:val="2"/>
          <w:sz w:val="32"/>
          <w:szCs w:val="32"/>
          <w:lang w:val="en-US" w:eastAsia="zh-CN" w:bidi="ar-SA"/>
        </w:rPr>
      </w:pPr>
      <w:r>
        <w:rPr>
          <w:rFonts w:hint="eastAsia" w:ascii="Times New Roman" w:hAnsi="Times New Roman" w:eastAsia="方正仿宋_GBK" w:cs="仿宋_GB2312"/>
          <w:b w:val="0"/>
          <w:bCs/>
          <w:color w:val="auto"/>
          <w:kern w:val="2"/>
          <w:sz w:val="32"/>
          <w:szCs w:val="32"/>
          <w:lang w:val="en-US" w:eastAsia="zh-CN" w:bidi="ar-SA"/>
        </w:rPr>
        <w:fldChar w:fldCharType="begin"/>
      </w:r>
      <w:r>
        <w:rPr>
          <w:rFonts w:hint="eastAsia" w:ascii="Times New Roman" w:hAnsi="Times New Roman" w:eastAsia="方正仿宋_GBK" w:cs="仿宋_GB2312"/>
          <w:b w:val="0"/>
          <w:bCs/>
          <w:color w:val="auto"/>
          <w:kern w:val="2"/>
          <w:sz w:val="32"/>
          <w:szCs w:val="32"/>
          <w:lang w:val="en-US" w:eastAsia="zh-CN" w:bidi="ar-SA"/>
        </w:rPr>
        <w:instrText xml:space="preserve"> HYPERLINK \l _Toc17541 </w:instrText>
      </w:r>
      <w:r>
        <w:rPr>
          <w:rFonts w:hint="eastAsia" w:ascii="Times New Roman" w:hAnsi="Times New Roman" w:eastAsia="方正仿宋_GBK" w:cs="仿宋_GB2312"/>
          <w:b w:val="0"/>
          <w:bCs/>
          <w:color w:val="auto"/>
          <w:kern w:val="2"/>
          <w:sz w:val="32"/>
          <w:szCs w:val="32"/>
          <w:lang w:val="en-US" w:eastAsia="zh-CN" w:bidi="ar-SA"/>
        </w:rPr>
        <w:fldChar w:fldCharType="separate"/>
      </w:r>
      <w:r>
        <w:rPr>
          <w:rFonts w:hint="eastAsia" w:ascii="Times New Roman" w:hAnsi="Times New Roman" w:eastAsia="方正仿宋_GBK" w:cs="仿宋_GB2312"/>
          <w:b w:val="0"/>
          <w:bCs/>
          <w:color w:val="auto"/>
          <w:kern w:val="2"/>
          <w:sz w:val="32"/>
          <w:szCs w:val="32"/>
          <w:lang w:val="en-US" w:eastAsia="zh-CN" w:bidi="ar-SA"/>
        </w:rPr>
        <w:t>（二）部门单位整体支出绩效指标完成情况分析</w:t>
      </w:r>
      <w:r>
        <w:rPr>
          <w:rFonts w:hint="eastAsia" w:ascii="Times New Roman" w:hAnsi="Times New Roman" w:eastAsia="方正仿宋_GBK" w:cs="仿宋_GB2312"/>
          <w:b w:val="0"/>
          <w:bCs/>
          <w:color w:val="auto"/>
          <w:kern w:val="2"/>
          <w:sz w:val="32"/>
          <w:szCs w:val="32"/>
          <w:lang w:val="en-US" w:eastAsia="zh-CN" w:bidi="ar-SA"/>
        </w:rPr>
        <w:tab/>
      </w:r>
      <w:r>
        <w:rPr>
          <w:rFonts w:hint="eastAsia" w:ascii="Times New Roman" w:hAnsi="Times New Roman" w:eastAsia="方正仿宋_GBK" w:cs="仿宋_GB2312"/>
          <w:b w:val="0"/>
          <w:bCs/>
          <w:color w:val="auto"/>
          <w:kern w:val="2"/>
          <w:sz w:val="32"/>
          <w:szCs w:val="32"/>
          <w:lang w:val="en-US" w:eastAsia="zh-CN" w:bidi="ar-SA"/>
        </w:rPr>
        <w:fldChar w:fldCharType="begin"/>
      </w:r>
      <w:r>
        <w:rPr>
          <w:rFonts w:hint="eastAsia" w:ascii="Times New Roman" w:hAnsi="Times New Roman" w:eastAsia="方正仿宋_GBK" w:cs="仿宋_GB2312"/>
          <w:b w:val="0"/>
          <w:bCs/>
          <w:color w:val="auto"/>
          <w:kern w:val="2"/>
          <w:sz w:val="32"/>
          <w:szCs w:val="32"/>
          <w:lang w:val="en-US" w:eastAsia="zh-CN" w:bidi="ar-SA"/>
        </w:rPr>
        <w:instrText xml:space="preserve"> PAGEREF _Toc17541 \h </w:instrText>
      </w:r>
      <w:r>
        <w:rPr>
          <w:rFonts w:hint="eastAsia" w:ascii="Times New Roman" w:hAnsi="Times New Roman" w:eastAsia="方正仿宋_GBK" w:cs="仿宋_GB2312"/>
          <w:b w:val="0"/>
          <w:bCs/>
          <w:color w:val="auto"/>
          <w:kern w:val="2"/>
          <w:sz w:val="32"/>
          <w:szCs w:val="32"/>
          <w:lang w:val="en-US" w:eastAsia="zh-CN" w:bidi="ar-SA"/>
        </w:rPr>
        <w:fldChar w:fldCharType="separate"/>
      </w:r>
      <w:r>
        <w:rPr>
          <w:rFonts w:hint="eastAsia" w:ascii="Times New Roman" w:hAnsi="Times New Roman" w:eastAsia="方正仿宋_GBK" w:cs="仿宋_GB2312"/>
          <w:b w:val="0"/>
          <w:bCs/>
          <w:color w:val="auto"/>
          <w:kern w:val="2"/>
          <w:sz w:val="32"/>
          <w:szCs w:val="32"/>
          <w:lang w:val="en-US" w:eastAsia="zh-CN" w:bidi="ar-SA"/>
        </w:rPr>
        <w:t>13</w:t>
      </w:r>
      <w:r>
        <w:rPr>
          <w:rFonts w:hint="eastAsia" w:ascii="Times New Roman" w:hAnsi="Times New Roman" w:eastAsia="方正仿宋_GBK" w:cs="仿宋_GB2312"/>
          <w:b w:val="0"/>
          <w:bCs/>
          <w:color w:val="auto"/>
          <w:kern w:val="2"/>
          <w:sz w:val="32"/>
          <w:szCs w:val="32"/>
          <w:lang w:val="en-US" w:eastAsia="zh-CN" w:bidi="ar-SA"/>
        </w:rPr>
        <w:fldChar w:fldCharType="end"/>
      </w:r>
      <w:r>
        <w:rPr>
          <w:rFonts w:hint="eastAsia" w:ascii="Times New Roman" w:hAnsi="Times New Roman" w:eastAsia="方正仿宋_GBK" w:cs="仿宋_GB2312"/>
          <w:b w:val="0"/>
          <w:bCs/>
          <w:color w:val="auto"/>
          <w:kern w:val="2"/>
          <w:sz w:val="32"/>
          <w:szCs w:val="32"/>
          <w:lang w:val="en-US" w:eastAsia="zh-CN" w:bidi="ar-SA"/>
        </w:rPr>
        <w:fldChar w:fldCharType="end"/>
      </w:r>
    </w:p>
    <w:p w14:paraId="70115CA1">
      <w:pPr>
        <w:pStyle w:val="4"/>
        <w:tabs>
          <w:tab w:val="right" w:leader="middleDot" w:pos="8306"/>
        </w:tabs>
        <w:jc w:val="left"/>
        <w:rPr>
          <w:rFonts w:hint="eastAsia" w:ascii="Times New Roman" w:hAnsi="Times New Roman" w:eastAsia="方正仿宋_GBK" w:cs="仿宋_GB2312"/>
          <w:b w:val="0"/>
          <w:bCs/>
          <w:color w:val="auto"/>
          <w:kern w:val="2"/>
          <w:sz w:val="32"/>
          <w:szCs w:val="32"/>
          <w:lang w:val="en-US" w:eastAsia="zh-CN" w:bidi="ar-SA"/>
        </w:rPr>
      </w:pPr>
      <w:r>
        <w:rPr>
          <w:rFonts w:hint="eastAsia" w:ascii="Times New Roman" w:hAnsi="Times New Roman" w:eastAsia="方正仿宋_GBK" w:cs="仿宋_GB2312"/>
          <w:b w:val="0"/>
          <w:bCs/>
          <w:color w:val="auto"/>
          <w:kern w:val="2"/>
          <w:sz w:val="32"/>
          <w:szCs w:val="32"/>
          <w:lang w:val="en-US" w:eastAsia="zh-CN" w:bidi="ar-SA"/>
        </w:rPr>
        <w:fldChar w:fldCharType="begin"/>
      </w:r>
      <w:r>
        <w:rPr>
          <w:rFonts w:hint="eastAsia" w:ascii="Times New Roman" w:hAnsi="Times New Roman" w:eastAsia="方正仿宋_GBK" w:cs="仿宋_GB2312"/>
          <w:b w:val="0"/>
          <w:bCs/>
          <w:color w:val="auto"/>
          <w:kern w:val="2"/>
          <w:sz w:val="32"/>
          <w:szCs w:val="32"/>
          <w:lang w:val="en-US" w:eastAsia="zh-CN" w:bidi="ar-SA"/>
        </w:rPr>
        <w:instrText xml:space="preserve"> HYPERLINK \l _Toc4252 </w:instrText>
      </w:r>
      <w:r>
        <w:rPr>
          <w:rFonts w:hint="eastAsia" w:ascii="Times New Roman" w:hAnsi="Times New Roman" w:eastAsia="方正仿宋_GBK" w:cs="仿宋_GB2312"/>
          <w:b w:val="0"/>
          <w:bCs/>
          <w:color w:val="auto"/>
          <w:kern w:val="2"/>
          <w:sz w:val="32"/>
          <w:szCs w:val="32"/>
          <w:lang w:val="en-US" w:eastAsia="zh-CN" w:bidi="ar-SA"/>
        </w:rPr>
        <w:fldChar w:fldCharType="separate"/>
      </w:r>
      <w:r>
        <w:rPr>
          <w:rFonts w:hint="eastAsia" w:ascii="Times New Roman" w:hAnsi="Times New Roman" w:eastAsia="方正仿宋_GBK" w:cs="仿宋_GB2312"/>
          <w:b w:val="0"/>
          <w:bCs/>
          <w:color w:val="auto"/>
          <w:kern w:val="2"/>
          <w:sz w:val="32"/>
          <w:szCs w:val="32"/>
          <w:lang w:val="en-US" w:eastAsia="zh-CN" w:bidi="ar-SA"/>
        </w:rPr>
        <w:t>四、评价结论</w:t>
      </w:r>
      <w:r>
        <w:rPr>
          <w:rFonts w:hint="eastAsia" w:ascii="Times New Roman" w:hAnsi="Times New Roman" w:eastAsia="方正仿宋_GBK" w:cs="仿宋_GB2312"/>
          <w:b w:val="0"/>
          <w:bCs/>
          <w:color w:val="auto"/>
          <w:kern w:val="2"/>
          <w:sz w:val="32"/>
          <w:szCs w:val="32"/>
          <w:lang w:val="en-US" w:eastAsia="zh-CN" w:bidi="ar-SA"/>
        </w:rPr>
        <w:tab/>
      </w:r>
      <w:r>
        <w:rPr>
          <w:rFonts w:hint="eastAsia" w:ascii="Times New Roman" w:hAnsi="Times New Roman" w:eastAsia="方正仿宋_GBK" w:cs="仿宋_GB2312"/>
          <w:b w:val="0"/>
          <w:bCs/>
          <w:color w:val="auto"/>
          <w:kern w:val="2"/>
          <w:sz w:val="32"/>
          <w:szCs w:val="32"/>
          <w:lang w:val="en-US" w:eastAsia="zh-CN" w:bidi="ar-SA"/>
        </w:rPr>
        <w:fldChar w:fldCharType="begin"/>
      </w:r>
      <w:r>
        <w:rPr>
          <w:rFonts w:hint="eastAsia" w:ascii="Times New Roman" w:hAnsi="Times New Roman" w:eastAsia="方正仿宋_GBK" w:cs="仿宋_GB2312"/>
          <w:b w:val="0"/>
          <w:bCs/>
          <w:color w:val="auto"/>
          <w:kern w:val="2"/>
          <w:sz w:val="32"/>
          <w:szCs w:val="32"/>
          <w:lang w:val="en-US" w:eastAsia="zh-CN" w:bidi="ar-SA"/>
        </w:rPr>
        <w:instrText xml:space="preserve"> PAGEREF _Toc4252 \h </w:instrText>
      </w:r>
      <w:r>
        <w:rPr>
          <w:rFonts w:hint="eastAsia" w:ascii="Times New Roman" w:hAnsi="Times New Roman" w:eastAsia="方正仿宋_GBK" w:cs="仿宋_GB2312"/>
          <w:b w:val="0"/>
          <w:bCs/>
          <w:color w:val="auto"/>
          <w:kern w:val="2"/>
          <w:sz w:val="32"/>
          <w:szCs w:val="32"/>
          <w:lang w:val="en-US" w:eastAsia="zh-CN" w:bidi="ar-SA"/>
        </w:rPr>
        <w:fldChar w:fldCharType="separate"/>
      </w:r>
      <w:r>
        <w:rPr>
          <w:rFonts w:hint="eastAsia" w:ascii="Times New Roman" w:hAnsi="Times New Roman" w:eastAsia="方正仿宋_GBK" w:cs="仿宋_GB2312"/>
          <w:b w:val="0"/>
          <w:bCs/>
          <w:color w:val="auto"/>
          <w:kern w:val="2"/>
          <w:sz w:val="32"/>
          <w:szCs w:val="32"/>
          <w:lang w:val="en-US" w:eastAsia="zh-CN" w:bidi="ar-SA"/>
        </w:rPr>
        <w:t>18</w:t>
      </w:r>
      <w:r>
        <w:rPr>
          <w:rFonts w:hint="eastAsia" w:ascii="Times New Roman" w:hAnsi="Times New Roman" w:eastAsia="方正仿宋_GBK" w:cs="仿宋_GB2312"/>
          <w:b w:val="0"/>
          <w:bCs/>
          <w:color w:val="auto"/>
          <w:kern w:val="2"/>
          <w:sz w:val="32"/>
          <w:szCs w:val="32"/>
          <w:lang w:val="en-US" w:eastAsia="zh-CN" w:bidi="ar-SA"/>
        </w:rPr>
        <w:fldChar w:fldCharType="end"/>
      </w:r>
      <w:r>
        <w:rPr>
          <w:rFonts w:hint="eastAsia" w:ascii="Times New Roman" w:hAnsi="Times New Roman" w:eastAsia="方正仿宋_GBK" w:cs="仿宋_GB2312"/>
          <w:b w:val="0"/>
          <w:bCs/>
          <w:color w:val="auto"/>
          <w:kern w:val="2"/>
          <w:sz w:val="32"/>
          <w:szCs w:val="32"/>
          <w:lang w:val="en-US" w:eastAsia="zh-CN" w:bidi="ar-SA"/>
        </w:rPr>
        <w:fldChar w:fldCharType="end"/>
      </w:r>
    </w:p>
    <w:p w14:paraId="158DB5AE">
      <w:pPr>
        <w:pStyle w:val="4"/>
        <w:tabs>
          <w:tab w:val="right" w:leader="middleDot" w:pos="8306"/>
        </w:tabs>
        <w:jc w:val="left"/>
        <w:rPr>
          <w:rFonts w:hint="eastAsia" w:ascii="Times New Roman" w:hAnsi="Times New Roman" w:eastAsia="方正仿宋_GBK" w:cs="仿宋_GB2312"/>
          <w:b w:val="0"/>
          <w:bCs/>
          <w:color w:val="auto"/>
          <w:kern w:val="2"/>
          <w:sz w:val="32"/>
          <w:szCs w:val="32"/>
          <w:lang w:val="en-US" w:eastAsia="zh-CN" w:bidi="ar-SA"/>
        </w:rPr>
      </w:pPr>
      <w:r>
        <w:rPr>
          <w:rFonts w:hint="eastAsia" w:ascii="Times New Roman" w:hAnsi="Times New Roman" w:eastAsia="方正仿宋_GBK" w:cs="仿宋_GB2312"/>
          <w:b w:val="0"/>
          <w:bCs/>
          <w:color w:val="auto"/>
          <w:kern w:val="2"/>
          <w:sz w:val="32"/>
          <w:szCs w:val="32"/>
          <w:lang w:val="en-US" w:eastAsia="zh-CN" w:bidi="ar-SA"/>
        </w:rPr>
        <w:fldChar w:fldCharType="begin"/>
      </w:r>
      <w:r>
        <w:rPr>
          <w:rFonts w:hint="eastAsia" w:ascii="Times New Roman" w:hAnsi="Times New Roman" w:eastAsia="方正仿宋_GBK" w:cs="仿宋_GB2312"/>
          <w:b w:val="0"/>
          <w:bCs/>
          <w:color w:val="auto"/>
          <w:kern w:val="2"/>
          <w:sz w:val="32"/>
          <w:szCs w:val="32"/>
          <w:lang w:val="en-US" w:eastAsia="zh-CN" w:bidi="ar-SA"/>
        </w:rPr>
        <w:instrText xml:space="preserve"> HYPERLINK \l _Toc15967 </w:instrText>
      </w:r>
      <w:r>
        <w:rPr>
          <w:rFonts w:hint="eastAsia" w:ascii="Times New Roman" w:hAnsi="Times New Roman" w:eastAsia="方正仿宋_GBK" w:cs="仿宋_GB2312"/>
          <w:b w:val="0"/>
          <w:bCs/>
          <w:color w:val="auto"/>
          <w:kern w:val="2"/>
          <w:sz w:val="32"/>
          <w:szCs w:val="32"/>
          <w:lang w:val="en-US" w:eastAsia="zh-CN" w:bidi="ar-SA"/>
        </w:rPr>
        <w:fldChar w:fldCharType="separate"/>
      </w:r>
      <w:r>
        <w:rPr>
          <w:rFonts w:hint="eastAsia" w:ascii="Times New Roman" w:hAnsi="Times New Roman" w:eastAsia="方正仿宋_GBK" w:cs="仿宋_GB2312"/>
          <w:b w:val="0"/>
          <w:bCs/>
          <w:color w:val="auto"/>
          <w:kern w:val="2"/>
          <w:sz w:val="32"/>
          <w:szCs w:val="32"/>
          <w:lang w:val="en-US" w:eastAsia="zh-CN" w:bidi="ar-SA"/>
        </w:rPr>
        <w:t>五、存在的主要问题</w:t>
      </w:r>
      <w:r>
        <w:rPr>
          <w:rFonts w:hint="eastAsia" w:ascii="Times New Roman" w:hAnsi="Times New Roman" w:eastAsia="方正仿宋_GBK" w:cs="仿宋_GB2312"/>
          <w:b w:val="0"/>
          <w:bCs/>
          <w:color w:val="auto"/>
          <w:kern w:val="2"/>
          <w:sz w:val="32"/>
          <w:szCs w:val="32"/>
          <w:lang w:val="en-US" w:eastAsia="zh-CN" w:bidi="ar-SA"/>
        </w:rPr>
        <w:tab/>
      </w:r>
      <w:r>
        <w:rPr>
          <w:rFonts w:hint="eastAsia" w:ascii="Times New Roman" w:hAnsi="Times New Roman" w:eastAsia="方正仿宋_GBK" w:cs="仿宋_GB2312"/>
          <w:b w:val="0"/>
          <w:bCs/>
          <w:color w:val="auto"/>
          <w:kern w:val="2"/>
          <w:sz w:val="32"/>
          <w:szCs w:val="32"/>
          <w:lang w:val="en-US" w:eastAsia="zh-CN" w:bidi="ar-SA"/>
        </w:rPr>
        <w:fldChar w:fldCharType="begin"/>
      </w:r>
      <w:r>
        <w:rPr>
          <w:rFonts w:hint="eastAsia" w:ascii="Times New Roman" w:hAnsi="Times New Roman" w:eastAsia="方正仿宋_GBK" w:cs="仿宋_GB2312"/>
          <w:b w:val="0"/>
          <w:bCs/>
          <w:color w:val="auto"/>
          <w:kern w:val="2"/>
          <w:sz w:val="32"/>
          <w:szCs w:val="32"/>
          <w:lang w:val="en-US" w:eastAsia="zh-CN" w:bidi="ar-SA"/>
        </w:rPr>
        <w:instrText xml:space="preserve"> PAGEREF _Toc15967 \h </w:instrText>
      </w:r>
      <w:r>
        <w:rPr>
          <w:rFonts w:hint="eastAsia" w:ascii="Times New Roman" w:hAnsi="Times New Roman" w:eastAsia="方正仿宋_GBK" w:cs="仿宋_GB2312"/>
          <w:b w:val="0"/>
          <w:bCs/>
          <w:color w:val="auto"/>
          <w:kern w:val="2"/>
          <w:sz w:val="32"/>
          <w:szCs w:val="32"/>
          <w:lang w:val="en-US" w:eastAsia="zh-CN" w:bidi="ar-SA"/>
        </w:rPr>
        <w:fldChar w:fldCharType="separate"/>
      </w:r>
      <w:r>
        <w:rPr>
          <w:rFonts w:hint="eastAsia" w:ascii="Times New Roman" w:hAnsi="Times New Roman" w:eastAsia="方正仿宋_GBK" w:cs="仿宋_GB2312"/>
          <w:b w:val="0"/>
          <w:bCs/>
          <w:color w:val="auto"/>
          <w:kern w:val="2"/>
          <w:sz w:val="32"/>
          <w:szCs w:val="32"/>
          <w:lang w:val="en-US" w:eastAsia="zh-CN" w:bidi="ar-SA"/>
        </w:rPr>
        <w:t>19</w:t>
      </w:r>
      <w:r>
        <w:rPr>
          <w:rFonts w:hint="eastAsia" w:ascii="Times New Roman" w:hAnsi="Times New Roman" w:eastAsia="方正仿宋_GBK" w:cs="仿宋_GB2312"/>
          <w:b w:val="0"/>
          <w:bCs/>
          <w:color w:val="auto"/>
          <w:kern w:val="2"/>
          <w:sz w:val="32"/>
          <w:szCs w:val="32"/>
          <w:lang w:val="en-US" w:eastAsia="zh-CN" w:bidi="ar-SA"/>
        </w:rPr>
        <w:fldChar w:fldCharType="end"/>
      </w:r>
      <w:r>
        <w:rPr>
          <w:rFonts w:hint="eastAsia" w:ascii="Times New Roman" w:hAnsi="Times New Roman" w:eastAsia="方正仿宋_GBK" w:cs="仿宋_GB2312"/>
          <w:b w:val="0"/>
          <w:bCs/>
          <w:color w:val="auto"/>
          <w:kern w:val="2"/>
          <w:sz w:val="32"/>
          <w:szCs w:val="32"/>
          <w:lang w:val="en-US" w:eastAsia="zh-CN" w:bidi="ar-SA"/>
        </w:rPr>
        <w:fldChar w:fldCharType="end"/>
      </w:r>
    </w:p>
    <w:p w14:paraId="5A15B75B">
      <w:pPr>
        <w:pStyle w:val="4"/>
        <w:tabs>
          <w:tab w:val="right" w:leader="middleDot" w:pos="8306"/>
        </w:tabs>
        <w:jc w:val="left"/>
        <w:rPr>
          <w:rFonts w:hint="eastAsia" w:ascii="Times New Roman" w:hAnsi="Times New Roman" w:eastAsia="方正仿宋_GBK" w:cs="仿宋_GB2312"/>
          <w:b w:val="0"/>
          <w:bCs/>
          <w:color w:val="auto"/>
          <w:kern w:val="2"/>
          <w:sz w:val="32"/>
          <w:szCs w:val="32"/>
          <w:lang w:val="en-US" w:eastAsia="zh-CN" w:bidi="ar-SA"/>
        </w:rPr>
      </w:pPr>
      <w:r>
        <w:rPr>
          <w:rFonts w:hint="eastAsia" w:ascii="Times New Roman" w:hAnsi="Times New Roman" w:eastAsia="方正仿宋_GBK" w:cs="仿宋_GB2312"/>
          <w:b w:val="0"/>
          <w:bCs/>
          <w:color w:val="auto"/>
          <w:kern w:val="2"/>
          <w:sz w:val="32"/>
          <w:szCs w:val="32"/>
          <w:lang w:val="en-US" w:eastAsia="zh-CN" w:bidi="ar-SA"/>
        </w:rPr>
        <w:fldChar w:fldCharType="begin"/>
      </w:r>
      <w:r>
        <w:rPr>
          <w:rFonts w:hint="eastAsia" w:ascii="Times New Roman" w:hAnsi="Times New Roman" w:eastAsia="方正仿宋_GBK" w:cs="仿宋_GB2312"/>
          <w:b w:val="0"/>
          <w:bCs/>
          <w:color w:val="auto"/>
          <w:kern w:val="2"/>
          <w:sz w:val="32"/>
          <w:szCs w:val="32"/>
          <w:lang w:val="en-US" w:eastAsia="zh-CN" w:bidi="ar-SA"/>
        </w:rPr>
        <w:instrText xml:space="preserve"> HYPERLINK \l _Toc17382 </w:instrText>
      </w:r>
      <w:r>
        <w:rPr>
          <w:rFonts w:hint="eastAsia" w:ascii="Times New Roman" w:hAnsi="Times New Roman" w:eastAsia="方正仿宋_GBK" w:cs="仿宋_GB2312"/>
          <w:b w:val="0"/>
          <w:bCs/>
          <w:color w:val="auto"/>
          <w:kern w:val="2"/>
          <w:sz w:val="32"/>
          <w:szCs w:val="32"/>
          <w:lang w:val="en-US" w:eastAsia="zh-CN" w:bidi="ar-SA"/>
        </w:rPr>
        <w:fldChar w:fldCharType="separate"/>
      </w:r>
      <w:r>
        <w:rPr>
          <w:rFonts w:hint="eastAsia" w:ascii="Times New Roman" w:hAnsi="Times New Roman" w:eastAsia="方正仿宋_GBK" w:cs="仿宋_GB2312"/>
          <w:b w:val="0"/>
          <w:bCs/>
          <w:color w:val="auto"/>
          <w:kern w:val="2"/>
          <w:sz w:val="32"/>
          <w:szCs w:val="32"/>
          <w:lang w:val="en-US" w:eastAsia="zh-CN" w:bidi="ar-SA"/>
        </w:rPr>
        <w:t>六、改进措施和建议</w:t>
      </w:r>
      <w:r>
        <w:rPr>
          <w:rFonts w:hint="eastAsia" w:ascii="Times New Roman" w:hAnsi="Times New Roman" w:eastAsia="方正仿宋_GBK" w:cs="仿宋_GB2312"/>
          <w:b w:val="0"/>
          <w:bCs/>
          <w:color w:val="auto"/>
          <w:kern w:val="2"/>
          <w:sz w:val="32"/>
          <w:szCs w:val="32"/>
          <w:lang w:val="en-US" w:eastAsia="zh-CN" w:bidi="ar-SA"/>
        </w:rPr>
        <w:tab/>
      </w:r>
      <w:r>
        <w:rPr>
          <w:rFonts w:hint="eastAsia" w:ascii="Times New Roman" w:hAnsi="Times New Roman" w:eastAsia="方正仿宋_GBK" w:cs="仿宋_GB2312"/>
          <w:b w:val="0"/>
          <w:bCs/>
          <w:color w:val="auto"/>
          <w:kern w:val="2"/>
          <w:sz w:val="32"/>
          <w:szCs w:val="32"/>
          <w:lang w:val="en-US" w:eastAsia="zh-CN" w:bidi="ar-SA"/>
        </w:rPr>
        <w:fldChar w:fldCharType="begin"/>
      </w:r>
      <w:r>
        <w:rPr>
          <w:rFonts w:hint="eastAsia" w:ascii="Times New Roman" w:hAnsi="Times New Roman" w:eastAsia="方正仿宋_GBK" w:cs="仿宋_GB2312"/>
          <w:b w:val="0"/>
          <w:bCs/>
          <w:color w:val="auto"/>
          <w:kern w:val="2"/>
          <w:sz w:val="32"/>
          <w:szCs w:val="32"/>
          <w:lang w:val="en-US" w:eastAsia="zh-CN" w:bidi="ar-SA"/>
        </w:rPr>
        <w:instrText xml:space="preserve"> PAGEREF _Toc17382 \h </w:instrText>
      </w:r>
      <w:r>
        <w:rPr>
          <w:rFonts w:hint="eastAsia" w:ascii="Times New Roman" w:hAnsi="Times New Roman" w:eastAsia="方正仿宋_GBK" w:cs="仿宋_GB2312"/>
          <w:b w:val="0"/>
          <w:bCs/>
          <w:color w:val="auto"/>
          <w:kern w:val="2"/>
          <w:sz w:val="32"/>
          <w:szCs w:val="32"/>
          <w:lang w:val="en-US" w:eastAsia="zh-CN" w:bidi="ar-SA"/>
        </w:rPr>
        <w:fldChar w:fldCharType="separate"/>
      </w:r>
      <w:r>
        <w:rPr>
          <w:rFonts w:hint="eastAsia" w:ascii="Times New Roman" w:hAnsi="Times New Roman" w:eastAsia="方正仿宋_GBK" w:cs="仿宋_GB2312"/>
          <w:b w:val="0"/>
          <w:bCs/>
          <w:color w:val="auto"/>
          <w:kern w:val="2"/>
          <w:sz w:val="32"/>
          <w:szCs w:val="32"/>
          <w:lang w:val="en-US" w:eastAsia="zh-CN" w:bidi="ar-SA"/>
        </w:rPr>
        <w:t>20</w:t>
      </w:r>
      <w:r>
        <w:rPr>
          <w:rFonts w:hint="eastAsia" w:ascii="Times New Roman" w:hAnsi="Times New Roman" w:eastAsia="方正仿宋_GBK" w:cs="仿宋_GB2312"/>
          <w:b w:val="0"/>
          <w:bCs/>
          <w:color w:val="auto"/>
          <w:kern w:val="2"/>
          <w:sz w:val="32"/>
          <w:szCs w:val="32"/>
          <w:lang w:val="en-US" w:eastAsia="zh-CN" w:bidi="ar-SA"/>
        </w:rPr>
        <w:fldChar w:fldCharType="end"/>
      </w:r>
      <w:r>
        <w:rPr>
          <w:rFonts w:hint="eastAsia" w:ascii="Times New Roman" w:hAnsi="Times New Roman" w:eastAsia="方正仿宋_GBK" w:cs="仿宋_GB2312"/>
          <w:b w:val="0"/>
          <w:bCs/>
          <w:color w:val="auto"/>
          <w:kern w:val="2"/>
          <w:sz w:val="32"/>
          <w:szCs w:val="32"/>
          <w:lang w:val="en-US" w:eastAsia="zh-CN" w:bidi="ar-SA"/>
        </w:rPr>
        <w:fldChar w:fldCharType="end"/>
      </w:r>
    </w:p>
    <w:p w14:paraId="47C94441">
      <w:pPr>
        <w:pStyle w:val="4"/>
        <w:tabs>
          <w:tab w:val="right" w:leader="middleDot" w:pos="8306"/>
        </w:tabs>
        <w:jc w:val="left"/>
        <w:rPr>
          <w:rFonts w:hint="eastAsia" w:ascii="Times New Roman" w:hAnsi="Times New Roman" w:eastAsia="方正仿宋_GBK" w:cs="仿宋_GB2312"/>
          <w:b w:val="0"/>
          <w:bCs/>
          <w:color w:val="auto"/>
          <w:kern w:val="2"/>
          <w:sz w:val="32"/>
          <w:szCs w:val="32"/>
          <w:lang w:val="en-US" w:eastAsia="zh-CN" w:bidi="ar-SA"/>
        </w:rPr>
      </w:pPr>
      <w:r>
        <w:rPr>
          <w:rFonts w:hint="eastAsia" w:ascii="Times New Roman" w:hAnsi="Times New Roman" w:eastAsia="方正仿宋_GBK" w:cs="仿宋_GB2312"/>
          <w:b w:val="0"/>
          <w:bCs/>
          <w:color w:val="auto"/>
          <w:kern w:val="2"/>
          <w:sz w:val="32"/>
          <w:szCs w:val="32"/>
          <w:lang w:val="en-US" w:eastAsia="zh-CN" w:bidi="ar-SA"/>
        </w:rPr>
        <w:fldChar w:fldCharType="begin"/>
      </w:r>
      <w:r>
        <w:rPr>
          <w:rFonts w:hint="eastAsia" w:ascii="Times New Roman" w:hAnsi="Times New Roman" w:eastAsia="方正仿宋_GBK" w:cs="仿宋_GB2312"/>
          <w:b w:val="0"/>
          <w:bCs/>
          <w:color w:val="auto"/>
          <w:kern w:val="2"/>
          <w:sz w:val="32"/>
          <w:szCs w:val="32"/>
          <w:lang w:val="en-US" w:eastAsia="zh-CN" w:bidi="ar-SA"/>
        </w:rPr>
        <w:instrText xml:space="preserve"> HYPERLINK \l _Toc14023 </w:instrText>
      </w:r>
      <w:r>
        <w:rPr>
          <w:rFonts w:hint="eastAsia" w:ascii="Times New Roman" w:hAnsi="Times New Roman" w:eastAsia="方正仿宋_GBK" w:cs="仿宋_GB2312"/>
          <w:b w:val="0"/>
          <w:bCs/>
          <w:color w:val="auto"/>
          <w:kern w:val="2"/>
          <w:sz w:val="32"/>
          <w:szCs w:val="32"/>
          <w:lang w:val="en-US" w:eastAsia="zh-CN" w:bidi="ar-SA"/>
        </w:rPr>
        <w:fldChar w:fldCharType="separate"/>
      </w:r>
      <w:r>
        <w:rPr>
          <w:rFonts w:hint="eastAsia" w:ascii="Times New Roman" w:hAnsi="Times New Roman" w:eastAsia="方正仿宋_GBK" w:cs="仿宋_GB2312"/>
          <w:b w:val="0"/>
          <w:bCs/>
          <w:color w:val="auto"/>
          <w:kern w:val="2"/>
          <w:sz w:val="32"/>
          <w:szCs w:val="32"/>
          <w:lang w:val="en-US" w:eastAsia="zh-CN" w:bidi="ar-SA"/>
        </w:rPr>
        <w:t>七、附表：《部门整体支出绩效目标自评表》</w:t>
      </w:r>
      <w:r>
        <w:rPr>
          <w:rFonts w:hint="eastAsia" w:ascii="Times New Roman" w:hAnsi="Times New Roman" w:eastAsia="方正仿宋_GBK" w:cs="仿宋_GB2312"/>
          <w:b w:val="0"/>
          <w:bCs/>
          <w:color w:val="auto"/>
          <w:kern w:val="2"/>
          <w:sz w:val="32"/>
          <w:szCs w:val="32"/>
          <w:lang w:val="en-US" w:eastAsia="zh-CN" w:bidi="ar-SA"/>
        </w:rPr>
        <w:tab/>
      </w:r>
      <w:r>
        <w:rPr>
          <w:rFonts w:hint="eastAsia" w:ascii="Times New Roman" w:hAnsi="Times New Roman" w:eastAsia="方正仿宋_GBK" w:cs="仿宋_GB2312"/>
          <w:b w:val="0"/>
          <w:bCs/>
          <w:color w:val="auto"/>
          <w:kern w:val="2"/>
          <w:sz w:val="32"/>
          <w:szCs w:val="32"/>
          <w:lang w:val="en-US" w:eastAsia="zh-CN" w:bidi="ar-SA"/>
        </w:rPr>
        <w:fldChar w:fldCharType="begin"/>
      </w:r>
      <w:r>
        <w:rPr>
          <w:rFonts w:hint="eastAsia" w:ascii="Times New Roman" w:hAnsi="Times New Roman" w:eastAsia="方正仿宋_GBK" w:cs="仿宋_GB2312"/>
          <w:b w:val="0"/>
          <w:bCs/>
          <w:color w:val="auto"/>
          <w:kern w:val="2"/>
          <w:sz w:val="32"/>
          <w:szCs w:val="32"/>
          <w:lang w:val="en-US" w:eastAsia="zh-CN" w:bidi="ar-SA"/>
        </w:rPr>
        <w:instrText xml:space="preserve"> PAGEREF _Toc14023 \h </w:instrText>
      </w:r>
      <w:r>
        <w:rPr>
          <w:rFonts w:hint="eastAsia" w:ascii="Times New Roman" w:hAnsi="Times New Roman" w:eastAsia="方正仿宋_GBK" w:cs="仿宋_GB2312"/>
          <w:b w:val="0"/>
          <w:bCs/>
          <w:color w:val="auto"/>
          <w:kern w:val="2"/>
          <w:sz w:val="32"/>
          <w:szCs w:val="32"/>
          <w:lang w:val="en-US" w:eastAsia="zh-CN" w:bidi="ar-SA"/>
        </w:rPr>
        <w:fldChar w:fldCharType="separate"/>
      </w:r>
      <w:r>
        <w:rPr>
          <w:rFonts w:hint="eastAsia" w:ascii="Times New Roman" w:hAnsi="Times New Roman" w:eastAsia="方正仿宋_GBK" w:cs="仿宋_GB2312"/>
          <w:b w:val="0"/>
          <w:bCs/>
          <w:color w:val="auto"/>
          <w:kern w:val="2"/>
          <w:sz w:val="32"/>
          <w:szCs w:val="32"/>
          <w:lang w:val="en-US" w:eastAsia="zh-CN" w:bidi="ar-SA"/>
        </w:rPr>
        <w:t>21</w:t>
      </w:r>
      <w:r>
        <w:rPr>
          <w:rFonts w:hint="eastAsia" w:ascii="Times New Roman" w:hAnsi="Times New Roman" w:eastAsia="方正仿宋_GBK" w:cs="仿宋_GB2312"/>
          <w:b w:val="0"/>
          <w:bCs/>
          <w:color w:val="auto"/>
          <w:kern w:val="2"/>
          <w:sz w:val="32"/>
          <w:szCs w:val="32"/>
          <w:lang w:val="en-US" w:eastAsia="zh-CN" w:bidi="ar-SA"/>
        </w:rPr>
        <w:fldChar w:fldCharType="end"/>
      </w:r>
      <w:r>
        <w:rPr>
          <w:rFonts w:hint="eastAsia" w:ascii="Times New Roman" w:hAnsi="Times New Roman" w:eastAsia="方正仿宋_GBK" w:cs="仿宋_GB2312"/>
          <w:b w:val="0"/>
          <w:bCs/>
          <w:color w:val="auto"/>
          <w:kern w:val="2"/>
          <w:sz w:val="32"/>
          <w:szCs w:val="32"/>
          <w:lang w:val="en-US" w:eastAsia="zh-CN" w:bidi="ar-SA"/>
        </w:rPr>
        <w:fldChar w:fldCharType="end"/>
      </w:r>
    </w:p>
    <w:p w14:paraId="5F469E00">
      <w:pPr>
        <w:spacing w:line="560" w:lineRule="exact"/>
      </w:pPr>
      <w:r>
        <w:rPr>
          <w:rFonts w:hint="eastAsia" w:ascii="Times New Roman" w:hAnsi="Times New Roman" w:eastAsia="方正仿宋_GBK" w:cs="仿宋_GB2312"/>
          <w:b w:val="0"/>
          <w:bCs/>
          <w:color w:val="auto"/>
          <w:kern w:val="2"/>
          <w:sz w:val="32"/>
          <w:szCs w:val="32"/>
          <w:lang w:val="en-US" w:eastAsia="zh-CN" w:bidi="ar-SA"/>
        </w:rPr>
        <w:fldChar w:fldCharType="end"/>
      </w:r>
    </w:p>
    <w:p w14:paraId="22E59262">
      <w:pPr>
        <w:keepNext w:val="0"/>
        <w:keepLines w:val="0"/>
        <w:pageBreakBefore w:val="0"/>
        <w:widowControl/>
        <w:numPr>
          <w:ilvl w:val="0"/>
          <w:numId w:val="0"/>
        </w:numPr>
        <w:kinsoku/>
        <w:wordWrap/>
        <w:overflowPunct/>
        <w:topLinePunct w:val="0"/>
        <w:autoSpaceDE/>
        <w:autoSpaceDN/>
        <w:bidi w:val="0"/>
        <w:adjustRightInd/>
        <w:snapToGrid/>
        <w:spacing w:line="540" w:lineRule="exact"/>
        <w:ind w:left="0" w:leftChars="0" w:firstLine="0" w:firstLineChars="0"/>
        <w:jc w:val="center"/>
        <w:textAlignment w:val="auto"/>
        <w:outlineLvl w:val="9"/>
        <w:sectPr>
          <w:pgSz w:w="11906" w:h="16838"/>
          <w:pgMar w:top="1440" w:right="1800" w:bottom="1440" w:left="1800" w:header="851" w:footer="992" w:gutter="0"/>
          <w:cols w:space="720" w:num="1"/>
          <w:docGrid w:type="lines" w:linePitch="312" w:charSpace="0"/>
        </w:sectPr>
      </w:pPr>
      <w:bookmarkStart w:id="1" w:name="_Toc27041"/>
      <w:bookmarkStart w:id="2" w:name="_Toc19623"/>
    </w:p>
    <w:p w14:paraId="3FA35BE9">
      <w:pPr>
        <w:keepNext w:val="0"/>
        <w:keepLines w:val="0"/>
        <w:pageBreakBefore w:val="0"/>
        <w:widowControl/>
        <w:numPr>
          <w:ilvl w:val="0"/>
          <w:numId w:val="0"/>
        </w:numPr>
        <w:kinsoku/>
        <w:wordWrap/>
        <w:overflowPunct/>
        <w:topLinePunct w:val="0"/>
        <w:autoSpaceDE/>
        <w:autoSpaceDN/>
        <w:bidi w:val="0"/>
        <w:adjustRightInd/>
        <w:snapToGrid/>
        <w:spacing w:line="540" w:lineRule="exact"/>
        <w:ind w:left="0" w:leftChars="0" w:firstLine="0" w:firstLineChars="0"/>
        <w:jc w:val="center"/>
        <w:textAlignment w:val="auto"/>
        <w:outlineLvl w:val="9"/>
        <w:rPr>
          <w:rFonts w:hint="eastAsia"/>
        </w:rPr>
      </w:pPr>
    </w:p>
    <w:p w14:paraId="7D5187B9">
      <w:pPr>
        <w:keepNext w:val="0"/>
        <w:keepLines w:val="0"/>
        <w:pageBreakBefore w:val="0"/>
        <w:widowControl/>
        <w:numPr>
          <w:ilvl w:val="0"/>
          <w:numId w:val="0"/>
        </w:numPr>
        <w:kinsoku/>
        <w:wordWrap/>
        <w:overflowPunct/>
        <w:topLinePunct w:val="0"/>
        <w:autoSpaceDE/>
        <w:autoSpaceDN/>
        <w:bidi w:val="0"/>
        <w:adjustRightInd/>
        <w:snapToGrid/>
        <w:spacing w:line="540" w:lineRule="exact"/>
        <w:ind w:left="0" w:leftChars="0" w:firstLine="0" w:firstLineChars="0"/>
        <w:jc w:val="center"/>
        <w:textAlignment w:val="auto"/>
        <w:outlineLvl w:val="9"/>
        <w:rPr>
          <w:rFonts w:hint="eastAsia" w:ascii="方正小标宋_GBK" w:hAnsi="方正小标宋_GBK" w:eastAsia="方正小标宋_GBK" w:cs="方正小标宋_GBK"/>
          <w:b w:val="0"/>
          <w:bCs/>
          <w:spacing w:val="-20"/>
          <w:kern w:val="0"/>
          <w:sz w:val="44"/>
          <w:szCs w:val="44"/>
        </w:rPr>
      </w:pPr>
      <w:r>
        <w:rPr>
          <w:rFonts w:hint="eastAsia" w:ascii="方正小标宋_GBK" w:hAnsi="方正小标宋_GBK" w:eastAsia="方正小标宋_GBK" w:cs="方正小标宋_GBK"/>
          <w:b w:val="0"/>
          <w:bCs/>
          <w:spacing w:val="-20"/>
          <w:kern w:val="0"/>
          <w:sz w:val="44"/>
          <w:szCs w:val="44"/>
          <w:lang w:val="en-US" w:eastAsia="zh-CN"/>
        </w:rPr>
        <w:t>自治区民政厅</w:t>
      </w:r>
      <w:r>
        <w:rPr>
          <w:rFonts w:hint="eastAsia" w:ascii="方正小标宋_GBK" w:hAnsi="方正小标宋_GBK" w:eastAsia="方正小标宋_GBK" w:cs="方正小标宋_GBK"/>
          <w:b w:val="0"/>
          <w:bCs/>
          <w:spacing w:val="-20"/>
          <w:kern w:val="0"/>
          <w:sz w:val="44"/>
          <w:szCs w:val="44"/>
        </w:rPr>
        <w:t>部门整体支出绩效自评报告</w:t>
      </w:r>
    </w:p>
    <w:p w14:paraId="032F0427">
      <w:pPr>
        <w:keepNext w:val="0"/>
        <w:keepLines w:val="0"/>
        <w:pageBreakBefore w:val="0"/>
        <w:widowControl/>
        <w:numPr>
          <w:ilvl w:val="0"/>
          <w:numId w:val="0"/>
        </w:numPr>
        <w:kinsoku/>
        <w:wordWrap/>
        <w:overflowPunct/>
        <w:topLinePunct w:val="0"/>
        <w:autoSpaceDE/>
        <w:autoSpaceDN/>
        <w:bidi w:val="0"/>
        <w:adjustRightInd/>
        <w:snapToGrid/>
        <w:spacing w:line="560" w:lineRule="exact"/>
        <w:ind w:left="0" w:leftChars="0" w:firstLine="964" w:firstLineChars="200"/>
        <w:jc w:val="center"/>
        <w:textAlignment w:val="auto"/>
        <w:outlineLvl w:val="9"/>
        <w:rPr>
          <w:rFonts w:hint="eastAsia" w:ascii="黑体" w:hAnsi="黑体" w:eastAsia="黑体" w:cs="黑体"/>
          <w:b/>
          <w:bCs w:val="0"/>
          <w:color w:val="333333"/>
          <w:kern w:val="0"/>
          <w:sz w:val="48"/>
          <w:szCs w:val="48"/>
          <w:lang w:val="en-US" w:eastAsia="zh-CN" w:bidi="ar"/>
        </w:rPr>
      </w:pPr>
    </w:p>
    <w:p w14:paraId="04467356">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outlineLvl w:val="0"/>
        <w:rPr>
          <w:rFonts w:hint="eastAsia" w:ascii="方正黑体_GBK" w:hAnsi="方正黑体_GBK" w:eastAsia="方正黑体_GBK" w:cs="方正黑体_GBK"/>
          <w:b w:val="0"/>
          <w:bCs/>
          <w:color w:val="333333"/>
          <w:sz w:val="32"/>
          <w:szCs w:val="32"/>
          <w:lang w:bidi="ar"/>
        </w:rPr>
      </w:pPr>
      <w:r>
        <w:rPr>
          <w:rFonts w:hint="eastAsia" w:ascii="方正黑体_GBK" w:hAnsi="方正黑体_GBK" w:eastAsia="方正黑体_GBK" w:cs="方正黑体_GBK"/>
          <w:b w:val="0"/>
          <w:bCs/>
          <w:color w:val="333333"/>
          <w:sz w:val="32"/>
          <w:szCs w:val="32"/>
          <w:lang w:val="en-US" w:eastAsia="zh-CN" w:bidi="ar"/>
        </w:rPr>
        <w:t>一、</w:t>
      </w:r>
      <w:r>
        <w:rPr>
          <w:rFonts w:hint="eastAsia" w:ascii="方正黑体_GBK" w:hAnsi="方正黑体_GBK" w:eastAsia="方正黑体_GBK" w:cs="方正黑体_GBK"/>
          <w:b w:val="0"/>
          <w:bCs/>
          <w:color w:val="333333"/>
          <w:sz w:val="32"/>
          <w:szCs w:val="32"/>
          <w:lang w:bidi="ar"/>
        </w:rPr>
        <w:t>基本概况</w:t>
      </w:r>
      <w:bookmarkEnd w:id="0"/>
      <w:bookmarkEnd w:id="1"/>
      <w:bookmarkEnd w:id="2"/>
    </w:p>
    <w:p w14:paraId="67F774C6">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3" w:firstLineChars="200"/>
        <w:jc w:val="both"/>
        <w:textAlignment w:val="auto"/>
        <w:outlineLvl w:val="1"/>
        <w:rPr>
          <w:rFonts w:hint="eastAsia" w:ascii="方正楷体_GBK" w:hAnsi="方正楷体_GBK" w:eastAsia="方正楷体_GBK" w:cs="方正楷体_GBK"/>
          <w:b/>
          <w:bCs w:val="0"/>
          <w:sz w:val="32"/>
          <w:szCs w:val="32"/>
        </w:rPr>
      </w:pPr>
      <w:bookmarkStart w:id="3" w:name="_Toc18380"/>
      <w:bookmarkStart w:id="4" w:name="_Toc31623"/>
      <w:bookmarkStart w:id="5" w:name="_Toc4529"/>
      <w:r>
        <w:rPr>
          <w:rFonts w:hint="eastAsia" w:ascii="方正楷体_GBK" w:hAnsi="方正楷体_GBK" w:eastAsia="方正楷体_GBK" w:cs="方正楷体_GBK"/>
          <w:b/>
          <w:bCs w:val="0"/>
          <w:sz w:val="32"/>
          <w:szCs w:val="32"/>
        </w:rPr>
        <w:t>（一）部门单位基本情况</w:t>
      </w:r>
      <w:bookmarkEnd w:id="3"/>
      <w:bookmarkEnd w:id="4"/>
      <w:bookmarkEnd w:id="5"/>
    </w:p>
    <w:p w14:paraId="16E2570E">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0" w:leftChars="0" w:firstLine="627" w:firstLineChars="200"/>
        <w:jc w:val="both"/>
        <w:textAlignment w:val="auto"/>
        <w:rPr>
          <w:rFonts w:hint="eastAsia" w:ascii="Times New Roman" w:hAnsi="Times New Roman" w:eastAsia="方正仿宋_GBK" w:cs="仿宋_GB2312"/>
          <w:b w:val="0"/>
          <w:bCs/>
          <w:spacing w:val="-4"/>
          <w:kern w:val="2"/>
          <w:sz w:val="32"/>
          <w:szCs w:val="32"/>
          <w:lang w:val="en-US" w:eastAsia="zh-CN" w:bidi="ar-SA"/>
        </w:rPr>
      </w:pPr>
      <w:r>
        <w:rPr>
          <w:rFonts w:hint="eastAsia" w:ascii="Times New Roman" w:hAnsi="Times New Roman" w:eastAsia="方正仿宋_GBK" w:cs="仿宋_GB2312"/>
          <w:b/>
          <w:bCs w:val="0"/>
          <w:spacing w:val="-4"/>
          <w:kern w:val="2"/>
          <w:sz w:val="32"/>
          <w:szCs w:val="32"/>
          <w:lang w:val="en-US" w:eastAsia="zh-CN" w:bidi="ar-SA"/>
        </w:rPr>
        <w:t>1.主要职能</w:t>
      </w:r>
    </w:p>
    <w:p w14:paraId="3DCCB950">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Times New Roman" w:hAnsi="Times New Roman" w:eastAsia="方正仿宋_GBK" w:cs="仿宋_GB2312"/>
          <w:b w:val="0"/>
          <w:bCs/>
          <w:color w:val="auto"/>
          <w:sz w:val="32"/>
          <w:szCs w:val="32"/>
          <w:lang w:eastAsia="zh-CN"/>
        </w:rPr>
      </w:pPr>
      <w:r>
        <w:rPr>
          <w:rFonts w:hint="eastAsia" w:ascii="Times New Roman" w:hAnsi="Times New Roman" w:eastAsia="方正仿宋_GBK" w:cs="仿宋_GB2312"/>
          <w:b w:val="0"/>
          <w:bCs/>
          <w:color w:val="auto"/>
          <w:sz w:val="32"/>
          <w:szCs w:val="32"/>
          <w:lang w:eastAsia="zh-CN"/>
        </w:rPr>
        <w:t>（一）拟订民政事业发展地方性法规政府规章草案、政策、规划、标准并组织实施。</w:t>
      </w:r>
    </w:p>
    <w:p w14:paraId="25010599">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Times New Roman" w:hAnsi="Times New Roman" w:eastAsia="方正仿宋_GBK" w:cs="仿宋_GB2312"/>
          <w:b w:val="0"/>
          <w:bCs/>
          <w:color w:val="auto"/>
          <w:sz w:val="32"/>
          <w:szCs w:val="32"/>
          <w:lang w:eastAsia="zh-CN"/>
        </w:rPr>
      </w:pPr>
      <w:r>
        <w:rPr>
          <w:rFonts w:hint="eastAsia" w:ascii="Times New Roman" w:hAnsi="Times New Roman" w:eastAsia="方正仿宋_GBK" w:cs="仿宋_GB2312"/>
          <w:b w:val="0"/>
          <w:bCs/>
          <w:color w:val="auto"/>
          <w:sz w:val="32"/>
          <w:szCs w:val="32"/>
          <w:lang w:eastAsia="zh-CN"/>
        </w:rPr>
        <w:t>（二）拟订自治区社会团体、基金会、社会服务机构等社会组织登记和监督管理政策措施并组织实施，依法对社会组织进行登记管理和执法监督。</w:t>
      </w:r>
    </w:p>
    <w:p w14:paraId="7BDE05B0">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Times New Roman" w:hAnsi="Times New Roman" w:eastAsia="方正仿宋_GBK" w:cs="仿宋_GB2312"/>
          <w:b w:val="0"/>
          <w:bCs/>
          <w:color w:val="auto"/>
          <w:sz w:val="32"/>
          <w:szCs w:val="32"/>
          <w:lang w:eastAsia="zh-CN"/>
        </w:rPr>
      </w:pPr>
      <w:r>
        <w:rPr>
          <w:rFonts w:hint="eastAsia" w:ascii="Times New Roman" w:hAnsi="Times New Roman" w:eastAsia="方正仿宋_GBK" w:cs="仿宋_GB2312"/>
          <w:b w:val="0"/>
          <w:bCs/>
          <w:color w:val="auto"/>
          <w:sz w:val="32"/>
          <w:szCs w:val="32"/>
          <w:lang w:eastAsia="zh-CN"/>
        </w:rPr>
        <w:t>（三）拟订自治区社会救助政策、标准，统筹社会救助体系建设，负责城乡居民最低生活保障、特困人员救助供养、临时救助、生活无着流浪乞讨人员救助工作。</w:t>
      </w:r>
    </w:p>
    <w:p w14:paraId="3F232354">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Times New Roman" w:hAnsi="Times New Roman" w:eastAsia="方正仿宋_GBK" w:cs="仿宋_GB2312"/>
          <w:b w:val="0"/>
          <w:bCs/>
          <w:color w:val="auto"/>
          <w:sz w:val="32"/>
          <w:szCs w:val="32"/>
          <w:lang w:eastAsia="zh-CN"/>
        </w:rPr>
      </w:pPr>
      <w:r>
        <w:rPr>
          <w:rFonts w:hint="eastAsia" w:ascii="Times New Roman" w:hAnsi="Times New Roman" w:eastAsia="方正仿宋_GBK" w:cs="仿宋_GB2312"/>
          <w:b w:val="0"/>
          <w:bCs/>
          <w:color w:val="auto"/>
          <w:sz w:val="32"/>
          <w:szCs w:val="32"/>
          <w:lang w:eastAsia="zh-CN"/>
        </w:rPr>
        <w:t>（四）拟订行政区划、行政区域界线和地名管理政策和标准；组织研究自治区行政区划总体规划思路建议，按照管理权限牵头负责行政区划设立、命名、变更和政府驻地迁移等审核工作；确定、公布行政区划代码，指导行政区域界线勘定和管理工作；指导开展地名管理工作，负责区内重要自然地理实体命名、更名的审核。</w:t>
      </w:r>
    </w:p>
    <w:p w14:paraId="278B18B8">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Times New Roman" w:hAnsi="Times New Roman" w:eastAsia="方正仿宋_GBK" w:cs="仿宋_GB2312"/>
          <w:b w:val="0"/>
          <w:bCs/>
          <w:color w:val="auto"/>
          <w:sz w:val="32"/>
          <w:szCs w:val="32"/>
          <w:lang w:eastAsia="zh-CN"/>
        </w:rPr>
      </w:pPr>
      <w:r>
        <w:rPr>
          <w:rFonts w:hint="eastAsia" w:ascii="Times New Roman" w:hAnsi="Times New Roman" w:eastAsia="方正仿宋_GBK" w:cs="仿宋_GB2312"/>
          <w:b w:val="0"/>
          <w:bCs/>
          <w:color w:val="auto"/>
          <w:sz w:val="32"/>
          <w:szCs w:val="32"/>
          <w:lang w:eastAsia="zh-CN"/>
        </w:rPr>
        <w:t>（五）拟订自治区婚姻管理政策并组织实施，推进婚俗改革。</w:t>
      </w:r>
    </w:p>
    <w:p w14:paraId="49DED651">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Times New Roman" w:hAnsi="Times New Roman" w:eastAsia="方正仿宋_GBK" w:cs="仿宋_GB2312"/>
          <w:b w:val="0"/>
          <w:bCs/>
          <w:color w:val="auto"/>
          <w:sz w:val="32"/>
          <w:szCs w:val="32"/>
          <w:lang w:eastAsia="zh-CN"/>
        </w:rPr>
      </w:pPr>
      <w:r>
        <w:rPr>
          <w:rFonts w:hint="eastAsia" w:ascii="Times New Roman" w:hAnsi="Times New Roman" w:eastAsia="方正仿宋_GBK" w:cs="仿宋_GB2312"/>
          <w:b w:val="0"/>
          <w:bCs/>
          <w:color w:val="auto"/>
          <w:sz w:val="32"/>
          <w:szCs w:val="32"/>
          <w:lang w:eastAsia="zh-CN"/>
        </w:rPr>
        <w:t>（六）拟订自治区殡葬管理政策、服务规范并组织实施，推进殡葬改革。</w:t>
      </w:r>
    </w:p>
    <w:p w14:paraId="0357EC35">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Times New Roman" w:hAnsi="Times New Roman" w:eastAsia="方正仿宋_GBK" w:cs="仿宋_GB2312"/>
          <w:b w:val="0"/>
          <w:bCs/>
          <w:color w:val="auto"/>
          <w:sz w:val="32"/>
          <w:szCs w:val="32"/>
          <w:lang w:eastAsia="zh-CN"/>
        </w:rPr>
      </w:pPr>
      <w:r>
        <w:rPr>
          <w:rFonts w:hint="eastAsia" w:ascii="Times New Roman" w:hAnsi="Times New Roman" w:eastAsia="方正仿宋_GBK" w:cs="仿宋_GB2312"/>
          <w:b w:val="0"/>
          <w:bCs/>
          <w:color w:val="auto"/>
          <w:sz w:val="32"/>
          <w:szCs w:val="32"/>
          <w:lang w:eastAsia="zh-CN"/>
        </w:rPr>
        <w:t>（七）拟订自治区残疾人权益保护政策，统筹推进残疾人福利制度建设和康复辅助器具产业发展。</w:t>
      </w:r>
    </w:p>
    <w:p w14:paraId="4DB04C00">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Times New Roman" w:hAnsi="Times New Roman" w:eastAsia="方正仿宋_GBK" w:cs="仿宋_GB2312"/>
          <w:b w:val="0"/>
          <w:bCs/>
          <w:color w:val="auto"/>
          <w:sz w:val="32"/>
          <w:szCs w:val="32"/>
          <w:lang w:eastAsia="zh-CN"/>
        </w:rPr>
      </w:pPr>
      <w:r>
        <w:rPr>
          <w:rFonts w:hint="eastAsia" w:ascii="Times New Roman" w:hAnsi="Times New Roman" w:eastAsia="方正仿宋_GBK" w:cs="仿宋_GB2312"/>
          <w:b w:val="0"/>
          <w:bCs/>
          <w:color w:val="auto"/>
          <w:sz w:val="32"/>
          <w:szCs w:val="32"/>
          <w:lang w:eastAsia="zh-CN"/>
        </w:rPr>
        <w:t>（八）组织拟订并协调落实积极应对人口老龄化的政策措施。指导协调老年人权益保障工作。组织拟订老年人社会参与政策并组织实施。承担自治区老龄工作委员会的具体工作。</w:t>
      </w:r>
    </w:p>
    <w:p w14:paraId="4355947B">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Times New Roman" w:hAnsi="Times New Roman" w:eastAsia="方正仿宋_GBK" w:cs="仿宋_GB2312"/>
          <w:b w:val="0"/>
          <w:bCs/>
          <w:color w:val="auto"/>
          <w:sz w:val="32"/>
          <w:szCs w:val="32"/>
          <w:lang w:eastAsia="zh-CN"/>
        </w:rPr>
      </w:pPr>
      <w:r>
        <w:rPr>
          <w:rFonts w:hint="eastAsia" w:ascii="Times New Roman" w:hAnsi="Times New Roman" w:eastAsia="方正仿宋_GBK" w:cs="仿宋_GB2312"/>
          <w:b w:val="0"/>
          <w:bCs/>
          <w:color w:val="auto"/>
          <w:sz w:val="32"/>
          <w:szCs w:val="32"/>
          <w:lang w:eastAsia="zh-CN"/>
        </w:rPr>
        <w:t>（九）组织拟订并协调落实促进养老事业发展的政策措施。统筹推进、督促指导、监督管理养老服务工作，拟订养老服务体系建设规划、政策、标准并组织实施，承担老年人福利和特殊困难老年人救助工作。</w:t>
      </w:r>
    </w:p>
    <w:p w14:paraId="0020B9CE">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Times New Roman" w:hAnsi="Times New Roman" w:eastAsia="方正仿宋_GBK" w:cs="仿宋_GB2312"/>
          <w:b w:val="0"/>
          <w:bCs/>
          <w:color w:val="auto"/>
          <w:sz w:val="32"/>
          <w:szCs w:val="32"/>
          <w:lang w:eastAsia="zh-CN"/>
        </w:rPr>
      </w:pPr>
      <w:r>
        <w:rPr>
          <w:rFonts w:hint="eastAsia" w:ascii="Times New Roman" w:hAnsi="Times New Roman" w:eastAsia="方正仿宋_GBK" w:cs="仿宋_GB2312"/>
          <w:b w:val="0"/>
          <w:bCs/>
          <w:color w:val="auto"/>
          <w:sz w:val="32"/>
          <w:szCs w:val="32"/>
          <w:lang w:eastAsia="zh-CN"/>
        </w:rPr>
        <w:t>（十）拟订自治区儿童福利、孤弃儿童保障、儿童收养、儿童救助保护政策和标准，健全农村留守儿童关爱服务体系和困境儿童保障制度。</w:t>
      </w:r>
    </w:p>
    <w:p w14:paraId="2EE22128">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Times New Roman" w:hAnsi="Times New Roman" w:eastAsia="方正仿宋_GBK" w:cs="仿宋_GB2312"/>
          <w:b w:val="0"/>
          <w:bCs/>
          <w:color w:val="auto"/>
          <w:sz w:val="32"/>
          <w:szCs w:val="32"/>
          <w:lang w:eastAsia="zh-CN"/>
        </w:rPr>
      </w:pPr>
      <w:r>
        <w:rPr>
          <w:rFonts w:hint="eastAsia" w:ascii="Times New Roman" w:hAnsi="Times New Roman" w:eastAsia="方正仿宋_GBK" w:cs="仿宋_GB2312"/>
          <w:b w:val="0"/>
          <w:bCs/>
          <w:color w:val="auto"/>
          <w:sz w:val="32"/>
          <w:szCs w:val="32"/>
          <w:lang w:eastAsia="zh-CN"/>
        </w:rPr>
        <w:t>（十一）组织拟订促进自治区慈善事业发展政策，指导社会捐助工作，负责福利彩票管理工作。</w:t>
      </w:r>
    </w:p>
    <w:p w14:paraId="0FBF77B4">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Times New Roman" w:hAnsi="Times New Roman" w:eastAsia="方正仿宋_GBK" w:cs="仿宋_GB2312"/>
          <w:b w:val="0"/>
          <w:bCs/>
          <w:color w:val="auto"/>
          <w:sz w:val="32"/>
          <w:szCs w:val="32"/>
          <w:lang w:val="en-US" w:eastAsia="zh-CN"/>
        </w:rPr>
      </w:pPr>
      <w:r>
        <w:rPr>
          <w:rFonts w:hint="eastAsia" w:ascii="Times New Roman" w:hAnsi="Times New Roman" w:eastAsia="方正仿宋_GBK" w:cs="仿宋_GB2312"/>
          <w:b w:val="0"/>
          <w:bCs/>
          <w:color w:val="auto"/>
          <w:sz w:val="32"/>
          <w:szCs w:val="32"/>
          <w:lang w:eastAsia="zh-CN"/>
        </w:rPr>
        <w:t>（十二）完成自治区党委、自治区人民政府交办的其他任务。</w:t>
      </w:r>
    </w:p>
    <w:p w14:paraId="4A7E5C91">
      <w:pPr>
        <w:keepNext w:val="0"/>
        <w:keepLines w:val="0"/>
        <w:pageBreakBefore w:val="0"/>
        <w:widowControl w:val="0"/>
        <w:numPr>
          <w:ilvl w:val="0"/>
          <w:numId w:val="0"/>
        </w:numPr>
        <w:tabs>
          <w:tab w:val="left" w:pos="489"/>
        </w:tabs>
        <w:kinsoku/>
        <w:wordWrap/>
        <w:overflowPunct/>
        <w:topLinePunct w:val="0"/>
        <w:autoSpaceDE/>
        <w:autoSpaceDN/>
        <w:bidi w:val="0"/>
        <w:adjustRightInd/>
        <w:snapToGrid w:val="0"/>
        <w:spacing w:line="560" w:lineRule="exact"/>
        <w:ind w:firstLine="627" w:firstLineChars="200"/>
        <w:jc w:val="both"/>
        <w:textAlignment w:val="auto"/>
        <w:rPr>
          <w:rFonts w:hint="eastAsia" w:ascii="Times New Roman" w:hAnsi="Times New Roman" w:eastAsia="方正仿宋_GBK" w:cs="仿宋_GB2312"/>
          <w:b/>
          <w:bCs w:val="0"/>
          <w:sz w:val="32"/>
          <w:szCs w:val="32"/>
        </w:rPr>
      </w:pPr>
      <w:r>
        <w:rPr>
          <w:rStyle w:val="8"/>
          <w:rFonts w:hint="eastAsia" w:ascii="Times New Roman" w:hAnsi="Times New Roman" w:eastAsia="方正仿宋_GBK" w:cs="仿宋_GB2312"/>
          <w:b/>
          <w:bCs w:val="0"/>
          <w:color w:val="000000"/>
          <w:spacing w:val="-4"/>
          <w:sz w:val="32"/>
          <w:szCs w:val="32"/>
          <w:lang w:val="en-US" w:eastAsia="zh-CN"/>
        </w:rPr>
        <w:t>2.</w:t>
      </w:r>
      <w:r>
        <w:rPr>
          <w:rFonts w:hint="eastAsia" w:ascii="Times New Roman" w:hAnsi="Times New Roman" w:eastAsia="方正仿宋_GBK" w:cs="仿宋_GB2312"/>
          <w:b/>
          <w:bCs w:val="0"/>
          <w:sz w:val="32"/>
          <w:szCs w:val="32"/>
        </w:rPr>
        <w:t>机构设置情况</w:t>
      </w:r>
    </w:p>
    <w:p w14:paraId="4B00E351">
      <w:pPr>
        <w:keepNext w:val="0"/>
        <w:keepLines w:val="0"/>
        <w:pageBreakBefore w:val="0"/>
        <w:widowControl/>
        <w:kinsoku/>
        <w:wordWrap/>
        <w:overflowPunct/>
        <w:topLinePunct w:val="0"/>
        <w:autoSpaceDE/>
        <w:autoSpaceDN/>
        <w:bidi w:val="0"/>
        <w:adjustRightInd/>
        <w:snapToGrid/>
        <w:spacing w:line="560" w:lineRule="exact"/>
        <w:ind w:firstLine="624" w:firstLineChars="200"/>
        <w:jc w:val="both"/>
        <w:textAlignment w:val="auto"/>
        <w:rPr>
          <w:rStyle w:val="8"/>
          <w:rFonts w:hint="eastAsia" w:ascii="Times New Roman" w:hAnsi="Times New Roman" w:eastAsia="方正仿宋_GBK"/>
          <w:b w:val="0"/>
          <w:bCs/>
          <w:color w:val="000000"/>
          <w:spacing w:val="-4"/>
          <w:sz w:val="32"/>
          <w:szCs w:val="32"/>
          <w:lang w:val="en-US" w:eastAsia="zh-CN"/>
        </w:rPr>
      </w:pPr>
      <w:r>
        <w:rPr>
          <w:rStyle w:val="8"/>
          <w:rFonts w:hint="eastAsia" w:ascii="Times New Roman" w:hAnsi="Times New Roman" w:eastAsia="方正仿宋_GBK"/>
          <w:b w:val="0"/>
          <w:bCs/>
          <w:color w:val="000000"/>
          <w:spacing w:val="-4"/>
          <w:sz w:val="32"/>
          <w:szCs w:val="32"/>
          <w:lang w:val="en-US" w:eastAsia="zh-CN"/>
        </w:rPr>
        <w:t>自治区民政厅部门包括本级机关及7个直属事业单位。</w:t>
      </w:r>
    </w:p>
    <w:p w14:paraId="1959B35A">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Times New Roman" w:hAnsi="Times New Roman" w:eastAsia="方正仿宋_GBK" w:cs="仿宋_GB2312"/>
          <w:b w:val="0"/>
          <w:bCs/>
          <w:color w:val="auto"/>
          <w:sz w:val="32"/>
          <w:szCs w:val="32"/>
          <w:lang w:eastAsia="zh-CN"/>
        </w:rPr>
      </w:pPr>
      <w:r>
        <w:rPr>
          <w:rFonts w:hint="eastAsia" w:ascii="Times New Roman" w:hAnsi="Times New Roman" w:eastAsia="方正仿宋_GBK" w:cs="仿宋_GB2312"/>
          <w:b w:val="0"/>
          <w:bCs/>
          <w:color w:val="auto"/>
          <w:sz w:val="32"/>
          <w:szCs w:val="32"/>
          <w:lang w:eastAsia="zh-CN"/>
        </w:rPr>
        <w:t xml:space="preserve">1.新疆维吾尔自治区民政厅本级 </w:t>
      </w:r>
    </w:p>
    <w:p w14:paraId="0D56CCEA">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Times New Roman" w:hAnsi="Times New Roman" w:eastAsia="方正仿宋_GBK" w:cs="仿宋_GB2312"/>
          <w:b w:val="0"/>
          <w:bCs/>
          <w:color w:val="auto"/>
          <w:sz w:val="32"/>
          <w:szCs w:val="32"/>
          <w:lang w:eastAsia="zh-CN"/>
        </w:rPr>
      </w:pPr>
      <w:r>
        <w:rPr>
          <w:rFonts w:hint="eastAsia" w:ascii="Times New Roman" w:hAnsi="Times New Roman" w:eastAsia="方正仿宋_GBK" w:cs="仿宋_GB2312"/>
          <w:b w:val="0"/>
          <w:bCs/>
          <w:color w:val="auto"/>
          <w:sz w:val="32"/>
          <w:szCs w:val="32"/>
          <w:lang w:eastAsia="zh-CN"/>
        </w:rPr>
        <w:t xml:space="preserve">2.新疆维吾尔自治区救助管理站（新疆维吾尔自治区未成年人救 助保护中心） </w:t>
      </w:r>
    </w:p>
    <w:p w14:paraId="51B1CAB0">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Times New Roman" w:hAnsi="Times New Roman" w:eastAsia="方正仿宋_GBK" w:cs="仿宋_GB2312"/>
          <w:b w:val="0"/>
          <w:bCs/>
          <w:color w:val="auto"/>
          <w:sz w:val="32"/>
          <w:szCs w:val="32"/>
          <w:lang w:eastAsia="zh-CN"/>
        </w:rPr>
      </w:pPr>
      <w:r>
        <w:rPr>
          <w:rFonts w:hint="eastAsia" w:ascii="Times New Roman" w:hAnsi="Times New Roman" w:eastAsia="方正仿宋_GBK" w:cs="仿宋_GB2312"/>
          <w:b w:val="0"/>
          <w:bCs/>
          <w:color w:val="auto"/>
          <w:sz w:val="32"/>
          <w:szCs w:val="32"/>
          <w:lang w:eastAsia="zh-CN"/>
        </w:rPr>
        <w:t xml:space="preserve">3.新疆维吾尔自治区地名标准化中心 </w:t>
      </w:r>
    </w:p>
    <w:p w14:paraId="7CE3CD11">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Times New Roman" w:hAnsi="Times New Roman" w:eastAsia="方正仿宋_GBK" w:cs="仿宋_GB2312"/>
          <w:b w:val="0"/>
          <w:bCs/>
          <w:color w:val="auto"/>
          <w:sz w:val="32"/>
          <w:szCs w:val="32"/>
          <w:lang w:eastAsia="zh-CN"/>
        </w:rPr>
      </w:pPr>
      <w:r>
        <w:rPr>
          <w:rFonts w:hint="eastAsia" w:ascii="Times New Roman" w:hAnsi="Times New Roman" w:eastAsia="方正仿宋_GBK" w:cs="仿宋_GB2312"/>
          <w:b w:val="0"/>
          <w:bCs/>
          <w:color w:val="auto"/>
          <w:sz w:val="32"/>
          <w:szCs w:val="32"/>
          <w:lang w:eastAsia="zh-CN"/>
        </w:rPr>
        <w:t xml:space="preserve">4.新疆维吾尔自治区民政事业服务中心（新疆维吾尔自治区低收 入家庭经济状况核对中心） </w:t>
      </w:r>
    </w:p>
    <w:p w14:paraId="72AF4E42">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Times New Roman" w:hAnsi="Times New Roman" w:eastAsia="方正仿宋_GBK" w:cs="仿宋_GB2312"/>
          <w:b w:val="0"/>
          <w:bCs/>
          <w:color w:val="auto"/>
          <w:sz w:val="32"/>
          <w:szCs w:val="32"/>
          <w:lang w:eastAsia="zh-CN"/>
        </w:rPr>
      </w:pPr>
      <w:r>
        <w:rPr>
          <w:rFonts w:hint="eastAsia" w:ascii="Times New Roman" w:hAnsi="Times New Roman" w:eastAsia="方正仿宋_GBK" w:cs="仿宋_GB2312"/>
          <w:b w:val="0"/>
          <w:bCs/>
          <w:color w:val="auto"/>
          <w:sz w:val="32"/>
          <w:szCs w:val="32"/>
          <w:lang w:eastAsia="zh-CN"/>
        </w:rPr>
        <w:t xml:space="preserve">5.新疆维吾尔自治区民政康复中心 </w:t>
      </w:r>
    </w:p>
    <w:p w14:paraId="0AD6F491">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Times New Roman" w:hAnsi="Times New Roman" w:eastAsia="方正仿宋_GBK" w:cs="仿宋_GB2312"/>
          <w:b w:val="0"/>
          <w:bCs/>
          <w:color w:val="auto"/>
          <w:sz w:val="32"/>
          <w:szCs w:val="32"/>
          <w:lang w:eastAsia="zh-CN"/>
        </w:rPr>
      </w:pPr>
      <w:r>
        <w:rPr>
          <w:rFonts w:hint="eastAsia" w:ascii="Times New Roman" w:hAnsi="Times New Roman" w:eastAsia="方正仿宋_GBK" w:cs="仿宋_GB2312"/>
          <w:b w:val="0"/>
          <w:bCs/>
          <w:color w:val="auto"/>
          <w:sz w:val="32"/>
          <w:szCs w:val="32"/>
          <w:lang w:eastAsia="zh-CN"/>
        </w:rPr>
        <w:t xml:space="preserve">6.新疆静宁医院 </w:t>
      </w:r>
    </w:p>
    <w:p w14:paraId="7CE90A80">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Times New Roman" w:hAnsi="Times New Roman" w:eastAsia="方正仿宋_GBK" w:cs="仿宋_GB2312"/>
          <w:b w:val="0"/>
          <w:bCs/>
          <w:color w:val="auto"/>
          <w:sz w:val="32"/>
          <w:szCs w:val="32"/>
          <w:lang w:eastAsia="zh-CN"/>
        </w:rPr>
      </w:pPr>
      <w:r>
        <w:rPr>
          <w:rFonts w:hint="eastAsia" w:ascii="Times New Roman" w:hAnsi="Times New Roman" w:eastAsia="方正仿宋_GBK" w:cs="仿宋_GB2312"/>
          <w:b w:val="0"/>
          <w:bCs/>
          <w:color w:val="auto"/>
          <w:sz w:val="32"/>
          <w:szCs w:val="32"/>
          <w:lang w:eastAsia="zh-CN"/>
        </w:rPr>
        <w:t xml:space="preserve">7.新疆维吾尔自治区老年大学 </w:t>
      </w:r>
    </w:p>
    <w:p w14:paraId="7D1E4908">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Times New Roman" w:hAnsi="Times New Roman" w:eastAsia="方正仿宋_GBK" w:cs="仿宋_GB2312"/>
          <w:b w:val="0"/>
          <w:bCs/>
          <w:color w:val="auto"/>
          <w:sz w:val="32"/>
          <w:szCs w:val="32"/>
          <w:lang w:val="en-US" w:eastAsia="zh-CN"/>
        </w:rPr>
      </w:pPr>
      <w:r>
        <w:rPr>
          <w:rFonts w:hint="eastAsia" w:ascii="Times New Roman" w:hAnsi="Times New Roman" w:eastAsia="方正仿宋_GBK" w:cs="仿宋_GB2312"/>
          <w:b w:val="0"/>
          <w:bCs/>
          <w:color w:val="auto"/>
          <w:sz w:val="32"/>
          <w:szCs w:val="32"/>
          <w:lang w:eastAsia="zh-CN"/>
        </w:rPr>
        <w:t>8.新疆维吾尔自治区老年康乐报社</w:t>
      </w:r>
    </w:p>
    <w:p w14:paraId="658483B6">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3" w:firstLineChars="200"/>
        <w:jc w:val="both"/>
        <w:textAlignment w:val="auto"/>
        <w:outlineLvl w:val="1"/>
        <w:rPr>
          <w:rFonts w:hint="eastAsia" w:ascii="方正楷体_GBK" w:hAnsi="方正楷体_GBK" w:eastAsia="方正楷体_GBK" w:cs="方正楷体_GBK"/>
          <w:b/>
          <w:bCs w:val="0"/>
          <w:sz w:val="32"/>
          <w:szCs w:val="32"/>
          <w:lang w:val="en-US" w:eastAsia="zh-CN"/>
        </w:rPr>
      </w:pPr>
      <w:bookmarkStart w:id="6" w:name="_Toc29039"/>
      <w:bookmarkStart w:id="7" w:name="_Toc801"/>
      <w:bookmarkStart w:id="8" w:name="_Toc26856"/>
      <w:r>
        <w:rPr>
          <w:rFonts w:hint="eastAsia" w:ascii="方正楷体_GBK" w:hAnsi="方正楷体_GBK" w:eastAsia="方正楷体_GBK" w:cs="方正楷体_GBK"/>
          <w:b/>
          <w:bCs w:val="0"/>
          <w:sz w:val="32"/>
          <w:szCs w:val="32"/>
          <w:lang w:val="en-US" w:eastAsia="zh-CN"/>
        </w:rPr>
        <w:t>（二）部门单位年度重点工作</w:t>
      </w:r>
      <w:bookmarkEnd w:id="6"/>
      <w:bookmarkEnd w:id="7"/>
      <w:bookmarkEnd w:id="8"/>
    </w:p>
    <w:p w14:paraId="4EBA578F">
      <w:pPr>
        <w:keepNext w:val="0"/>
        <w:keepLines w:val="0"/>
        <w:pageBreakBefore w:val="0"/>
        <w:widowControl w:val="0"/>
        <w:numPr>
          <w:ilvl w:val="0"/>
          <w:numId w:val="0"/>
        </w:numPr>
        <w:kinsoku/>
        <w:wordWrap/>
        <w:overflowPunct/>
        <w:topLinePunct w:val="0"/>
        <w:autoSpaceDE/>
        <w:autoSpaceDN/>
        <w:bidi w:val="0"/>
        <w:adjustRightInd/>
        <w:spacing w:line="560" w:lineRule="exact"/>
        <w:ind w:left="0" w:leftChars="0" w:firstLine="627" w:firstLineChars="200"/>
        <w:jc w:val="both"/>
        <w:textAlignment w:val="auto"/>
        <w:outlineLvl w:val="2"/>
        <w:rPr>
          <w:rFonts w:hint="eastAsia" w:ascii="Times New Roman" w:hAnsi="Times New Roman" w:eastAsia="方正仿宋_GBK"/>
          <w:b w:val="0"/>
          <w:bCs/>
          <w:spacing w:val="-4"/>
          <w:sz w:val="32"/>
          <w:szCs w:val="32"/>
          <w:lang w:val="en-US" w:eastAsia="zh-CN"/>
        </w:rPr>
      </w:pPr>
      <w:bookmarkStart w:id="9" w:name="_Toc8260"/>
      <w:bookmarkStart w:id="10" w:name="_Toc15896"/>
      <w:bookmarkStart w:id="11" w:name="_Toc17139"/>
      <w:r>
        <w:rPr>
          <w:rFonts w:hint="eastAsia" w:ascii="Times New Roman" w:hAnsi="Times New Roman" w:eastAsia="方正仿宋_GBK"/>
          <w:b/>
          <w:bCs w:val="0"/>
          <w:spacing w:val="-4"/>
          <w:sz w:val="32"/>
          <w:szCs w:val="32"/>
          <w:lang w:val="en-US" w:eastAsia="zh-CN"/>
        </w:rPr>
        <w:t>1.年度总体目标</w:t>
      </w:r>
      <w:bookmarkEnd w:id="9"/>
      <w:bookmarkEnd w:id="10"/>
      <w:bookmarkEnd w:id="11"/>
    </w:p>
    <w:p w14:paraId="69F4827C">
      <w:pPr>
        <w:keepNext w:val="0"/>
        <w:keepLines w:val="0"/>
        <w:pageBreakBefore w:val="0"/>
        <w:widowControl w:val="0"/>
        <w:numPr>
          <w:ilvl w:val="0"/>
          <w:numId w:val="0"/>
        </w:numPr>
        <w:kinsoku/>
        <w:wordWrap/>
        <w:overflowPunct/>
        <w:topLinePunct w:val="0"/>
        <w:autoSpaceDE/>
        <w:autoSpaceDN/>
        <w:bidi w:val="0"/>
        <w:adjustRightInd/>
        <w:spacing w:line="560" w:lineRule="exact"/>
        <w:ind w:firstLine="624" w:firstLineChars="200"/>
        <w:jc w:val="both"/>
        <w:textAlignment w:val="auto"/>
        <w:rPr>
          <w:rFonts w:hint="default" w:ascii="Times New Roman" w:hAnsi="Times New Roman" w:eastAsia="方正仿宋_GBK" w:cs="Times New Roman"/>
          <w:b w:val="0"/>
          <w:bCs/>
          <w:color w:val="auto"/>
          <w:spacing w:val="-4"/>
          <w:sz w:val="32"/>
          <w:szCs w:val="32"/>
          <w:lang w:val="en-US" w:eastAsia="zh-CN"/>
        </w:rPr>
      </w:pPr>
      <w:r>
        <w:rPr>
          <w:rFonts w:hint="default" w:ascii="Times New Roman" w:hAnsi="Times New Roman" w:eastAsia="方正仿宋_GBK" w:cs="Times New Roman"/>
          <w:b w:val="0"/>
          <w:bCs/>
          <w:color w:val="auto"/>
          <w:spacing w:val="-4"/>
          <w:sz w:val="32"/>
          <w:szCs w:val="32"/>
          <w:lang w:val="en-US" w:eastAsia="zh-CN"/>
        </w:rPr>
        <w:t>规范城乡低保政策实施，使低保对象基本生活得到有效保障；解决残疾人特殊生活困难和长期护理困难等实际问题提高残疾人生活质量；加强公办养老机构规范化建设，使其符合养老机构服务安全基本规范等标准；加强和改进生活无着的流浪乞讨人员救助管理工作，切实保障其基本生活和人身安全；满足孤残儿童的照料、护理、康复、心理疏导需求，提高儿童的幸福感、获得感；通过政府购买服务方式对140个慈善组织、社会组织进行孵化，提供内部管理、专家咨询、资源链接、技能培训、项目策划、沟通交流、人才培养等多元化服务，提高孵化组织服务能力水平；支持殡葬服务设施建设、改造，提升殡葬服务能力。</w:t>
      </w:r>
    </w:p>
    <w:p w14:paraId="5C59C769">
      <w:pPr>
        <w:keepNext w:val="0"/>
        <w:keepLines w:val="0"/>
        <w:pageBreakBefore w:val="0"/>
        <w:widowControl w:val="0"/>
        <w:numPr>
          <w:ilvl w:val="0"/>
          <w:numId w:val="0"/>
        </w:numPr>
        <w:kinsoku/>
        <w:wordWrap/>
        <w:overflowPunct/>
        <w:topLinePunct w:val="0"/>
        <w:autoSpaceDE/>
        <w:autoSpaceDN/>
        <w:bidi w:val="0"/>
        <w:adjustRightInd/>
        <w:spacing w:line="560" w:lineRule="exact"/>
        <w:ind w:left="0" w:leftChars="0" w:firstLine="627" w:firstLineChars="200"/>
        <w:jc w:val="both"/>
        <w:textAlignment w:val="auto"/>
        <w:outlineLvl w:val="2"/>
        <w:rPr>
          <w:rFonts w:hint="eastAsia" w:ascii="Times New Roman" w:hAnsi="Times New Roman" w:eastAsia="方正仿宋_GBK"/>
          <w:b/>
          <w:bCs w:val="0"/>
          <w:spacing w:val="-4"/>
          <w:sz w:val="32"/>
          <w:szCs w:val="32"/>
          <w:lang w:val="en-US" w:eastAsia="zh-CN"/>
        </w:rPr>
      </w:pPr>
      <w:bookmarkStart w:id="12" w:name="_Toc31086"/>
      <w:bookmarkStart w:id="13" w:name="_Toc23982"/>
      <w:bookmarkStart w:id="14" w:name="_Toc7397"/>
      <w:r>
        <w:rPr>
          <w:rFonts w:hint="eastAsia" w:ascii="Times New Roman" w:hAnsi="Times New Roman" w:eastAsia="方正仿宋_GBK"/>
          <w:b/>
          <w:bCs w:val="0"/>
          <w:spacing w:val="-4"/>
          <w:sz w:val="32"/>
          <w:szCs w:val="32"/>
          <w:lang w:val="en-US" w:eastAsia="zh-CN"/>
        </w:rPr>
        <w:t>2.重点工作计划</w:t>
      </w:r>
      <w:bookmarkEnd w:id="12"/>
      <w:bookmarkEnd w:id="13"/>
      <w:bookmarkEnd w:id="14"/>
    </w:p>
    <w:p w14:paraId="1D2AAE49">
      <w:pPr>
        <w:keepNext w:val="0"/>
        <w:keepLines w:val="0"/>
        <w:pageBreakBefore w:val="0"/>
        <w:widowControl w:val="0"/>
        <w:numPr>
          <w:ilvl w:val="0"/>
          <w:numId w:val="0"/>
        </w:numPr>
        <w:kinsoku/>
        <w:wordWrap/>
        <w:overflowPunct/>
        <w:topLinePunct w:val="0"/>
        <w:autoSpaceDE/>
        <w:autoSpaceDN/>
        <w:bidi w:val="0"/>
        <w:adjustRightInd/>
        <w:spacing w:line="560" w:lineRule="exact"/>
        <w:ind w:left="0" w:leftChars="0" w:firstLine="624" w:firstLineChars="200"/>
        <w:jc w:val="both"/>
        <w:textAlignment w:val="auto"/>
        <w:rPr>
          <w:rFonts w:hint="eastAsia" w:ascii="Times New Roman" w:hAnsi="Times New Roman" w:eastAsia="方正仿宋_GBK" w:cs="方正仿宋_GBK"/>
          <w:b w:val="0"/>
          <w:bCs/>
          <w:color w:val="auto"/>
          <w:spacing w:val="-4"/>
          <w:sz w:val="32"/>
          <w:szCs w:val="32"/>
          <w:highlight w:val="none"/>
          <w:lang w:val="en-US" w:eastAsia="zh-CN"/>
        </w:rPr>
      </w:pPr>
      <w:r>
        <w:rPr>
          <w:rFonts w:hint="eastAsia" w:ascii="Times New Roman" w:hAnsi="Times New Roman" w:eastAsia="方正仿宋_GBK" w:cs="方正仿宋_GBK"/>
          <w:b w:val="0"/>
          <w:bCs/>
          <w:color w:val="auto"/>
          <w:spacing w:val="-4"/>
          <w:sz w:val="32"/>
          <w:szCs w:val="32"/>
          <w:highlight w:val="none"/>
          <w:lang w:val="en-US" w:eastAsia="zh-CN"/>
        </w:rPr>
        <w:t>（1）困难群众救助补助资金项目。计划投入30000万元，保障城乡低保对象和特困人员生活，落实孤儿基本生活保障，临时救助及时高效、救急解难，为生活无着流浪乞讨人员以及临时遇困人员提供救助。</w:t>
      </w:r>
    </w:p>
    <w:p w14:paraId="37CF0A2A">
      <w:pPr>
        <w:keepNext w:val="0"/>
        <w:keepLines w:val="0"/>
        <w:pageBreakBefore w:val="0"/>
        <w:widowControl w:val="0"/>
        <w:numPr>
          <w:ilvl w:val="0"/>
          <w:numId w:val="0"/>
        </w:numPr>
        <w:kinsoku/>
        <w:wordWrap/>
        <w:overflowPunct/>
        <w:topLinePunct w:val="0"/>
        <w:autoSpaceDE/>
        <w:autoSpaceDN/>
        <w:bidi w:val="0"/>
        <w:adjustRightInd/>
        <w:spacing w:line="560" w:lineRule="exact"/>
        <w:ind w:left="0" w:leftChars="0" w:firstLine="624" w:firstLineChars="200"/>
        <w:jc w:val="both"/>
        <w:textAlignment w:val="auto"/>
        <w:rPr>
          <w:rFonts w:hint="eastAsia" w:ascii="Times New Roman" w:hAnsi="Times New Roman" w:eastAsia="方正仿宋_GBK" w:cs="方正仿宋_GBK"/>
          <w:b w:val="0"/>
          <w:bCs/>
          <w:color w:val="auto"/>
          <w:spacing w:val="-4"/>
          <w:sz w:val="32"/>
          <w:szCs w:val="32"/>
          <w:highlight w:val="none"/>
          <w:lang w:val="en-US" w:eastAsia="zh-CN"/>
        </w:rPr>
      </w:pPr>
      <w:r>
        <w:rPr>
          <w:rFonts w:hint="eastAsia" w:ascii="Times New Roman" w:hAnsi="Times New Roman" w:eastAsia="方正仿宋_GBK" w:cs="方正仿宋_GBK"/>
          <w:b w:val="0"/>
          <w:bCs/>
          <w:color w:val="auto"/>
          <w:spacing w:val="-4"/>
          <w:sz w:val="32"/>
          <w:szCs w:val="32"/>
          <w:highlight w:val="none"/>
          <w:lang w:val="en-US" w:eastAsia="zh-CN"/>
        </w:rPr>
        <w:t>（2）困难残疾人生活补贴和重度残疾人护理补贴项目。计划投入27781万元，解决困难残疾人生活困难和重度残疾人长期护理困难等问题，保障残疾人生存发展权益，不断提高生活质量，提升幸福感和安全感。</w:t>
      </w:r>
    </w:p>
    <w:p w14:paraId="2706362F">
      <w:pPr>
        <w:keepNext w:val="0"/>
        <w:keepLines w:val="0"/>
        <w:pageBreakBefore w:val="0"/>
        <w:widowControl w:val="0"/>
        <w:numPr>
          <w:ilvl w:val="0"/>
          <w:numId w:val="0"/>
        </w:numPr>
        <w:kinsoku/>
        <w:wordWrap/>
        <w:overflowPunct/>
        <w:topLinePunct w:val="0"/>
        <w:autoSpaceDE/>
        <w:autoSpaceDN/>
        <w:bidi w:val="0"/>
        <w:adjustRightInd/>
        <w:spacing w:line="560" w:lineRule="exact"/>
        <w:ind w:left="0" w:leftChars="0" w:firstLine="624" w:firstLineChars="200"/>
        <w:jc w:val="both"/>
        <w:textAlignment w:val="auto"/>
        <w:rPr>
          <w:rFonts w:hint="eastAsia" w:ascii="Times New Roman" w:hAnsi="Times New Roman" w:eastAsia="方正仿宋_GBK" w:cs="方正仿宋_GBK"/>
          <w:b w:val="0"/>
          <w:bCs/>
          <w:color w:val="auto"/>
          <w:spacing w:val="-4"/>
          <w:sz w:val="32"/>
          <w:szCs w:val="32"/>
          <w:highlight w:val="yellow"/>
          <w:lang w:val="en-US" w:eastAsia="zh-CN"/>
        </w:rPr>
      </w:pPr>
      <w:r>
        <w:rPr>
          <w:rFonts w:hint="eastAsia" w:ascii="Times New Roman" w:hAnsi="Times New Roman" w:eastAsia="方正仿宋_GBK" w:cs="方正仿宋_GBK"/>
          <w:b w:val="0"/>
          <w:bCs/>
          <w:color w:val="auto"/>
          <w:spacing w:val="-4"/>
          <w:sz w:val="32"/>
          <w:szCs w:val="32"/>
          <w:highlight w:val="none"/>
          <w:lang w:val="en-US" w:eastAsia="zh-CN"/>
        </w:rPr>
        <w:t>（3）80周岁以上老年人生活补助和免费体检自治区补助资金项目。计划投入13900万元，解决80周岁以上老年人基本生活困难，提高生活和生命质量。</w:t>
      </w:r>
    </w:p>
    <w:p w14:paraId="6AD7D830">
      <w:pPr>
        <w:keepNext w:val="0"/>
        <w:keepLines w:val="0"/>
        <w:pageBreakBefore w:val="0"/>
        <w:widowControl w:val="0"/>
        <w:numPr>
          <w:ilvl w:val="0"/>
          <w:numId w:val="0"/>
        </w:numPr>
        <w:kinsoku/>
        <w:wordWrap/>
        <w:overflowPunct/>
        <w:topLinePunct w:val="0"/>
        <w:autoSpaceDE/>
        <w:autoSpaceDN/>
        <w:bidi w:val="0"/>
        <w:adjustRightInd/>
        <w:spacing w:line="560" w:lineRule="exact"/>
        <w:ind w:left="0" w:leftChars="0" w:firstLine="624" w:firstLineChars="200"/>
        <w:jc w:val="both"/>
        <w:textAlignment w:val="auto"/>
        <w:rPr>
          <w:rFonts w:hint="eastAsia" w:ascii="Times New Roman" w:hAnsi="Times New Roman" w:eastAsia="方正仿宋_GBK" w:cs="方正仿宋_GBK"/>
          <w:b w:val="0"/>
          <w:bCs/>
          <w:color w:val="auto"/>
          <w:spacing w:val="-4"/>
          <w:sz w:val="32"/>
          <w:szCs w:val="32"/>
          <w:highlight w:val="none"/>
          <w:lang w:val="en-US" w:eastAsia="zh-CN"/>
        </w:rPr>
      </w:pPr>
      <w:r>
        <w:rPr>
          <w:rFonts w:hint="eastAsia" w:ascii="Times New Roman" w:hAnsi="Times New Roman" w:eastAsia="方正仿宋_GBK" w:cs="方正仿宋_GBK"/>
          <w:b w:val="0"/>
          <w:bCs/>
          <w:color w:val="auto"/>
          <w:spacing w:val="-4"/>
          <w:sz w:val="32"/>
          <w:szCs w:val="32"/>
          <w:highlight w:val="none"/>
          <w:lang w:val="en-US" w:eastAsia="zh-CN"/>
        </w:rPr>
        <w:t>（4）自治区彩票公益金支持老年人福利类项目。计划投入5280万元，支持公办养老机构和社区养老服务设施建设、改造及消防设施器材等设施设备配置，提升养老服务水平；提升公办养老机构责任意识和风险意识，维护老年人合法权益；提高养老护理员职业技能水平，持续推动养老服务队伍向专业化、职业化发展。</w:t>
      </w:r>
    </w:p>
    <w:p w14:paraId="68B8B021">
      <w:pPr>
        <w:keepNext w:val="0"/>
        <w:keepLines w:val="0"/>
        <w:pageBreakBefore w:val="0"/>
        <w:widowControl w:val="0"/>
        <w:numPr>
          <w:ilvl w:val="0"/>
          <w:numId w:val="0"/>
        </w:numPr>
        <w:kinsoku/>
        <w:wordWrap/>
        <w:overflowPunct/>
        <w:topLinePunct w:val="0"/>
        <w:autoSpaceDE/>
        <w:autoSpaceDN/>
        <w:bidi w:val="0"/>
        <w:adjustRightInd/>
        <w:spacing w:line="560" w:lineRule="exact"/>
        <w:ind w:left="0" w:leftChars="0" w:firstLine="624" w:firstLineChars="200"/>
        <w:jc w:val="both"/>
        <w:textAlignment w:val="auto"/>
        <w:rPr>
          <w:rFonts w:hint="eastAsia" w:ascii="Times New Roman" w:hAnsi="Times New Roman" w:eastAsia="方正仿宋_GBK" w:cs="方正仿宋_GBK"/>
          <w:b w:val="0"/>
          <w:bCs/>
          <w:color w:val="auto"/>
          <w:spacing w:val="-4"/>
          <w:sz w:val="32"/>
          <w:szCs w:val="32"/>
          <w:highlight w:val="yellow"/>
          <w:lang w:val="en-US" w:eastAsia="zh-CN"/>
        </w:rPr>
      </w:pPr>
      <w:r>
        <w:rPr>
          <w:rFonts w:hint="eastAsia" w:ascii="Times New Roman" w:hAnsi="Times New Roman" w:eastAsia="方正仿宋_GBK" w:cs="方正仿宋_GBK"/>
          <w:b w:val="0"/>
          <w:bCs/>
          <w:color w:val="auto"/>
          <w:spacing w:val="-4"/>
          <w:sz w:val="32"/>
          <w:szCs w:val="32"/>
          <w:highlight w:val="none"/>
          <w:lang w:val="en-US" w:eastAsia="zh-CN"/>
        </w:rPr>
        <w:t>（5）自治区彩票公益金支持社会公益类项目。计划投入3112万元，在地（州、市）打造慈善服务示范基地，引入企业、社会组织、志愿者等多元主体参与慈善服务，更加高效地整合慈善资源，引导社会各界积极参与慈善活动，发挥慈善在第三次分配中的重要作用；为入驻孵化基地的社会组织提供内部管理、专家咨询、资源链接、技能培训、项目策划、沟通交流、人才培养等多元化服务，提高社会组织孵化基地服务能力水平；支持包括殡仪馆在内的殡葬设施设备配备及改造提升，提升殡葬服务水平，为丧属提供安全、更好的服务环境，更好地满足人民群众殡葬服务需求，促进殡葬事业健康有序发展。</w:t>
      </w:r>
    </w:p>
    <w:p w14:paraId="068A2ACB">
      <w:pPr>
        <w:keepNext w:val="0"/>
        <w:keepLines w:val="0"/>
        <w:pageBreakBefore w:val="0"/>
        <w:widowControl w:val="0"/>
        <w:numPr>
          <w:ilvl w:val="0"/>
          <w:numId w:val="0"/>
        </w:numPr>
        <w:kinsoku/>
        <w:wordWrap/>
        <w:overflowPunct/>
        <w:topLinePunct w:val="0"/>
        <w:autoSpaceDE/>
        <w:autoSpaceDN/>
        <w:bidi w:val="0"/>
        <w:adjustRightInd/>
        <w:spacing w:line="560" w:lineRule="exact"/>
        <w:ind w:left="0" w:leftChars="0" w:firstLine="624" w:firstLineChars="200"/>
        <w:jc w:val="both"/>
        <w:textAlignment w:val="auto"/>
        <w:rPr>
          <w:rFonts w:hint="eastAsia" w:ascii="Times New Roman" w:hAnsi="Times New Roman" w:eastAsia="方正仿宋_GBK" w:cs="方正仿宋_GBK"/>
          <w:b w:val="0"/>
          <w:bCs/>
          <w:color w:val="auto"/>
          <w:spacing w:val="-4"/>
          <w:sz w:val="32"/>
          <w:szCs w:val="32"/>
          <w:highlight w:val="none"/>
          <w:lang w:val="en-US" w:eastAsia="zh-CN"/>
        </w:rPr>
      </w:pPr>
      <w:r>
        <w:rPr>
          <w:rFonts w:hint="eastAsia" w:ascii="Times New Roman" w:hAnsi="Times New Roman" w:eastAsia="方正仿宋_GBK" w:cs="方正仿宋_GBK"/>
          <w:b w:val="0"/>
          <w:bCs/>
          <w:color w:val="auto"/>
          <w:spacing w:val="-4"/>
          <w:sz w:val="32"/>
          <w:szCs w:val="32"/>
          <w:highlight w:val="none"/>
          <w:lang w:val="en-US" w:eastAsia="zh-CN"/>
        </w:rPr>
        <w:t>（6）政府购买社会救助事务性服务项目。计划投入5935万元，通过政府购买服务的方式，促使社会救助工作中摸底排查、定期复核等环节更加透明、公正，坚决杜绝“漏保”“错保”等风险隐患，提升社会救助工作的服务质量。</w:t>
      </w:r>
    </w:p>
    <w:p w14:paraId="4CEA955D">
      <w:pPr>
        <w:keepNext w:val="0"/>
        <w:keepLines w:val="0"/>
        <w:pageBreakBefore w:val="0"/>
        <w:widowControl w:val="0"/>
        <w:numPr>
          <w:ilvl w:val="0"/>
          <w:numId w:val="0"/>
        </w:numPr>
        <w:kinsoku/>
        <w:wordWrap/>
        <w:overflowPunct/>
        <w:topLinePunct w:val="0"/>
        <w:autoSpaceDE/>
        <w:autoSpaceDN/>
        <w:bidi w:val="0"/>
        <w:adjustRightInd/>
        <w:spacing w:line="560" w:lineRule="exact"/>
        <w:ind w:left="0" w:leftChars="0" w:firstLine="624" w:firstLineChars="200"/>
        <w:jc w:val="both"/>
        <w:textAlignment w:val="auto"/>
        <w:rPr>
          <w:rFonts w:hint="eastAsia" w:ascii="Times New Roman" w:hAnsi="Times New Roman" w:eastAsia="方正仿宋_GBK" w:cs="方正仿宋_GBK"/>
          <w:b w:val="0"/>
          <w:bCs/>
          <w:color w:val="auto"/>
          <w:spacing w:val="-4"/>
          <w:sz w:val="32"/>
          <w:szCs w:val="32"/>
          <w:highlight w:val="none"/>
          <w:lang w:val="en-US" w:eastAsia="zh-CN"/>
        </w:rPr>
      </w:pPr>
      <w:r>
        <w:rPr>
          <w:rFonts w:hint="eastAsia" w:ascii="Times New Roman" w:hAnsi="Times New Roman" w:eastAsia="方正仿宋_GBK" w:cs="方正仿宋_GBK"/>
          <w:b w:val="0"/>
          <w:bCs/>
          <w:color w:val="auto"/>
          <w:spacing w:val="-4"/>
          <w:sz w:val="32"/>
          <w:szCs w:val="32"/>
          <w:highlight w:val="none"/>
          <w:lang w:val="en-US" w:eastAsia="zh-CN"/>
        </w:rPr>
        <w:t>（7）自治区彩票公益金支持儿童福利类项目补助资金项目。计划投入4118万元，开展未成年人需求评估、心理疏导、教育引导等专业性关爱服务，推动未成年人保护工作高质量发展。</w:t>
      </w:r>
    </w:p>
    <w:p w14:paraId="7546299C">
      <w:pPr>
        <w:keepNext w:val="0"/>
        <w:keepLines w:val="0"/>
        <w:pageBreakBefore w:val="0"/>
        <w:widowControl w:val="0"/>
        <w:numPr>
          <w:ilvl w:val="0"/>
          <w:numId w:val="0"/>
        </w:numPr>
        <w:kinsoku/>
        <w:wordWrap/>
        <w:overflowPunct/>
        <w:topLinePunct w:val="0"/>
        <w:autoSpaceDE/>
        <w:autoSpaceDN/>
        <w:bidi w:val="0"/>
        <w:adjustRightInd/>
        <w:spacing w:line="560" w:lineRule="exact"/>
        <w:ind w:left="0" w:leftChars="0" w:firstLine="624" w:firstLineChars="200"/>
        <w:jc w:val="both"/>
        <w:textAlignment w:val="auto"/>
        <w:rPr>
          <w:rFonts w:hint="eastAsia" w:ascii="Times New Roman" w:hAnsi="Times New Roman" w:eastAsia="方正仿宋_GBK" w:cs="方正仿宋_GBK"/>
          <w:b w:val="0"/>
          <w:bCs/>
          <w:color w:val="auto"/>
          <w:spacing w:val="-4"/>
          <w:sz w:val="32"/>
          <w:szCs w:val="32"/>
          <w:highlight w:val="none"/>
          <w:lang w:val="en-US" w:eastAsia="zh-CN"/>
        </w:rPr>
      </w:pPr>
      <w:r>
        <w:rPr>
          <w:rFonts w:hint="eastAsia" w:ascii="Times New Roman" w:hAnsi="Times New Roman" w:eastAsia="方正仿宋_GBK" w:cs="方正仿宋_GBK"/>
          <w:b w:val="0"/>
          <w:bCs/>
          <w:color w:val="auto"/>
          <w:spacing w:val="-4"/>
          <w:sz w:val="32"/>
          <w:szCs w:val="32"/>
          <w:highlight w:val="none"/>
          <w:lang w:val="en-US" w:eastAsia="zh-CN"/>
        </w:rPr>
        <w:t>（8）民政事业专项经费项目。计划投入120万元，满足各族群众婚姻登记需要，确保各婚姻登记机关正常办理婚姻登记业务。</w:t>
      </w:r>
      <w:bookmarkStart w:id="15" w:name="_Toc9872"/>
      <w:bookmarkStart w:id="16" w:name="_Toc31512"/>
      <w:bookmarkStart w:id="17" w:name="_Toc7727"/>
    </w:p>
    <w:p w14:paraId="43937609">
      <w:pPr>
        <w:keepNext w:val="0"/>
        <w:keepLines w:val="0"/>
        <w:pageBreakBefore w:val="0"/>
        <w:widowControl w:val="0"/>
        <w:numPr>
          <w:ilvl w:val="0"/>
          <w:numId w:val="0"/>
        </w:numPr>
        <w:kinsoku/>
        <w:wordWrap/>
        <w:overflowPunct/>
        <w:topLinePunct w:val="0"/>
        <w:autoSpaceDE/>
        <w:autoSpaceDN/>
        <w:bidi w:val="0"/>
        <w:adjustRightInd/>
        <w:spacing w:line="560" w:lineRule="exact"/>
        <w:ind w:left="0" w:leftChars="0" w:firstLine="643" w:firstLineChars="200"/>
        <w:jc w:val="both"/>
        <w:textAlignment w:val="auto"/>
        <w:rPr>
          <w:rFonts w:hint="eastAsia" w:ascii="方正楷体_GBK" w:hAnsi="方正楷体_GBK" w:eastAsia="方正楷体_GBK" w:cs="方正楷体_GBK"/>
          <w:b/>
          <w:bCs w:val="0"/>
          <w:sz w:val="32"/>
          <w:szCs w:val="32"/>
          <w:lang w:val="en-US" w:eastAsia="zh-CN"/>
        </w:rPr>
      </w:pPr>
      <w:r>
        <w:rPr>
          <w:rFonts w:hint="eastAsia" w:ascii="方正楷体_GBK" w:hAnsi="方正楷体_GBK" w:eastAsia="方正楷体_GBK" w:cs="方正楷体_GBK"/>
          <w:b/>
          <w:bCs w:val="0"/>
          <w:sz w:val="32"/>
          <w:szCs w:val="32"/>
          <w:lang w:val="en-US" w:eastAsia="zh-CN"/>
        </w:rPr>
        <w:t>（三）部门单位整体预算规模及安排情况</w:t>
      </w:r>
      <w:bookmarkEnd w:id="15"/>
      <w:bookmarkEnd w:id="16"/>
      <w:bookmarkEnd w:id="17"/>
    </w:p>
    <w:p w14:paraId="1011BF07">
      <w:pPr>
        <w:keepNext w:val="0"/>
        <w:keepLines w:val="0"/>
        <w:pageBreakBefore w:val="0"/>
        <w:numPr>
          <w:ilvl w:val="0"/>
          <w:numId w:val="0"/>
        </w:numPr>
        <w:kinsoku/>
        <w:wordWrap/>
        <w:overflowPunct/>
        <w:topLinePunct w:val="0"/>
        <w:autoSpaceDE/>
        <w:autoSpaceDN/>
        <w:bidi w:val="0"/>
        <w:adjustRightInd/>
        <w:spacing w:line="560" w:lineRule="exact"/>
        <w:ind w:firstLine="627" w:firstLineChars="200"/>
        <w:jc w:val="both"/>
        <w:textAlignment w:val="auto"/>
        <w:outlineLvl w:val="2"/>
        <w:rPr>
          <w:rFonts w:hint="eastAsia" w:ascii="Times New Roman" w:hAnsi="Times New Roman" w:eastAsia="方正仿宋_GBK" w:cs="Times New Roman"/>
          <w:b w:val="0"/>
          <w:bCs/>
          <w:spacing w:val="-4"/>
          <w:sz w:val="32"/>
          <w:szCs w:val="32"/>
          <w:lang w:val="en-US" w:eastAsia="zh-CN"/>
        </w:rPr>
      </w:pPr>
      <w:bookmarkStart w:id="18" w:name="_Toc24953"/>
      <w:bookmarkStart w:id="19" w:name="_Toc15250"/>
      <w:r>
        <w:rPr>
          <w:rFonts w:hint="eastAsia" w:ascii="Times New Roman" w:hAnsi="Times New Roman" w:eastAsia="方正仿宋_GBK" w:cs="Times New Roman"/>
          <w:b/>
          <w:bCs w:val="0"/>
          <w:spacing w:val="-4"/>
          <w:sz w:val="32"/>
          <w:szCs w:val="32"/>
          <w:lang w:val="en-US" w:eastAsia="zh-CN"/>
        </w:rPr>
        <w:t>1.年初预算安排情况</w:t>
      </w:r>
      <w:bookmarkEnd w:id="18"/>
      <w:bookmarkEnd w:id="19"/>
    </w:p>
    <w:p w14:paraId="5F948A29">
      <w:pPr>
        <w:keepNext w:val="0"/>
        <w:keepLines w:val="0"/>
        <w:pageBreakBefore w:val="0"/>
        <w:widowControl w:val="0"/>
        <w:kinsoku/>
        <w:wordWrap/>
        <w:overflowPunct/>
        <w:topLinePunct w:val="0"/>
        <w:autoSpaceDE/>
        <w:autoSpaceDN/>
        <w:bidi w:val="0"/>
        <w:adjustRightInd w:val="0"/>
        <w:snapToGrid w:val="0"/>
        <w:spacing w:line="560" w:lineRule="exact"/>
        <w:ind w:firstLine="624" w:firstLineChars="200"/>
        <w:jc w:val="both"/>
        <w:textAlignment w:val="auto"/>
        <w:rPr>
          <w:rFonts w:hint="default" w:ascii="Times New Roman" w:hAnsi="Times New Roman" w:eastAsia="方正仿宋_GBK" w:cs="仿宋_GB2312"/>
          <w:b w:val="0"/>
          <w:bCs/>
          <w:color w:val="FF0000"/>
          <w:sz w:val="32"/>
          <w:szCs w:val="32"/>
          <w:highlight w:val="yellow"/>
          <w:lang w:val="en-US" w:eastAsia="zh-CN"/>
        </w:rPr>
      </w:pPr>
      <w:r>
        <w:rPr>
          <w:rFonts w:hint="eastAsia" w:ascii="Times New Roman" w:hAnsi="Times New Roman" w:eastAsia="方正仿宋_GBK"/>
          <w:b w:val="0"/>
          <w:bCs/>
          <w:color w:val="000000"/>
          <w:spacing w:val="-4"/>
          <w:sz w:val="32"/>
          <w:szCs w:val="32"/>
          <w:lang w:val="en-US" w:eastAsia="zh-CN"/>
        </w:rPr>
        <w:t>20</w:t>
      </w:r>
      <w:r>
        <w:rPr>
          <w:rFonts w:hint="eastAsia" w:ascii="Times New Roman" w:hAnsi="Times New Roman" w:eastAsia="方正仿宋_GBK" w:cs="Times New Roman"/>
          <w:b w:val="0"/>
          <w:bCs/>
          <w:color w:val="000000"/>
          <w:spacing w:val="-4"/>
          <w:sz w:val="32"/>
          <w:szCs w:val="32"/>
          <w:lang w:val="en-US" w:eastAsia="zh-CN"/>
        </w:rPr>
        <w:t>25年我部门年初预算安排112179.29万元，其中财政资金</w:t>
      </w:r>
      <w:r>
        <w:rPr>
          <w:rFonts w:hint="eastAsia" w:eastAsia="方正仿宋_GBK" w:cs="Times New Roman"/>
          <w:b w:val="0"/>
          <w:bCs/>
          <w:color w:val="000000"/>
          <w:spacing w:val="-4"/>
          <w:sz w:val="32"/>
          <w:szCs w:val="32"/>
          <w:lang w:val="en-US" w:eastAsia="zh-CN"/>
        </w:rPr>
        <w:t>110132.83</w:t>
      </w:r>
      <w:r>
        <w:rPr>
          <w:rFonts w:hint="eastAsia" w:ascii="Times New Roman" w:hAnsi="Times New Roman" w:eastAsia="方正仿宋_GBK" w:cs="Times New Roman"/>
          <w:b w:val="0"/>
          <w:bCs/>
          <w:color w:val="000000"/>
          <w:spacing w:val="-4"/>
          <w:sz w:val="32"/>
          <w:szCs w:val="32"/>
          <w:lang w:val="en-US" w:eastAsia="zh-CN"/>
        </w:rPr>
        <w:t>万元，其他资金2046.46万元，根据人</w:t>
      </w:r>
      <w:r>
        <w:rPr>
          <w:rFonts w:hint="eastAsia" w:ascii="Times New Roman" w:hAnsi="Times New Roman" w:eastAsia="方正仿宋_GBK"/>
          <w:b w:val="0"/>
          <w:bCs/>
          <w:color w:val="000000"/>
          <w:spacing w:val="-4"/>
          <w:sz w:val="32"/>
          <w:szCs w:val="32"/>
          <w:lang w:val="en-US" w:eastAsia="zh-CN"/>
        </w:rPr>
        <w:t>员定额标准</w:t>
      </w:r>
      <w:r>
        <w:rPr>
          <w:rFonts w:hint="eastAsia" w:ascii="Times New Roman" w:hAnsi="Times New Roman" w:eastAsia="方正仿宋_GBK" w:cs="Times New Roman"/>
          <w:b w:val="0"/>
          <w:bCs/>
          <w:color w:val="000000"/>
          <w:spacing w:val="-4"/>
          <w:sz w:val="32"/>
          <w:szCs w:val="32"/>
          <w:lang w:val="en-US" w:eastAsia="zh-CN"/>
        </w:rPr>
        <w:t>安排基本支出</w:t>
      </w:r>
      <w:r>
        <w:rPr>
          <w:rFonts w:hint="eastAsia" w:eastAsia="方正仿宋_GBK" w:cs="Times New Roman"/>
          <w:b w:val="0"/>
          <w:bCs/>
          <w:color w:val="000000"/>
          <w:spacing w:val="-4"/>
          <w:sz w:val="32"/>
          <w:szCs w:val="32"/>
          <w:lang w:val="en-US" w:eastAsia="zh-CN"/>
        </w:rPr>
        <w:t>，</w:t>
      </w:r>
      <w:r>
        <w:rPr>
          <w:rFonts w:hint="eastAsia" w:ascii="Times New Roman" w:hAnsi="Times New Roman" w:eastAsia="方正仿宋_GBK" w:cs="Times New Roman"/>
          <w:b w:val="0"/>
          <w:bCs/>
          <w:color w:val="000000"/>
          <w:spacing w:val="-4"/>
          <w:sz w:val="32"/>
          <w:szCs w:val="32"/>
          <w:lang w:val="en-US" w:eastAsia="zh-CN"/>
        </w:rPr>
        <w:t>主要用于部门维持正常运转；根据部门年度重点工作安排项目支出</w:t>
      </w:r>
      <w:r>
        <w:rPr>
          <w:rFonts w:hint="eastAsia" w:eastAsia="方正仿宋_GBK" w:cs="Times New Roman"/>
          <w:b w:val="0"/>
          <w:bCs/>
          <w:color w:val="000000"/>
          <w:spacing w:val="-4"/>
          <w:sz w:val="32"/>
          <w:szCs w:val="32"/>
          <w:lang w:val="en-US" w:eastAsia="zh-CN"/>
        </w:rPr>
        <w:t>，</w:t>
      </w:r>
      <w:r>
        <w:rPr>
          <w:rFonts w:hint="eastAsia" w:ascii="Times New Roman" w:hAnsi="Times New Roman" w:eastAsia="方正仿宋_GBK" w:cs="Times New Roman"/>
          <w:b w:val="0"/>
          <w:bCs/>
          <w:color w:val="000000"/>
          <w:spacing w:val="-4"/>
          <w:sz w:val="32"/>
          <w:szCs w:val="32"/>
          <w:lang w:val="en-US" w:eastAsia="zh-CN"/>
        </w:rPr>
        <w:t>主要用于</w:t>
      </w:r>
      <w:r>
        <w:rPr>
          <w:rFonts w:hint="eastAsia" w:ascii="Times New Roman" w:hAnsi="Times New Roman" w:eastAsia="方正仿宋_GBK" w:cs="Times New Roman"/>
          <w:b w:val="0"/>
          <w:bCs/>
          <w:color w:val="000000"/>
          <w:spacing w:val="-4"/>
          <w:sz w:val="32"/>
          <w:szCs w:val="32"/>
          <w:highlight w:val="none"/>
          <w:lang w:val="en-US" w:eastAsia="zh-CN"/>
        </w:rPr>
        <w:t>一是上级安排资金主要用于支持自治区“福康工程-困难残障人员康复辅具配置”项目</w:t>
      </w:r>
      <w:r>
        <w:rPr>
          <w:rFonts w:hint="eastAsia" w:eastAsia="方正仿宋_GBK" w:cs="Times New Roman"/>
          <w:b w:val="0"/>
          <w:bCs/>
          <w:color w:val="000000"/>
          <w:spacing w:val="-4"/>
          <w:sz w:val="32"/>
          <w:szCs w:val="32"/>
          <w:highlight w:val="none"/>
          <w:lang w:val="en-US" w:eastAsia="zh-CN"/>
        </w:rPr>
        <w:t>、残疾人康复辅具机构技术改造项目</w:t>
      </w:r>
      <w:r>
        <w:rPr>
          <w:rFonts w:hint="eastAsia" w:ascii="Times New Roman" w:hAnsi="Times New Roman" w:eastAsia="方正仿宋_GBK" w:cs="Times New Roman"/>
          <w:b w:val="0"/>
          <w:bCs/>
          <w:color w:val="000000"/>
          <w:spacing w:val="-4"/>
          <w:sz w:val="32"/>
          <w:szCs w:val="32"/>
          <w:highlight w:val="none"/>
          <w:lang w:val="en-US" w:eastAsia="zh-CN"/>
        </w:rPr>
        <w:t>；二是自治区安排项目资金主要用于支持自治区困难群众救助补助资金、80周岁以上老年人生活补助和免费体检自治区补助资金、政府购买社会救助事务性服务示范项目、民办非营利养老机构资助经费、幸福大院运转补助经费、困难残疾人生活补贴和重度残疾人护理补贴、自治区本级彩票公益金支持儿童福利项目、自治区本级彩票公益金支持残疾人福利项目、自治区彩票公益金支持老年人福利类项目、自治区彩票公益金支持社会公益类项目、民政事业专项经费、民政综合事务管理经费、社会组织能力提升购买服务辅助性项目、支持乡村振兴公益事业发展项目、养老机构服务能力提升项目、自治区民政厅巡察经费、困难群众社会福利事业供养人员项目、自治区民政康复中心实施孤残医疗康复“明天计划”项目、流浪乞讨人员救助补助资金项目、地名标准化专项业务经费项目、民政民生大数据智慧服务平台（新疆数字民政一体化支撑平台）项目、老龄事务项目、自治区行政区划调整重大专项项目、购买老龄事业发展政策研究服务项目、政府购买民政标准化建设项目、自治区“福康工程”残疾人康复辅具配置项目。</w:t>
      </w:r>
    </w:p>
    <w:p w14:paraId="28633ED8">
      <w:pPr>
        <w:keepNext w:val="0"/>
        <w:keepLines w:val="0"/>
        <w:pageBreakBefore w:val="0"/>
        <w:kinsoku/>
        <w:wordWrap/>
        <w:overflowPunct/>
        <w:topLinePunct w:val="0"/>
        <w:autoSpaceDE/>
        <w:autoSpaceDN/>
        <w:bidi w:val="0"/>
        <w:adjustRightInd/>
        <w:spacing w:line="560" w:lineRule="exact"/>
        <w:ind w:firstLine="627" w:firstLineChars="200"/>
        <w:jc w:val="both"/>
        <w:textAlignment w:val="auto"/>
        <w:outlineLvl w:val="2"/>
        <w:rPr>
          <w:rFonts w:hint="eastAsia" w:ascii="Times New Roman" w:hAnsi="Times New Roman" w:eastAsia="方正仿宋_GBK" w:cs="Times New Roman"/>
          <w:b/>
          <w:bCs w:val="0"/>
          <w:spacing w:val="-4"/>
          <w:sz w:val="32"/>
          <w:szCs w:val="32"/>
          <w:lang w:val="en-US" w:eastAsia="zh-CN"/>
        </w:rPr>
      </w:pPr>
      <w:bookmarkStart w:id="20" w:name="_Toc7210"/>
      <w:bookmarkStart w:id="21" w:name="_Toc20647"/>
      <w:r>
        <w:rPr>
          <w:rFonts w:hint="eastAsia" w:ascii="Times New Roman" w:hAnsi="Times New Roman" w:eastAsia="方正仿宋_GBK" w:cs="Times New Roman"/>
          <w:b/>
          <w:bCs w:val="0"/>
          <w:spacing w:val="-4"/>
          <w:sz w:val="32"/>
          <w:szCs w:val="32"/>
          <w:lang w:val="en-US" w:eastAsia="zh-CN"/>
        </w:rPr>
        <w:t>2.预算调整情况</w:t>
      </w:r>
      <w:bookmarkEnd w:id="20"/>
      <w:bookmarkEnd w:id="21"/>
    </w:p>
    <w:p w14:paraId="464ACB1D">
      <w:pPr>
        <w:keepNext w:val="0"/>
        <w:keepLines w:val="0"/>
        <w:pageBreakBefore w:val="0"/>
        <w:widowControl w:val="0"/>
        <w:kinsoku/>
        <w:wordWrap/>
        <w:overflowPunct/>
        <w:topLinePunct w:val="0"/>
        <w:autoSpaceDE/>
        <w:autoSpaceDN/>
        <w:bidi w:val="0"/>
        <w:adjustRightInd w:val="0"/>
        <w:snapToGrid w:val="0"/>
        <w:spacing w:line="560" w:lineRule="exact"/>
        <w:ind w:firstLine="624" w:firstLineChars="200"/>
        <w:jc w:val="both"/>
        <w:textAlignment w:val="auto"/>
        <w:rPr>
          <w:rFonts w:hint="eastAsia" w:ascii="Times New Roman" w:hAnsi="Times New Roman" w:eastAsia="方正仿宋_GBK" w:cs="Times New Roman"/>
          <w:b w:val="0"/>
          <w:bCs/>
          <w:color w:val="000000"/>
          <w:spacing w:val="-4"/>
          <w:sz w:val="32"/>
          <w:szCs w:val="32"/>
          <w:highlight w:val="none"/>
          <w:lang w:val="en-US" w:eastAsia="zh-CN"/>
        </w:rPr>
      </w:pPr>
      <w:r>
        <w:rPr>
          <w:rFonts w:hint="eastAsia" w:ascii="Times New Roman" w:hAnsi="Times New Roman" w:eastAsia="方正仿宋_GBK" w:cs="Times New Roman"/>
          <w:b w:val="0"/>
          <w:bCs/>
          <w:color w:val="000000"/>
          <w:spacing w:val="-4"/>
          <w:sz w:val="32"/>
          <w:szCs w:val="32"/>
          <w:highlight w:val="none"/>
          <w:lang w:val="en-US" w:eastAsia="zh-CN"/>
        </w:rPr>
        <w:t>2025年度我部门全年预算数为22309.86万元，预算调整数为-</w:t>
      </w:r>
      <w:r>
        <w:rPr>
          <w:rFonts w:hint="eastAsia" w:eastAsia="方正仿宋_GBK" w:cs="Times New Roman"/>
          <w:b w:val="0"/>
          <w:bCs/>
          <w:color w:val="000000"/>
          <w:spacing w:val="-4"/>
          <w:sz w:val="32"/>
          <w:szCs w:val="32"/>
          <w:highlight w:val="none"/>
          <w:lang w:val="en-US" w:eastAsia="zh-CN"/>
        </w:rPr>
        <w:t>89869.43</w:t>
      </w:r>
      <w:r>
        <w:rPr>
          <w:rFonts w:hint="eastAsia" w:ascii="Times New Roman" w:hAnsi="Times New Roman" w:eastAsia="方正仿宋_GBK" w:cs="Times New Roman"/>
          <w:b w:val="0"/>
          <w:bCs/>
          <w:color w:val="000000"/>
          <w:spacing w:val="-4"/>
          <w:sz w:val="32"/>
          <w:szCs w:val="32"/>
          <w:highlight w:val="none"/>
          <w:lang w:val="en-US" w:eastAsia="zh-CN"/>
        </w:rPr>
        <w:t>万元，预算调整率为-</w:t>
      </w:r>
      <w:r>
        <w:rPr>
          <w:rFonts w:hint="eastAsia" w:eastAsia="方正仿宋_GBK" w:cs="Times New Roman"/>
          <w:b w:val="0"/>
          <w:bCs/>
          <w:color w:val="000000"/>
          <w:spacing w:val="-4"/>
          <w:sz w:val="32"/>
          <w:szCs w:val="32"/>
          <w:highlight w:val="none"/>
          <w:lang w:val="en-US" w:eastAsia="zh-CN"/>
        </w:rPr>
        <w:t>80.11</w:t>
      </w:r>
      <w:r>
        <w:rPr>
          <w:rFonts w:hint="eastAsia" w:ascii="Times New Roman" w:hAnsi="Times New Roman" w:eastAsia="方正仿宋_GBK" w:cs="Times New Roman"/>
          <w:b w:val="0"/>
          <w:bCs/>
          <w:color w:val="000000"/>
          <w:spacing w:val="-4"/>
          <w:sz w:val="32"/>
          <w:szCs w:val="32"/>
          <w:highlight w:val="none"/>
          <w:lang w:val="en-US" w:eastAsia="zh-CN"/>
        </w:rPr>
        <w:t>%。其中基本支出调整数</w:t>
      </w:r>
      <w:r>
        <w:rPr>
          <w:rFonts w:hint="eastAsia" w:eastAsia="方正仿宋_GBK" w:cs="Times New Roman"/>
          <w:b w:val="0"/>
          <w:bCs/>
          <w:color w:val="000000"/>
          <w:spacing w:val="-4"/>
          <w:sz w:val="32"/>
          <w:szCs w:val="32"/>
          <w:highlight w:val="none"/>
          <w:lang w:val="en-US" w:eastAsia="zh-CN"/>
        </w:rPr>
        <w:t>515.63</w:t>
      </w:r>
      <w:r>
        <w:rPr>
          <w:rFonts w:hint="eastAsia" w:ascii="Times New Roman" w:hAnsi="Times New Roman" w:eastAsia="方正仿宋_GBK" w:cs="Times New Roman"/>
          <w:b w:val="0"/>
          <w:bCs/>
          <w:color w:val="000000"/>
          <w:spacing w:val="-4"/>
          <w:sz w:val="32"/>
          <w:szCs w:val="32"/>
          <w:highlight w:val="none"/>
          <w:lang w:val="en-US" w:eastAsia="zh-CN"/>
        </w:rPr>
        <w:t>万元，预算调整主要原因是：一是将老年康乐报社中161.54万元的差额补助录入在内；二是追加人员经费及公用经费共计</w:t>
      </w:r>
      <w:r>
        <w:rPr>
          <w:rFonts w:hint="eastAsia" w:eastAsia="方正仿宋_GBK" w:cs="Times New Roman"/>
          <w:b w:val="0"/>
          <w:bCs/>
          <w:color w:val="000000"/>
          <w:spacing w:val="-4"/>
          <w:sz w:val="32"/>
          <w:szCs w:val="32"/>
          <w:highlight w:val="none"/>
          <w:lang w:val="en-US" w:eastAsia="zh-CN"/>
        </w:rPr>
        <w:t>354.09</w:t>
      </w:r>
      <w:r>
        <w:rPr>
          <w:rFonts w:hint="eastAsia" w:ascii="Times New Roman" w:hAnsi="Times New Roman" w:eastAsia="方正仿宋_GBK" w:cs="Times New Roman"/>
          <w:b w:val="0"/>
          <w:bCs/>
          <w:color w:val="000000"/>
          <w:spacing w:val="-4"/>
          <w:sz w:val="32"/>
          <w:szCs w:val="32"/>
          <w:highlight w:val="none"/>
          <w:lang w:val="en-US" w:eastAsia="zh-CN"/>
        </w:rPr>
        <w:t>万元；项目支出调整数为-</w:t>
      </w:r>
      <w:r>
        <w:rPr>
          <w:rFonts w:hint="eastAsia" w:eastAsia="方正仿宋_GBK" w:cs="Times New Roman"/>
          <w:b w:val="0"/>
          <w:bCs/>
          <w:color w:val="000000"/>
          <w:spacing w:val="-4"/>
          <w:sz w:val="32"/>
          <w:szCs w:val="32"/>
          <w:highlight w:val="none"/>
          <w:lang w:val="en-US" w:eastAsia="zh-CN"/>
        </w:rPr>
        <w:t>90385.06</w:t>
      </w:r>
      <w:r>
        <w:rPr>
          <w:rFonts w:hint="eastAsia" w:ascii="Times New Roman" w:hAnsi="Times New Roman" w:eastAsia="方正仿宋_GBK" w:cs="Times New Roman"/>
          <w:b w:val="0"/>
          <w:bCs/>
          <w:color w:val="000000"/>
          <w:spacing w:val="-4"/>
          <w:sz w:val="32"/>
          <w:szCs w:val="32"/>
          <w:highlight w:val="none"/>
          <w:lang w:val="en-US" w:eastAsia="zh-CN"/>
        </w:rPr>
        <w:t>万元，调整主要原因是自治区转移支付至各地项目资金未纳入至2025年自治区民政厅部门决算当中。</w:t>
      </w:r>
    </w:p>
    <w:p w14:paraId="354F6DE4">
      <w:pPr>
        <w:keepNext w:val="0"/>
        <w:keepLines w:val="0"/>
        <w:pageBreakBefore w:val="0"/>
        <w:kinsoku/>
        <w:wordWrap/>
        <w:overflowPunct/>
        <w:topLinePunct w:val="0"/>
        <w:autoSpaceDE/>
        <w:autoSpaceDN/>
        <w:bidi w:val="0"/>
        <w:adjustRightInd/>
        <w:spacing w:line="560" w:lineRule="exact"/>
        <w:ind w:firstLine="627" w:firstLineChars="200"/>
        <w:jc w:val="both"/>
        <w:textAlignment w:val="auto"/>
        <w:outlineLvl w:val="2"/>
        <w:rPr>
          <w:rFonts w:hint="eastAsia" w:ascii="Times New Roman" w:hAnsi="Times New Roman" w:eastAsia="方正仿宋_GBK" w:cs="Times New Roman"/>
          <w:b/>
          <w:bCs w:val="0"/>
          <w:spacing w:val="-4"/>
          <w:sz w:val="32"/>
          <w:szCs w:val="32"/>
          <w:lang w:val="en-US" w:eastAsia="zh-CN"/>
        </w:rPr>
      </w:pPr>
      <w:bookmarkStart w:id="22" w:name="_Toc25995"/>
      <w:bookmarkStart w:id="23" w:name="_Toc22816"/>
      <w:r>
        <w:rPr>
          <w:rFonts w:hint="eastAsia" w:ascii="Times New Roman" w:hAnsi="Times New Roman" w:eastAsia="方正仿宋_GBK" w:cs="Times New Roman"/>
          <w:b/>
          <w:bCs w:val="0"/>
          <w:spacing w:val="-4"/>
          <w:sz w:val="32"/>
          <w:szCs w:val="32"/>
          <w:lang w:val="en-US" w:eastAsia="zh-CN"/>
        </w:rPr>
        <w:t>3.资金使用主要内容、涉及的范围</w:t>
      </w:r>
      <w:bookmarkEnd w:id="22"/>
      <w:bookmarkEnd w:id="23"/>
    </w:p>
    <w:p w14:paraId="500DB146">
      <w:pPr>
        <w:keepNext w:val="0"/>
        <w:keepLines w:val="0"/>
        <w:pageBreakBefore w:val="0"/>
        <w:widowControl w:val="0"/>
        <w:kinsoku/>
        <w:wordWrap/>
        <w:overflowPunct/>
        <w:topLinePunct w:val="0"/>
        <w:autoSpaceDE/>
        <w:autoSpaceDN/>
        <w:bidi w:val="0"/>
        <w:adjustRightInd w:val="0"/>
        <w:snapToGrid w:val="0"/>
        <w:spacing w:line="560" w:lineRule="exact"/>
        <w:ind w:firstLine="624" w:firstLineChars="200"/>
        <w:jc w:val="both"/>
        <w:textAlignment w:val="auto"/>
        <w:rPr>
          <w:rFonts w:hint="eastAsia" w:ascii="Times New Roman" w:hAnsi="Times New Roman" w:eastAsia="方正仿宋_GBK" w:cs="Times New Roman"/>
          <w:b w:val="0"/>
          <w:bCs/>
          <w:color w:val="000000"/>
          <w:spacing w:val="-4"/>
          <w:sz w:val="32"/>
          <w:szCs w:val="32"/>
          <w:lang w:val="en-US" w:eastAsia="zh-CN"/>
        </w:rPr>
      </w:pPr>
      <w:r>
        <w:rPr>
          <w:rFonts w:hint="eastAsia" w:ascii="Times New Roman" w:hAnsi="Times New Roman" w:eastAsia="方正仿宋_GBK" w:cs="Times New Roman"/>
          <w:b w:val="0"/>
          <w:bCs/>
          <w:color w:val="000000"/>
          <w:spacing w:val="-4"/>
          <w:sz w:val="32"/>
          <w:szCs w:val="32"/>
          <w:lang w:val="en-US" w:eastAsia="zh-CN"/>
        </w:rPr>
        <w:t>2025年度我部门整体支出</w:t>
      </w:r>
      <w:r>
        <w:rPr>
          <w:rFonts w:hint="eastAsia" w:ascii="Times New Roman" w:hAnsi="Times New Roman" w:eastAsia="方正仿宋_GBK" w:cs="Times New Roman"/>
          <w:b w:val="0"/>
          <w:bCs/>
          <w:color w:val="000000"/>
          <w:spacing w:val="-4"/>
          <w:sz w:val="32"/>
          <w:szCs w:val="32"/>
          <w:highlight w:val="none"/>
          <w:lang w:val="en-US" w:eastAsia="zh-CN"/>
        </w:rPr>
        <w:t>为21420.70</w:t>
      </w:r>
      <w:r>
        <w:rPr>
          <w:rFonts w:hint="eastAsia" w:ascii="Times New Roman" w:hAnsi="Times New Roman" w:eastAsia="方正仿宋_GBK" w:cs="Times New Roman"/>
          <w:b w:val="0"/>
          <w:bCs/>
          <w:color w:val="000000"/>
          <w:spacing w:val="-4"/>
          <w:sz w:val="32"/>
          <w:szCs w:val="32"/>
          <w:lang w:val="en-US" w:eastAsia="zh-CN"/>
        </w:rPr>
        <w:t>万元，其中：</w:t>
      </w:r>
    </w:p>
    <w:p w14:paraId="25C7B2F7">
      <w:pPr>
        <w:keepNext w:val="0"/>
        <w:keepLines w:val="0"/>
        <w:pageBreakBefore w:val="0"/>
        <w:widowControl w:val="0"/>
        <w:kinsoku/>
        <w:wordWrap/>
        <w:overflowPunct/>
        <w:topLinePunct w:val="0"/>
        <w:autoSpaceDE/>
        <w:autoSpaceDN/>
        <w:bidi w:val="0"/>
        <w:adjustRightInd w:val="0"/>
        <w:snapToGrid w:val="0"/>
        <w:spacing w:line="560" w:lineRule="exact"/>
        <w:ind w:firstLine="624" w:firstLineChars="200"/>
        <w:jc w:val="both"/>
        <w:textAlignment w:val="auto"/>
        <w:rPr>
          <w:rFonts w:hint="eastAsia" w:ascii="Times New Roman" w:hAnsi="Times New Roman" w:eastAsia="方正仿宋_GBK" w:cs="Times New Roman"/>
          <w:b w:val="0"/>
          <w:bCs/>
          <w:color w:val="000000"/>
          <w:spacing w:val="-4"/>
          <w:sz w:val="32"/>
          <w:szCs w:val="32"/>
          <w:lang w:val="en-US" w:eastAsia="zh-CN"/>
        </w:rPr>
      </w:pPr>
      <w:r>
        <w:rPr>
          <w:rFonts w:hint="eastAsia" w:ascii="Times New Roman" w:hAnsi="Times New Roman" w:eastAsia="方正仿宋_GBK" w:cs="Times New Roman"/>
          <w:b w:val="0"/>
          <w:bCs/>
          <w:color w:val="000000"/>
          <w:spacing w:val="-4"/>
          <w:sz w:val="32"/>
          <w:szCs w:val="32"/>
          <w:lang w:val="en-US" w:eastAsia="zh-CN"/>
        </w:rPr>
        <w:t>1.按支出性质：基本支出10075.46万元，资金使用主要内容为我部门人员经费支出8995.71万元，日常公用经费支出1079.75万元；项目支出共计11345.24万元，资金用于保障民政综合事务管理经费项目、支持乡村振兴公益事业发展项目、养老机构服务能力提升项目等支出；</w:t>
      </w:r>
    </w:p>
    <w:p w14:paraId="61C532B7">
      <w:pPr>
        <w:keepNext w:val="0"/>
        <w:keepLines w:val="0"/>
        <w:pageBreakBefore w:val="0"/>
        <w:widowControl w:val="0"/>
        <w:kinsoku/>
        <w:wordWrap/>
        <w:overflowPunct/>
        <w:topLinePunct w:val="0"/>
        <w:autoSpaceDE/>
        <w:autoSpaceDN/>
        <w:bidi w:val="0"/>
        <w:adjustRightInd w:val="0"/>
        <w:snapToGrid w:val="0"/>
        <w:spacing w:line="560" w:lineRule="exact"/>
        <w:ind w:firstLine="624" w:firstLineChars="200"/>
        <w:jc w:val="both"/>
        <w:textAlignment w:val="auto"/>
        <w:rPr>
          <w:rFonts w:hint="eastAsia" w:ascii="Times New Roman" w:hAnsi="Times New Roman" w:eastAsia="方正仿宋_GBK" w:cs="Times New Roman"/>
          <w:b w:val="0"/>
          <w:bCs/>
          <w:color w:val="000000"/>
          <w:spacing w:val="-4"/>
          <w:sz w:val="32"/>
          <w:szCs w:val="32"/>
          <w:lang w:val="en-US" w:eastAsia="zh-CN"/>
        </w:rPr>
      </w:pPr>
      <w:r>
        <w:rPr>
          <w:rFonts w:hint="eastAsia" w:ascii="Times New Roman" w:hAnsi="Times New Roman" w:eastAsia="方正仿宋_GBK" w:cs="Times New Roman"/>
          <w:b w:val="0"/>
          <w:bCs/>
          <w:color w:val="000000"/>
          <w:spacing w:val="-4"/>
          <w:sz w:val="32"/>
          <w:szCs w:val="32"/>
          <w:lang w:val="en-US" w:eastAsia="zh-CN"/>
        </w:rPr>
        <w:t>2.涉及范围（按经济分类)：包括工资福利支出8260.57万元，商品和服务支出9455.99万元，对个人和家庭的补助1724.48万元，资本性支出1979.66万元。</w:t>
      </w:r>
    </w:p>
    <w:p w14:paraId="66D20E21">
      <w:pPr>
        <w:keepNext w:val="0"/>
        <w:keepLines w:val="0"/>
        <w:pageBreakBefore w:val="0"/>
        <w:numPr>
          <w:ilvl w:val="0"/>
          <w:numId w:val="0"/>
        </w:numPr>
        <w:kinsoku/>
        <w:wordWrap/>
        <w:overflowPunct/>
        <w:topLinePunct w:val="0"/>
        <w:autoSpaceDE/>
        <w:autoSpaceDN/>
        <w:bidi w:val="0"/>
        <w:adjustRightInd/>
        <w:snapToGrid w:val="0"/>
        <w:spacing w:line="560" w:lineRule="exact"/>
        <w:ind w:firstLine="640" w:firstLineChars="200"/>
        <w:jc w:val="both"/>
        <w:textAlignment w:val="auto"/>
        <w:outlineLvl w:val="0"/>
        <w:rPr>
          <w:rFonts w:hint="eastAsia" w:ascii="方正黑体_GBK" w:hAnsi="方正黑体_GBK" w:eastAsia="方正黑体_GBK" w:cs="方正黑体_GBK"/>
          <w:b w:val="0"/>
          <w:bCs/>
          <w:color w:val="333333"/>
          <w:sz w:val="32"/>
          <w:szCs w:val="32"/>
          <w:lang w:bidi="ar"/>
        </w:rPr>
      </w:pPr>
      <w:bookmarkStart w:id="24" w:name="_Toc31292"/>
      <w:bookmarkStart w:id="25" w:name="_Toc22484"/>
      <w:bookmarkStart w:id="26" w:name="_Toc5179"/>
      <w:r>
        <w:rPr>
          <w:rFonts w:hint="eastAsia" w:ascii="方正黑体_GBK" w:hAnsi="方正黑体_GBK" w:eastAsia="方正黑体_GBK" w:cs="方正黑体_GBK"/>
          <w:b w:val="0"/>
          <w:bCs/>
          <w:color w:val="333333"/>
          <w:kern w:val="2"/>
          <w:sz w:val="32"/>
          <w:szCs w:val="32"/>
          <w:lang w:val="en-US" w:eastAsia="zh-CN" w:bidi="ar"/>
        </w:rPr>
        <w:t>二、</w:t>
      </w:r>
      <w:r>
        <w:rPr>
          <w:rFonts w:hint="eastAsia" w:ascii="方正黑体_GBK" w:hAnsi="方正黑体_GBK" w:eastAsia="方正黑体_GBK" w:cs="方正黑体_GBK"/>
          <w:b w:val="0"/>
          <w:bCs/>
          <w:color w:val="333333"/>
          <w:sz w:val="32"/>
          <w:szCs w:val="32"/>
          <w:lang w:bidi="ar"/>
        </w:rPr>
        <w:t>部门单位整体支出管理及使用情况</w:t>
      </w:r>
      <w:bookmarkEnd w:id="24"/>
      <w:bookmarkEnd w:id="25"/>
      <w:bookmarkEnd w:id="26"/>
    </w:p>
    <w:p w14:paraId="75E2F54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outlineLvl w:val="1"/>
        <w:rPr>
          <w:rFonts w:hint="eastAsia" w:ascii="方正楷体_GBK" w:hAnsi="方正楷体_GBK" w:eastAsia="方正楷体_GBK" w:cs="方正楷体_GBK"/>
          <w:b/>
          <w:bCs w:val="0"/>
          <w:sz w:val="32"/>
          <w:szCs w:val="32"/>
          <w:lang w:val="en-US" w:eastAsia="zh-CN"/>
        </w:rPr>
      </w:pPr>
      <w:bookmarkStart w:id="27" w:name="_Toc12906"/>
      <w:bookmarkStart w:id="28" w:name="_Toc16929"/>
      <w:bookmarkStart w:id="29" w:name="_Toc29253"/>
      <w:r>
        <w:rPr>
          <w:rFonts w:hint="eastAsia" w:ascii="方正楷体_GBK" w:hAnsi="方正楷体_GBK" w:eastAsia="方正楷体_GBK" w:cs="方正楷体_GBK"/>
          <w:b/>
          <w:bCs w:val="0"/>
          <w:sz w:val="32"/>
          <w:szCs w:val="32"/>
          <w:lang w:val="en-US" w:eastAsia="zh-CN"/>
        </w:rPr>
        <w:t>（一）部门单位整体支出管理情况</w:t>
      </w:r>
      <w:bookmarkEnd w:id="27"/>
      <w:bookmarkEnd w:id="28"/>
      <w:bookmarkEnd w:id="29"/>
    </w:p>
    <w:p w14:paraId="53E8A4F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outlineLvl w:val="2"/>
        <w:rPr>
          <w:rFonts w:hint="eastAsia" w:ascii="Times New Roman" w:hAnsi="Times New Roman" w:eastAsia="方正仿宋_GBK" w:cs="仿宋_GB2312"/>
          <w:b/>
          <w:bCs w:val="0"/>
          <w:sz w:val="32"/>
          <w:szCs w:val="32"/>
          <w:lang w:val="en-US" w:eastAsia="zh-CN"/>
        </w:rPr>
      </w:pPr>
      <w:bookmarkStart w:id="30" w:name="_Toc5951"/>
      <w:bookmarkStart w:id="31" w:name="_Toc15168"/>
      <w:bookmarkStart w:id="32" w:name="_Toc3057"/>
      <w:r>
        <w:rPr>
          <w:rFonts w:hint="eastAsia" w:ascii="Times New Roman" w:hAnsi="Times New Roman" w:eastAsia="方正仿宋_GBK" w:cs="仿宋_GB2312"/>
          <w:b/>
          <w:bCs w:val="0"/>
          <w:sz w:val="32"/>
          <w:szCs w:val="32"/>
          <w:lang w:val="en-US" w:eastAsia="zh-CN"/>
        </w:rPr>
        <w:t>1.预算编制</w:t>
      </w:r>
      <w:bookmarkEnd w:id="30"/>
      <w:bookmarkEnd w:id="31"/>
      <w:bookmarkEnd w:id="32"/>
    </w:p>
    <w:p w14:paraId="620287B1">
      <w:pPr>
        <w:keepNext w:val="0"/>
        <w:keepLines w:val="0"/>
        <w:pageBreakBefore w:val="0"/>
        <w:widowControl/>
        <w:suppressLineNumbers w:val="0"/>
        <w:kinsoku/>
        <w:wordWrap/>
        <w:overflowPunct/>
        <w:topLinePunct w:val="0"/>
        <w:autoSpaceDE/>
        <w:autoSpaceDN/>
        <w:bidi w:val="0"/>
        <w:adjustRightInd/>
        <w:spacing w:line="560" w:lineRule="exact"/>
        <w:ind w:firstLine="640" w:firstLineChars="200"/>
        <w:jc w:val="both"/>
        <w:textAlignment w:val="auto"/>
        <w:rPr>
          <w:rFonts w:hint="eastAsia" w:ascii="Times New Roman" w:hAnsi="Times New Roman" w:eastAsia="方正仿宋_GBK" w:cs="楷体"/>
          <w:b w:val="0"/>
          <w:bCs/>
          <w:color w:val="auto"/>
          <w:sz w:val="32"/>
          <w:szCs w:val="32"/>
          <w:lang w:val="en-US" w:eastAsia="zh-CN"/>
        </w:rPr>
      </w:pPr>
      <w:r>
        <w:rPr>
          <w:rFonts w:hint="eastAsia" w:ascii="Times New Roman" w:hAnsi="Times New Roman" w:eastAsia="方正仿宋_GBK" w:cs="仿宋_GB2312"/>
          <w:b w:val="0"/>
          <w:bCs/>
          <w:color w:val="auto"/>
          <w:kern w:val="0"/>
          <w:sz w:val="32"/>
          <w:szCs w:val="32"/>
          <w:lang w:val="en-US" w:eastAsia="zh-CN" w:bidi="ar"/>
        </w:rPr>
        <w:t>2025年我部门坚持围绕重点工作任务，科学谋划预算资金安排，坚持“先有项目再安排预算”的原则，提供项目设立政策依据、测算标准依据、详细测算过程、实施方案等材料，申报项目纳入项目库，科学测算编制项目预算资金需求未纳入预算安排的支出，执行中不予调整，及时完成部门预算编制申报，同时合理设定入库项目绩效指标、年度目标值，科学构建部门整体支出核心绩效指标体系和编报部门整体预算申请绩效报告，推动提高财政资金配置效益。</w:t>
      </w:r>
    </w:p>
    <w:p w14:paraId="1F499A2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outlineLvl w:val="2"/>
        <w:rPr>
          <w:rFonts w:hint="eastAsia" w:ascii="Times New Roman" w:hAnsi="Times New Roman" w:eastAsia="方正仿宋_GBK" w:cs="仿宋_GB2312"/>
          <w:b/>
          <w:bCs w:val="0"/>
          <w:sz w:val="32"/>
          <w:szCs w:val="32"/>
          <w:lang w:val="en-US" w:eastAsia="zh-CN"/>
        </w:rPr>
      </w:pPr>
      <w:bookmarkStart w:id="33" w:name="_Toc25471"/>
      <w:bookmarkStart w:id="34" w:name="_Toc26162"/>
      <w:bookmarkStart w:id="35" w:name="_Toc30044"/>
      <w:r>
        <w:rPr>
          <w:rFonts w:hint="eastAsia" w:ascii="Times New Roman" w:hAnsi="Times New Roman" w:eastAsia="方正仿宋_GBK" w:cs="仿宋_GB2312"/>
          <w:b/>
          <w:bCs w:val="0"/>
          <w:sz w:val="32"/>
          <w:szCs w:val="32"/>
          <w:lang w:val="en-US" w:eastAsia="zh-CN"/>
        </w:rPr>
        <w:t>2.预算执行</w:t>
      </w:r>
      <w:bookmarkEnd w:id="33"/>
      <w:bookmarkEnd w:id="34"/>
      <w:bookmarkEnd w:id="35"/>
    </w:p>
    <w:p w14:paraId="51AA1C04">
      <w:pPr>
        <w:keepNext w:val="0"/>
        <w:keepLines w:val="0"/>
        <w:pageBreakBefore w:val="0"/>
        <w:widowControl/>
        <w:suppressLineNumbers w:val="0"/>
        <w:kinsoku/>
        <w:wordWrap/>
        <w:overflowPunct/>
        <w:topLinePunct w:val="0"/>
        <w:autoSpaceDE/>
        <w:autoSpaceDN/>
        <w:bidi w:val="0"/>
        <w:adjustRightInd/>
        <w:spacing w:line="560" w:lineRule="exact"/>
        <w:ind w:firstLine="640" w:firstLineChars="200"/>
        <w:jc w:val="both"/>
        <w:textAlignment w:val="auto"/>
        <w:rPr>
          <w:rFonts w:hint="eastAsia" w:ascii="Times New Roman" w:hAnsi="Times New Roman" w:eastAsia="方正仿宋_GBK" w:cs="仿宋_GB2312"/>
          <w:b w:val="0"/>
          <w:bCs/>
          <w:color w:val="auto"/>
          <w:sz w:val="32"/>
          <w:szCs w:val="32"/>
          <w:lang w:val="en-US" w:eastAsia="zh-CN" w:bidi="ar"/>
        </w:rPr>
      </w:pPr>
      <w:r>
        <w:rPr>
          <w:rFonts w:hint="eastAsia" w:ascii="Times New Roman" w:hAnsi="Times New Roman" w:eastAsia="方正仿宋_GBK" w:cs="仿宋_GB2312"/>
          <w:b w:val="0"/>
          <w:bCs/>
          <w:color w:val="auto"/>
          <w:kern w:val="0"/>
          <w:sz w:val="32"/>
          <w:szCs w:val="32"/>
          <w:lang w:val="en-US" w:eastAsia="zh-CN" w:bidi="ar"/>
        </w:rPr>
        <w:t>我部门严格按照《彩票公益金管理办法》（财综〔2021〕18号）《自治区民政厅预算绩效一体化推进工作方案》《自治区民政厅工程建设项目变更管理办法》《自治区民政厅工程建设项目基本建设程序规范管理指引清单》等制度，首次联合自治区财政厅、发展改革委印发《项目建设任务及资金支出进度的通知》，指导各单位对照时间表、线路图加快项目推进，认真落实月调度制度，加快项目推进，强化日常监管，定期分析监测，从源头上把好项目建设、资金支付管理关口，确保了项目建设有人抓、有人管，确保了资金使用依法依规、专款专用。</w:t>
      </w:r>
    </w:p>
    <w:p w14:paraId="5A41637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outlineLvl w:val="2"/>
        <w:rPr>
          <w:rFonts w:hint="eastAsia" w:ascii="Times New Roman" w:hAnsi="Times New Roman" w:eastAsia="方正仿宋_GBK" w:cs="仿宋_GB2312"/>
          <w:b w:val="0"/>
          <w:bCs/>
          <w:sz w:val="32"/>
          <w:szCs w:val="32"/>
          <w:lang w:val="en-US" w:eastAsia="zh-CN"/>
        </w:rPr>
      </w:pPr>
      <w:bookmarkStart w:id="36" w:name="_Toc31456"/>
      <w:bookmarkStart w:id="37" w:name="_Toc26085"/>
      <w:bookmarkStart w:id="38" w:name="_Toc3280"/>
      <w:r>
        <w:rPr>
          <w:rFonts w:hint="eastAsia" w:ascii="Times New Roman" w:hAnsi="Times New Roman" w:eastAsia="方正仿宋_GBK" w:cs="仿宋_GB2312"/>
          <w:b/>
          <w:bCs w:val="0"/>
          <w:sz w:val="32"/>
          <w:szCs w:val="32"/>
          <w:lang w:val="en-US" w:eastAsia="zh-CN"/>
        </w:rPr>
        <w:t>3.绩效管理</w:t>
      </w:r>
      <w:bookmarkEnd w:id="36"/>
      <w:bookmarkEnd w:id="37"/>
      <w:bookmarkEnd w:id="38"/>
    </w:p>
    <w:p w14:paraId="72D530B1">
      <w:pPr>
        <w:keepNext w:val="0"/>
        <w:keepLines w:val="0"/>
        <w:pageBreakBefore w:val="0"/>
        <w:widowControl/>
        <w:suppressLineNumbers w:val="0"/>
        <w:kinsoku/>
        <w:wordWrap/>
        <w:overflowPunct/>
        <w:topLinePunct w:val="0"/>
        <w:autoSpaceDE/>
        <w:autoSpaceDN/>
        <w:bidi w:val="0"/>
        <w:adjustRightInd/>
        <w:spacing w:line="560" w:lineRule="exact"/>
        <w:ind w:firstLine="624" w:firstLineChars="200"/>
        <w:jc w:val="both"/>
        <w:textAlignment w:val="auto"/>
        <w:rPr>
          <w:rFonts w:hint="default" w:ascii="Times New Roman" w:hAnsi="Times New Roman" w:eastAsia="方正仿宋_GBK" w:cs="Times New Roman"/>
          <w:b w:val="0"/>
          <w:bCs/>
          <w:i w:val="0"/>
          <w:iCs w:val="0"/>
          <w:caps w:val="0"/>
          <w:color w:val="auto"/>
          <w:spacing w:val="0"/>
          <w:sz w:val="32"/>
          <w:szCs w:val="32"/>
          <w:shd w:val="clear" w:color="auto" w:fill="auto"/>
          <w:lang w:val="en-US" w:eastAsia="zh-CN" w:bidi="ar"/>
        </w:rPr>
      </w:pPr>
      <w:r>
        <w:rPr>
          <w:rFonts w:hint="default" w:ascii="Times New Roman" w:hAnsi="Times New Roman" w:eastAsia="方正仿宋_GBK" w:cs="Times New Roman"/>
          <w:b w:val="0"/>
          <w:bCs/>
          <w:color w:val="auto"/>
          <w:spacing w:val="-4"/>
          <w:sz w:val="32"/>
          <w:szCs w:val="32"/>
          <w:lang w:val="en-US" w:eastAsia="zh-CN"/>
        </w:rPr>
        <w:t>我部门按照《中共中央国务院关于全面实施预算绩效管理的意见》《关于加强和规范自治区本级项目支出“全过程”预算绩效管理结果应用的通知》（新财预〔2022〕57号）等相关文件要求，一是认真履行预算绩效管理责任，形成书记厅长抓“难点”、副厅长分片包干、业务处室常态监管的局面，预算绩效管理覆盖率达100%，提升了工作管理水平；二是印发《预算绩效执行责任落实方案》，明确职责任务，规范绩效运行监控、评价结果应用等各环节流程。结合《党政机关厉行节约反对浪费条例》，出台《经费支出管理办法》《政府采购公平竞争审查暂行办法》等制度文件，形成了较为完备的内部控制体系；三是组织开展了民政预算绩效及项目管理培训，为提升绩效管理水平夯实了基础；四是联合自治区财政厅、发展改革委印发《项目建设任务及资金支出进度的通知》，指导各地各单位对照时间表、线路图加快项目推进，认真落实月调度制度，加大绩效监控，强化资金使用绩效总体评价。自治区民政厅严格执行有关财经制度，进一步加强预算绩效管理，在预算执行中做好绩效监控，预算执行完做好绩效评价，切实提高财政资金使用效益，确保资金安全规范使用，确保年度绩效目标如期实现</w:t>
      </w:r>
      <w:r>
        <w:rPr>
          <w:rFonts w:hint="default" w:ascii="Times New Roman" w:hAnsi="Times New Roman" w:eastAsia="方正仿宋_GBK" w:cs="Times New Roman"/>
          <w:b w:val="0"/>
          <w:bCs/>
          <w:i w:val="0"/>
          <w:iCs w:val="0"/>
          <w:caps w:val="0"/>
          <w:color w:val="auto"/>
          <w:spacing w:val="0"/>
          <w:sz w:val="32"/>
          <w:szCs w:val="32"/>
          <w:shd w:val="clear" w:color="auto" w:fill="auto"/>
          <w:lang w:val="en-US" w:eastAsia="zh-CN" w:bidi="ar"/>
        </w:rPr>
        <w:t>。</w:t>
      </w:r>
    </w:p>
    <w:p w14:paraId="3C00D58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outlineLvl w:val="2"/>
        <w:rPr>
          <w:rFonts w:hint="eastAsia" w:ascii="Times New Roman" w:hAnsi="Times New Roman" w:eastAsia="方正仿宋_GBK" w:cs="仿宋_GB2312"/>
          <w:b/>
          <w:bCs w:val="0"/>
          <w:sz w:val="32"/>
          <w:szCs w:val="32"/>
          <w:lang w:val="en-US" w:eastAsia="zh-CN"/>
        </w:rPr>
      </w:pPr>
      <w:bookmarkStart w:id="39" w:name="_Toc4747"/>
      <w:bookmarkStart w:id="40" w:name="_Toc2740"/>
      <w:bookmarkStart w:id="41" w:name="_Toc7989"/>
      <w:r>
        <w:rPr>
          <w:rFonts w:hint="eastAsia" w:ascii="Times New Roman" w:hAnsi="Times New Roman" w:eastAsia="方正仿宋_GBK" w:cs="仿宋_GB2312"/>
          <w:b/>
          <w:bCs w:val="0"/>
          <w:sz w:val="32"/>
          <w:szCs w:val="32"/>
          <w:lang w:val="en-US" w:eastAsia="zh-CN"/>
        </w:rPr>
        <w:t>4.信息公开</w:t>
      </w:r>
      <w:bookmarkEnd w:id="39"/>
      <w:bookmarkEnd w:id="40"/>
      <w:bookmarkEnd w:id="41"/>
    </w:p>
    <w:p w14:paraId="06782FFE">
      <w:pPr>
        <w:keepNext w:val="0"/>
        <w:keepLines w:val="0"/>
        <w:pageBreakBefore w:val="0"/>
        <w:widowControl/>
        <w:suppressLineNumbers w:val="0"/>
        <w:kinsoku/>
        <w:wordWrap/>
        <w:overflowPunct/>
        <w:topLinePunct w:val="0"/>
        <w:autoSpaceDE/>
        <w:autoSpaceDN/>
        <w:bidi w:val="0"/>
        <w:adjustRightInd/>
        <w:spacing w:line="560" w:lineRule="exact"/>
        <w:ind w:firstLine="640" w:firstLineChars="200"/>
        <w:jc w:val="both"/>
        <w:textAlignment w:val="auto"/>
        <w:rPr>
          <w:rFonts w:hint="eastAsia" w:ascii="Times New Roman" w:hAnsi="Times New Roman" w:eastAsia="方正仿宋_GBK" w:cs="仿宋_GB2312"/>
          <w:b w:val="0"/>
          <w:bCs/>
          <w:color w:val="auto"/>
          <w:kern w:val="0"/>
          <w:sz w:val="32"/>
          <w:szCs w:val="32"/>
          <w:lang w:val="en-US" w:eastAsia="zh-CN" w:bidi="ar"/>
        </w:rPr>
      </w:pPr>
      <w:r>
        <w:rPr>
          <w:rFonts w:hint="eastAsia" w:ascii="Times New Roman" w:hAnsi="Times New Roman" w:eastAsia="方正仿宋_GBK" w:cs="仿宋_GB2312"/>
          <w:b w:val="0"/>
          <w:bCs/>
          <w:color w:val="auto"/>
          <w:kern w:val="0"/>
          <w:sz w:val="32"/>
          <w:szCs w:val="32"/>
          <w:lang w:val="en-US" w:eastAsia="zh-CN" w:bidi="ar"/>
        </w:rPr>
        <w:t>我部门严格按照财政部门预算编制与预算调整的工作要求，在预算编制、分配依据充分的条件下，切实做好“先定目标再编预算”，确保预算分配结果合理。已按要求在自治区民政厅、自治区财政厅门户网站公开部门预算信息，同步公开绩效目标表；在自治区民政厅、自治区财政厅门户网站公开部门决算信息，同步公开自评表及自评报告，广泛接受社会监督。</w:t>
      </w:r>
    </w:p>
    <w:p w14:paraId="3977FC7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outlineLvl w:val="1"/>
        <w:rPr>
          <w:rFonts w:hint="eastAsia" w:ascii="方正楷体_GBK" w:hAnsi="方正楷体_GBK" w:eastAsia="方正楷体_GBK" w:cs="方正楷体_GBK"/>
          <w:b/>
          <w:bCs w:val="0"/>
          <w:sz w:val="32"/>
        </w:rPr>
      </w:pPr>
      <w:bookmarkStart w:id="42" w:name="_Toc1224"/>
      <w:bookmarkStart w:id="43" w:name="_Toc2315"/>
      <w:bookmarkStart w:id="44" w:name="_Toc4078"/>
      <w:r>
        <w:rPr>
          <w:rFonts w:hint="eastAsia" w:ascii="方正楷体_GBK" w:hAnsi="方正楷体_GBK" w:eastAsia="方正楷体_GBK" w:cs="方正楷体_GBK"/>
          <w:b/>
          <w:bCs w:val="0"/>
          <w:sz w:val="32"/>
          <w:szCs w:val="32"/>
          <w:lang w:val="en-US" w:eastAsia="zh-CN"/>
        </w:rPr>
        <w:t>（二）部门单位整体支出使用情况</w:t>
      </w:r>
      <w:bookmarkEnd w:id="42"/>
      <w:bookmarkEnd w:id="43"/>
      <w:bookmarkEnd w:id="44"/>
    </w:p>
    <w:p w14:paraId="014406C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24" w:firstLineChars="200"/>
        <w:jc w:val="both"/>
        <w:textAlignment w:val="auto"/>
        <w:outlineLvl w:val="9"/>
        <w:rPr>
          <w:rFonts w:hint="default" w:ascii="Times New Roman" w:hAnsi="Times New Roman" w:eastAsia="方正仿宋_GBK" w:cs="Times New Roman"/>
          <w:b w:val="0"/>
          <w:bCs/>
          <w:sz w:val="32"/>
          <w:lang w:val="en-US" w:eastAsia="zh-CN"/>
        </w:rPr>
      </w:pPr>
      <w:r>
        <w:rPr>
          <w:rFonts w:hint="default" w:ascii="Times New Roman" w:hAnsi="Times New Roman" w:eastAsia="方正仿宋_GBK" w:cs="Times New Roman"/>
          <w:b w:val="0"/>
          <w:bCs/>
          <w:color w:val="000000"/>
          <w:spacing w:val="-4"/>
          <w:sz w:val="32"/>
          <w:szCs w:val="32"/>
          <w:lang w:val="en-US" w:eastAsia="zh-CN"/>
        </w:rPr>
        <w:t>2025年我部门（单位）总支出21420.70万元，预算执行率96.01%，其中文化旅游体育与传媒支出971.66万元、社会保障和就业支出13121.97万元、卫生健康支出731.43万元、住房保障支出539.59万元、其他支出6056.05万元。</w:t>
      </w:r>
    </w:p>
    <w:p w14:paraId="492A23F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outlineLvl w:val="2"/>
        <w:rPr>
          <w:rFonts w:hint="default" w:ascii="Times New Roman" w:hAnsi="Times New Roman" w:eastAsia="方正仿宋_GBK"/>
          <w:b/>
          <w:bCs w:val="0"/>
          <w:sz w:val="32"/>
          <w:szCs w:val="32"/>
          <w:lang w:val="en-US" w:eastAsia="zh-CN"/>
        </w:rPr>
      </w:pPr>
      <w:bookmarkStart w:id="45" w:name="_Toc32320"/>
      <w:bookmarkStart w:id="46" w:name="_Toc11447"/>
      <w:bookmarkStart w:id="47" w:name="_Toc3380"/>
      <w:r>
        <w:rPr>
          <w:rFonts w:hint="eastAsia" w:ascii="Times New Roman" w:hAnsi="Times New Roman" w:eastAsia="方正仿宋_GBK"/>
          <w:b/>
          <w:bCs w:val="0"/>
          <w:sz w:val="32"/>
          <w:szCs w:val="32"/>
          <w:lang w:val="en-US" w:eastAsia="zh-CN"/>
        </w:rPr>
        <w:t>1.基本支出</w:t>
      </w:r>
      <w:bookmarkEnd w:id="45"/>
      <w:r>
        <w:rPr>
          <w:rFonts w:hint="eastAsia" w:ascii="Times New Roman" w:hAnsi="Times New Roman" w:eastAsia="方正仿宋_GBK"/>
          <w:b/>
          <w:bCs w:val="0"/>
          <w:sz w:val="32"/>
          <w:szCs w:val="32"/>
          <w:lang w:val="en-US" w:eastAsia="zh-CN"/>
        </w:rPr>
        <w:t>情况</w:t>
      </w:r>
      <w:bookmarkEnd w:id="46"/>
      <w:bookmarkEnd w:id="47"/>
    </w:p>
    <w:p w14:paraId="23CA806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Style w:val="8"/>
          <w:rFonts w:hint="default" w:ascii="Times New Roman" w:hAnsi="Times New Roman" w:eastAsia="方正仿宋_GBK" w:cs="Times New Roman"/>
          <w:b w:val="0"/>
          <w:bCs/>
          <w:color w:val="000000"/>
          <w:spacing w:val="-4"/>
          <w:sz w:val="32"/>
          <w:szCs w:val="32"/>
          <w:highlight w:val="none"/>
          <w:lang w:val="en-US" w:eastAsia="zh-CN"/>
        </w:rPr>
      </w:pPr>
      <w:r>
        <w:rPr>
          <w:rFonts w:hint="default" w:ascii="Times New Roman" w:hAnsi="Times New Roman" w:eastAsia="方正仿宋_GBK" w:cs="Times New Roman"/>
          <w:b w:val="0"/>
          <w:bCs/>
          <w:color w:val="000000"/>
          <w:sz w:val="32"/>
          <w:szCs w:val="32"/>
          <w:lang w:val="en-US" w:eastAsia="zh-CN"/>
        </w:rPr>
        <w:t>2025年基本支出10075.46</w:t>
      </w:r>
      <w:r>
        <w:rPr>
          <w:rStyle w:val="8"/>
          <w:rFonts w:hint="default" w:ascii="Times New Roman" w:hAnsi="Times New Roman" w:eastAsia="方正仿宋_GBK" w:cs="Times New Roman"/>
          <w:b w:val="0"/>
          <w:bCs/>
          <w:color w:val="000000"/>
          <w:spacing w:val="-4"/>
          <w:sz w:val="32"/>
          <w:szCs w:val="32"/>
          <w:lang w:val="en-US" w:eastAsia="zh-CN"/>
        </w:rPr>
        <w:t>万元，</w:t>
      </w:r>
      <w:r>
        <w:rPr>
          <w:rStyle w:val="8"/>
          <w:rFonts w:hint="default" w:ascii="Times New Roman" w:hAnsi="Times New Roman" w:eastAsia="方正仿宋_GBK" w:cs="Times New Roman"/>
          <w:b w:val="0"/>
          <w:bCs/>
          <w:color w:val="000000"/>
          <w:spacing w:val="-4"/>
          <w:sz w:val="32"/>
          <w:szCs w:val="32"/>
          <w:highlight w:val="none"/>
          <w:lang w:val="en-US" w:eastAsia="zh-CN"/>
        </w:rPr>
        <w:t>较上年增加</w:t>
      </w:r>
      <w:r>
        <w:rPr>
          <w:rStyle w:val="8"/>
          <w:rFonts w:hint="eastAsia" w:ascii="Times New Roman" w:hAnsi="Times New Roman" w:eastAsia="方正仿宋_GBK" w:cs="Times New Roman"/>
          <w:b w:val="0"/>
          <w:bCs/>
          <w:color w:val="000000"/>
          <w:spacing w:val="-4"/>
          <w:sz w:val="32"/>
          <w:szCs w:val="32"/>
          <w:highlight w:val="none"/>
          <w:lang w:val="en-US" w:eastAsia="zh-CN"/>
        </w:rPr>
        <w:t>1544.95</w:t>
      </w:r>
      <w:r>
        <w:rPr>
          <w:rStyle w:val="8"/>
          <w:rFonts w:hint="default" w:ascii="Times New Roman" w:hAnsi="Times New Roman" w:eastAsia="方正仿宋_GBK" w:cs="Times New Roman"/>
          <w:b w:val="0"/>
          <w:bCs/>
          <w:color w:val="000000"/>
          <w:spacing w:val="-4"/>
          <w:sz w:val="32"/>
          <w:szCs w:val="32"/>
          <w:highlight w:val="none"/>
          <w:lang w:val="en-US" w:eastAsia="zh-CN"/>
        </w:rPr>
        <w:t>万元，主要原因是新疆维吾尔自治区老年大学、新疆维吾尔自治区老年康乐报社因机构改革由自治区卫健委转隶至自治区民政厅，基本支出较上年增加。</w:t>
      </w:r>
    </w:p>
    <w:p w14:paraId="3D185CDD">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24" w:firstLineChars="200"/>
        <w:jc w:val="both"/>
        <w:textAlignment w:val="auto"/>
        <w:rPr>
          <w:rFonts w:hint="default" w:ascii="Times New Roman" w:hAnsi="Times New Roman" w:eastAsia="方正仿宋_GBK" w:cs="Times New Roman"/>
          <w:b w:val="0"/>
          <w:bCs/>
          <w:color w:val="000000"/>
          <w:sz w:val="32"/>
          <w:szCs w:val="32"/>
          <w:highlight w:val="none"/>
          <w:lang w:val="en-US" w:eastAsia="zh-CN"/>
        </w:rPr>
      </w:pPr>
      <w:r>
        <w:rPr>
          <w:rStyle w:val="8"/>
          <w:rFonts w:hint="default" w:ascii="Times New Roman" w:hAnsi="Times New Roman" w:eastAsia="方正仿宋_GBK" w:cs="Times New Roman"/>
          <w:b w:val="0"/>
          <w:bCs/>
          <w:color w:val="000000"/>
          <w:spacing w:val="-4"/>
          <w:sz w:val="32"/>
          <w:szCs w:val="32"/>
          <w:lang w:val="en-US" w:eastAsia="zh-CN"/>
        </w:rPr>
        <w:t>基本支出中人员经费支出8995.71万元，</w:t>
      </w:r>
      <w:r>
        <w:rPr>
          <w:rStyle w:val="8"/>
          <w:rFonts w:hint="default" w:ascii="Times New Roman" w:hAnsi="Times New Roman" w:eastAsia="方正仿宋_GBK" w:cs="Times New Roman"/>
          <w:b w:val="0"/>
          <w:bCs/>
          <w:color w:val="000000"/>
          <w:spacing w:val="-4"/>
          <w:sz w:val="32"/>
          <w:szCs w:val="32"/>
          <w:highlight w:val="none"/>
          <w:lang w:val="en-US" w:eastAsia="zh-CN"/>
        </w:rPr>
        <w:t>主要包括</w:t>
      </w:r>
      <w:r>
        <w:rPr>
          <w:rFonts w:hint="default" w:ascii="Times New Roman" w:hAnsi="Times New Roman" w:eastAsia="方正仿宋_GBK" w:cs="Times New Roman"/>
          <w:b w:val="0"/>
          <w:bCs/>
          <w:color w:val="000000"/>
          <w:sz w:val="32"/>
          <w:szCs w:val="32"/>
          <w:highlight w:val="none"/>
          <w:lang w:val="en-US" w:eastAsia="zh-CN"/>
        </w:rPr>
        <w:t>基本工资、津贴补贴、奖金、绩效工资、机关事业单位基本养老保险缴费、职业年金缴费、职工基本医疗保险缴费、公务员医疗补助缴费、其他社会保障缴费、住房公积金、其他工资福利支出、离休费</w:t>
      </w:r>
      <w:r>
        <w:rPr>
          <w:rFonts w:hint="eastAsia" w:ascii="Times New Roman" w:hAnsi="Times New Roman" w:eastAsia="方正仿宋_GBK" w:cs="Times New Roman"/>
          <w:b w:val="0"/>
          <w:bCs/>
          <w:color w:val="000000"/>
          <w:sz w:val="32"/>
          <w:szCs w:val="32"/>
          <w:highlight w:val="none"/>
          <w:lang w:val="en-US" w:eastAsia="zh-CN"/>
        </w:rPr>
        <w:t>、退休费</w:t>
      </w:r>
      <w:r>
        <w:rPr>
          <w:rFonts w:hint="default" w:ascii="Times New Roman" w:hAnsi="Times New Roman" w:eastAsia="方正仿宋_GBK" w:cs="Times New Roman"/>
          <w:b w:val="0"/>
          <w:bCs/>
          <w:color w:val="000000"/>
          <w:sz w:val="32"/>
          <w:szCs w:val="32"/>
          <w:highlight w:val="none"/>
          <w:lang w:val="en-US" w:eastAsia="zh-CN"/>
        </w:rPr>
        <w:t>、</w:t>
      </w:r>
      <w:r>
        <w:rPr>
          <w:rFonts w:hint="eastAsia" w:ascii="Times New Roman" w:hAnsi="Times New Roman" w:eastAsia="方正仿宋_GBK" w:cs="Times New Roman"/>
          <w:b w:val="0"/>
          <w:bCs/>
          <w:color w:val="000000"/>
          <w:sz w:val="32"/>
          <w:szCs w:val="32"/>
          <w:highlight w:val="none"/>
          <w:lang w:val="en-US" w:eastAsia="zh-CN"/>
        </w:rPr>
        <w:t>抚恤金、</w:t>
      </w:r>
      <w:r>
        <w:rPr>
          <w:rFonts w:hint="default" w:ascii="Times New Roman" w:hAnsi="Times New Roman" w:eastAsia="方正仿宋_GBK" w:cs="Times New Roman"/>
          <w:b w:val="0"/>
          <w:bCs/>
          <w:color w:val="000000"/>
          <w:sz w:val="32"/>
          <w:szCs w:val="32"/>
          <w:highlight w:val="none"/>
          <w:lang w:val="en-US" w:eastAsia="zh-CN"/>
        </w:rPr>
        <w:t>生活补助、</w:t>
      </w:r>
      <w:r>
        <w:rPr>
          <w:rFonts w:hint="eastAsia" w:ascii="Times New Roman" w:hAnsi="Times New Roman" w:eastAsia="方正仿宋_GBK" w:cs="Times New Roman"/>
          <w:b w:val="0"/>
          <w:bCs/>
          <w:color w:val="000000"/>
          <w:sz w:val="32"/>
          <w:szCs w:val="32"/>
          <w:highlight w:val="none"/>
          <w:lang w:val="en-US" w:eastAsia="zh-CN"/>
        </w:rPr>
        <w:t>奖励金</w:t>
      </w:r>
      <w:r>
        <w:rPr>
          <w:rFonts w:hint="default" w:ascii="Times New Roman" w:hAnsi="Times New Roman" w:eastAsia="方正仿宋_GBK" w:cs="Times New Roman"/>
          <w:b w:val="0"/>
          <w:bCs/>
          <w:color w:val="000000"/>
          <w:sz w:val="32"/>
          <w:szCs w:val="32"/>
          <w:highlight w:val="none"/>
          <w:lang w:val="en-US" w:eastAsia="zh-CN"/>
        </w:rPr>
        <w:t>、其他对个人和家庭的补助支出等；</w:t>
      </w:r>
    </w:p>
    <w:p w14:paraId="7D392053">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方正仿宋_GBK" w:cs="Times New Roman"/>
          <w:b w:val="0"/>
          <w:bCs/>
          <w:color w:val="000000"/>
          <w:sz w:val="32"/>
          <w:szCs w:val="32"/>
          <w:highlight w:val="yellow"/>
          <w:lang w:val="en-US" w:eastAsia="zh-CN"/>
        </w:rPr>
      </w:pPr>
      <w:r>
        <w:rPr>
          <w:rFonts w:hint="default" w:ascii="Times New Roman" w:hAnsi="Times New Roman" w:eastAsia="方正仿宋_GBK" w:cs="Times New Roman"/>
          <w:b w:val="0"/>
          <w:bCs/>
          <w:color w:val="000000"/>
          <w:sz w:val="32"/>
          <w:szCs w:val="32"/>
          <w:lang w:val="en-US" w:eastAsia="zh-CN"/>
        </w:rPr>
        <w:t>基本支出中公用经费支出1079.75万元</w:t>
      </w:r>
      <w:r>
        <w:rPr>
          <w:rFonts w:hint="default" w:ascii="Times New Roman" w:hAnsi="Times New Roman" w:eastAsia="方正仿宋_GBK" w:cs="Times New Roman"/>
          <w:b w:val="0"/>
          <w:bCs/>
          <w:color w:val="000000"/>
          <w:sz w:val="32"/>
          <w:szCs w:val="32"/>
          <w:highlight w:val="none"/>
          <w:lang w:val="en-US" w:eastAsia="zh-CN"/>
        </w:rPr>
        <w:t>，主要包括办公费、印刷费、</w:t>
      </w:r>
      <w:r>
        <w:rPr>
          <w:rFonts w:hint="eastAsia" w:ascii="Times New Roman" w:hAnsi="Times New Roman" w:eastAsia="方正仿宋_GBK" w:cs="Times New Roman"/>
          <w:b w:val="0"/>
          <w:bCs/>
          <w:color w:val="000000"/>
          <w:sz w:val="32"/>
          <w:szCs w:val="32"/>
          <w:highlight w:val="none"/>
          <w:lang w:val="en-US" w:eastAsia="zh-CN"/>
        </w:rPr>
        <w:t>手续费、</w:t>
      </w:r>
      <w:r>
        <w:rPr>
          <w:rFonts w:hint="default" w:ascii="Times New Roman" w:hAnsi="Times New Roman" w:eastAsia="方正仿宋_GBK" w:cs="Times New Roman"/>
          <w:b w:val="0"/>
          <w:bCs/>
          <w:color w:val="000000"/>
          <w:sz w:val="32"/>
          <w:szCs w:val="32"/>
          <w:highlight w:val="none"/>
          <w:lang w:val="en-US" w:eastAsia="zh-CN"/>
        </w:rPr>
        <w:t>水费、电费、邮电费、取暖费、物业管理费、差旅费、</w:t>
      </w:r>
      <w:r>
        <w:rPr>
          <w:rFonts w:hint="eastAsia" w:ascii="Times New Roman" w:hAnsi="Times New Roman" w:eastAsia="方正仿宋_GBK" w:cs="Times New Roman"/>
          <w:b w:val="0"/>
          <w:bCs/>
          <w:color w:val="000000"/>
          <w:sz w:val="32"/>
          <w:szCs w:val="32"/>
          <w:highlight w:val="none"/>
          <w:lang w:val="en-US" w:eastAsia="zh-CN"/>
        </w:rPr>
        <w:t>维修（护）费、会议费、</w:t>
      </w:r>
      <w:r>
        <w:rPr>
          <w:rFonts w:hint="default" w:ascii="Times New Roman" w:hAnsi="Times New Roman" w:eastAsia="方正仿宋_GBK" w:cs="Times New Roman"/>
          <w:b w:val="0"/>
          <w:bCs/>
          <w:color w:val="000000"/>
          <w:sz w:val="32"/>
          <w:szCs w:val="32"/>
          <w:highlight w:val="none"/>
          <w:lang w:val="en-US" w:eastAsia="zh-CN"/>
        </w:rPr>
        <w:t>培训费、公务接待费、</w:t>
      </w:r>
      <w:r>
        <w:rPr>
          <w:rFonts w:hint="eastAsia" w:ascii="Times New Roman" w:hAnsi="Times New Roman" w:eastAsia="方正仿宋_GBK" w:cs="Times New Roman"/>
          <w:b w:val="0"/>
          <w:bCs/>
          <w:color w:val="000000"/>
          <w:sz w:val="32"/>
          <w:szCs w:val="32"/>
          <w:highlight w:val="none"/>
          <w:lang w:val="en-US" w:eastAsia="zh-CN"/>
        </w:rPr>
        <w:t>劳务费、委托业务费、</w:t>
      </w:r>
      <w:r>
        <w:rPr>
          <w:rFonts w:hint="default" w:ascii="Times New Roman" w:hAnsi="Times New Roman" w:eastAsia="方正仿宋_GBK" w:cs="Times New Roman"/>
          <w:b w:val="0"/>
          <w:bCs/>
          <w:color w:val="000000"/>
          <w:sz w:val="32"/>
          <w:szCs w:val="32"/>
          <w:highlight w:val="none"/>
          <w:lang w:val="en-US" w:eastAsia="zh-CN"/>
        </w:rPr>
        <w:t>工会经费、福利费、公务用车运行维护费、其他交通费用、其他商品和服务支出</w:t>
      </w:r>
      <w:r>
        <w:rPr>
          <w:rFonts w:hint="eastAsia" w:ascii="Times New Roman" w:hAnsi="Times New Roman" w:eastAsia="方正仿宋_GBK" w:cs="Times New Roman"/>
          <w:b w:val="0"/>
          <w:bCs/>
          <w:color w:val="000000"/>
          <w:sz w:val="32"/>
          <w:szCs w:val="32"/>
          <w:highlight w:val="none"/>
          <w:lang w:val="en-US" w:eastAsia="zh-CN"/>
        </w:rPr>
        <w:t>等</w:t>
      </w:r>
      <w:r>
        <w:rPr>
          <w:rFonts w:hint="default" w:ascii="Times New Roman" w:hAnsi="Times New Roman" w:eastAsia="方正仿宋_GBK" w:cs="Times New Roman"/>
          <w:b w:val="0"/>
          <w:bCs/>
          <w:color w:val="000000"/>
          <w:sz w:val="32"/>
          <w:szCs w:val="32"/>
          <w:highlight w:val="none"/>
          <w:lang w:val="en-US" w:eastAsia="zh-CN"/>
        </w:rPr>
        <w:t>。</w:t>
      </w:r>
    </w:p>
    <w:p w14:paraId="3AD0067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outlineLvl w:val="2"/>
        <w:rPr>
          <w:rFonts w:hint="eastAsia" w:ascii="Times New Roman" w:hAnsi="Times New Roman" w:eastAsia="方正仿宋_GBK" w:cs="Times New Roman"/>
          <w:b/>
          <w:bCs w:val="0"/>
          <w:sz w:val="32"/>
          <w:szCs w:val="32"/>
          <w:lang w:val="en-US" w:eastAsia="zh-CN"/>
        </w:rPr>
      </w:pPr>
      <w:bookmarkStart w:id="48" w:name="_Toc8425"/>
      <w:bookmarkStart w:id="49" w:name="_Toc24100"/>
      <w:bookmarkStart w:id="50" w:name="_Toc30403"/>
      <w:r>
        <w:rPr>
          <w:rFonts w:hint="eastAsia" w:ascii="Times New Roman" w:hAnsi="Times New Roman" w:eastAsia="方正仿宋_GBK" w:cs="Times New Roman"/>
          <w:b/>
          <w:bCs w:val="0"/>
          <w:sz w:val="32"/>
          <w:szCs w:val="32"/>
          <w:lang w:val="en-US" w:eastAsia="zh-CN"/>
        </w:rPr>
        <w:t>2.专项资金支出情况</w:t>
      </w:r>
      <w:bookmarkEnd w:id="48"/>
      <w:bookmarkEnd w:id="49"/>
      <w:bookmarkEnd w:id="50"/>
    </w:p>
    <w:p w14:paraId="0A45E0AF">
      <w:pPr>
        <w:keepNext w:val="0"/>
        <w:keepLines w:val="0"/>
        <w:pageBreakBefore w:val="0"/>
        <w:numPr>
          <w:ilvl w:val="0"/>
          <w:numId w:val="0"/>
        </w:numPr>
        <w:kinsoku/>
        <w:wordWrap/>
        <w:overflowPunct/>
        <w:topLinePunct w:val="0"/>
        <w:autoSpaceDE/>
        <w:autoSpaceDN/>
        <w:bidi w:val="0"/>
        <w:adjustRightInd/>
        <w:spacing w:line="560" w:lineRule="exact"/>
        <w:ind w:firstLine="624" w:firstLineChars="200"/>
        <w:jc w:val="both"/>
        <w:textAlignment w:val="auto"/>
        <w:rPr>
          <w:rStyle w:val="8"/>
          <w:rFonts w:hint="default" w:ascii="Times New Roman" w:hAnsi="Times New Roman" w:eastAsia="方正仿宋_GBK" w:cs="Times New Roman"/>
          <w:b w:val="0"/>
          <w:bCs/>
          <w:color w:val="000000"/>
          <w:spacing w:val="-4"/>
          <w:sz w:val="32"/>
          <w:szCs w:val="32"/>
          <w:highlight w:val="none"/>
          <w:lang w:val="en-US" w:eastAsia="zh-CN"/>
        </w:rPr>
      </w:pPr>
      <w:r>
        <w:rPr>
          <w:rStyle w:val="8"/>
          <w:rFonts w:hint="default" w:ascii="Times New Roman" w:hAnsi="Times New Roman" w:eastAsia="方正仿宋_GBK" w:cs="Times New Roman"/>
          <w:b w:val="0"/>
          <w:bCs/>
          <w:color w:val="000000"/>
          <w:spacing w:val="-4"/>
          <w:sz w:val="32"/>
          <w:szCs w:val="32"/>
          <w:lang w:val="en-US" w:eastAsia="zh-CN"/>
        </w:rPr>
        <w:t>2025年项目支出11345.24万元，</w:t>
      </w:r>
      <w:r>
        <w:rPr>
          <w:rStyle w:val="8"/>
          <w:rFonts w:hint="default" w:ascii="Times New Roman" w:hAnsi="Times New Roman" w:eastAsia="方正仿宋_GBK" w:cs="Times New Roman"/>
          <w:b w:val="0"/>
          <w:bCs/>
          <w:color w:val="000000"/>
          <w:spacing w:val="-4"/>
          <w:sz w:val="32"/>
          <w:szCs w:val="32"/>
          <w:highlight w:val="none"/>
          <w:lang w:val="en-US" w:eastAsia="zh-CN"/>
        </w:rPr>
        <w:t>较上年增加</w:t>
      </w:r>
      <w:r>
        <w:rPr>
          <w:rStyle w:val="8"/>
          <w:rFonts w:hint="eastAsia" w:ascii="Times New Roman" w:hAnsi="Times New Roman" w:eastAsia="方正仿宋_GBK" w:cs="Times New Roman"/>
          <w:b w:val="0"/>
          <w:bCs/>
          <w:color w:val="000000"/>
          <w:spacing w:val="-4"/>
          <w:sz w:val="32"/>
          <w:szCs w:val="32"/>
          <w:highlight w:val="none"/>
          <w:lang w:val="en-US" w:eastAsia="zh-CN"/>
        </w:rPr>
        <w:t>3708.83</w:t>
      </w:r>
      <w:r>
        <w:rPr>
          <w:rStyle w:val="8"/>
          <w:rFonts w:hint="default" w:ascii="Times New Roman" w:hAnsi="Times New Roman" w:eastAsia="方正仿宋_GBK" w:cs="Times New Roman"/>
          <w:b w:val="0"/>
          <w:bCs/>
          <w:color w:val="000000"/>
          <w:spacing w:val="-4"/>
          <w:sz w:val="32"/>
          <w:szCs w:val="32"/>
          <w:highlight w:val="none"/>
          <w:lang w:val="en-US" w:eastAsia="zh-CN"/>
        </w:rPr>
        <w:t>万元，主要原因是</w:t>
      </w:r>
      <w:r>
        <w:rPr>
          <w:rStyle w:val="8"/>
          <w:rFonts w:hint="eastAsia" w:ascii="Times New Roman" w:hAnsi="Times New Roman" w:eastAsia="方正仿宋_GBK" w:cs="Times New Roman"/>
          <w:b w:val="0"/>
          <w:bCs/>
          <w:color w:val="000000"/>
          <w:spacing w:val="-4"/>
          <w:sz w:val="32"/>
          <w:szCs w:val="32"/>
          <w:highlight w:val="none"/>
          <w:lang w:val="en-US" w:eastAsia="zh-CN"/>
        </w:rPr>
        <w:t>今年较上年增加民政民生大数据智慧服务平台（新疆数字民政一体化支撑平台）</w:t>
      </w:r>
      <w:r>
        <w:rPr>
          <w:rStyle w:val="8"/>
          <w:rFonts w:hint="eastAsia" w:eastAsia="方正仿宋_GBK" w:cs="Times New Roman"/>
          <w:b w:val="0"/>
          <w:bCs/>
          <w:color w:val="000000"/>
          <w:spacing w:val="-4"/>
          <w:sz w:val="32"/>
          <w:szCs w:val="32"/>
          <w:highlight w:val="none"/>
          <w:lang w:val="en-US" w:eastAsia="zh-CN"/>
        </w:rPr>
        <w:t>等、政府购买民政标准化建设项目</w:t>
      </w:r>
      <w:r>
        <w:rPr>
          <w:rStyle w:val="8"/>
          <w:rFonts w:hint="default" w:ascii="Times New Roman" w:hAnsi="Times New Roman" w:eastAsia="方正仿宋_GBK" w:cs="Times New Roman"/>
          <w:b w:val="0"/>
          <w:bCs/>
          <w:color w:val="000000"/>
          <w:spacing w:val="-4"/>
          <w:sz w:val="32"/>
          <w:szCs w:val="32"/>
          <w:highlight w:val="none"/>
          <w:lang w:val="en-US" w:eastAsia="zh-CN"/>
        </w:rPr>
        <w:t>。</w:t>
      </w:r>
    </w:p>
    <w:p w14:paraId="3DBB4598">
      <w:pPr>
        <w:keepNext w:val="0"/>
        <w:keepLines w:val="0"/>
        <w:pageBreakBefore w:val="0"/>
        <w:numPr>
          <w:ilvl w:val="0"/>
          <w:numId w:val="0"/>
        </w:numPr>
        <w:kinsoku/>
        <w:wordWrap/>
        <w:overflowPunct/>
        <w:topLinePunct w:val="0"/>
        <w:autoSpaceDE/>
        <w:autoSpaceDN/>
        <w:bidi w:val="0"/>
        <w:adjustRightInd/>
        <w:spacing w:line="560" w:lineRule="exact"/>
        <w:ind w:firstLine="624" w:firstLineChars="200"/>
        <w:jc w:val="both"/>
        <w:textAlignment w:val="auto"/>
        <w:rPr>
          <w:rStyle w:val="8"/>
          <w:rFonts w:hint="eastAsia" w:ascii="Times New Roman" w:hAnsi="Times New Roman" w:eastAsia="方正仿宋_GBK" w:cs="Times New Roman"/>
          <w:b w:val="0"/>
          <w:bCs/>
          <w:color w:val="000000"/>
          <w:spacing w:val="-4"/>
          <w:sz w:val="32"/>
          <w:szCs w:val="32"/>
          <w:highlight w:val="none"/>
          <w:lang w:val="en-US" w:eastAsia="zh-CN"/>
        </w:rPr>
      </w:pPr>
      <w:r>
        <w:rPr>
          <w:rStyle w:val="8"/>
          <w:rFonts w:hint="eastAsia" w:eastAsia="方正仿宋_GBK" w:cs="Times New Roman"/>
          <w:b w:val="0"/>
          <w:bCs/>
          <w:color w:val="000000"/>
          <w:spacing w:val="-4"/>
          <w:sz w:val="32"/>
          <w:szCs w:val="32"/>
          <w:highlight w:val="none"/>
          <w:lang w:val="en-US" w:eastAsia="zh-CN"/>
        </w:rPr>
        <w:t>（1）</w:t>
      </w:r>
      <w:r>
        <w:rPr>
          <w:rStyle w:val="8"/>
          <w:rFonts w:hint="eastAsia" w:ascii="Times New Roman" w:hAnsi="Times New Roman" w:eastAsia="方正仿宋_GBK" w:cs="Times New Roman"/>
          <w:b w:val="0"/>
          <w:bCs/>
          <w:color w:val="000000"/>
          <w:spacing w:val="-4"/>
          <w:sz w:val="32"/>
          <w:szCs w:val="32"/>
          <w:highlight w:val="none"/>
          <w:lang w:val="en-US" w:eastAsia="zh-CN"/>
        </w:rPr>
        <w:t>项目支出中出版发行支出</w:t>
      </w:r>
      <w:r>
        <w:rPr>
          <w:rStyle w:val="8"/>
          <w:rFonts w:hint="eastAsia" w:eastAsia="方正仿宋_GBK" w:cs="Times New Roman"/>
          <w:b w:val="0"/>
          <w:bCs/>
          <w:color w:val="000000"/>
          <w:spacing w:val="-4"/>
          <w:sz w:val="32"/>
          <w:szCs w:val="32"/>
          <w:highlight w:val="none"/>
          <w:lang w:val="en-US" w:eastAsia="zh-CN"/>
        </w:rPr>
        <w:t>761.92</w:t>
      </w:r>
      <w:r>
        <w:rPr>
          <w:rStyle w:val="8"/>
          <w:rFonts w:hint="eastAsia" w:ascii="Times New Roman" w:hAnsi="Times New Roman" w:eastAsia="方正仿宋_GBK" w:cs="Times New Roman"/>
          <w:b w:val="0"/>
          <w:bCs/>
          <w:color w:val="000000"/>
          <w:spacing w:val="-4"/>
          <w:sz w:val="32"/>
          <w:szCs w:val="32"/>
          <w:highlight w:val="none"/>
          <w:lang w:val="en-US" w:eastAsia="zh-CN"/>
        </w:rPr>
        <w:t>万元，主要用于老年康乐报社办报经费；</w:t>
      </w:r>
    </w:p>
    <w:p w14:paraId="0D70A212">
      <w:pPr>
        <w:keepNext w:val="0"/>
        <w:keepLines w:val="0"/>
        <w:pageBreakBefore w:val="0"/>
        <w:numPr>
          <w:ilvl w:val="0"/>
          <w:numId w:val="0"/>
        </w:numPr>
        <w:kinsoku/>
        <w:wordWrap/>
        <w:overflowPunct/>
        <w:topLinePunct w:val="0"/>
        <w:autoSpaceDE/>
        <w:autoSpaceDN/>
        <w:bidi w:val="0"/>
        <w:adjustRightInd/>
        <w:spacing w:line="560" w:lineRule="exact"/>
        <w:ind w:firstLine="624" w:firstLineChars="200"/>
        <w:jc w:val="both"/>
        <w:textAlignment w:val="auto"/>
        <w:rPr>
          <w:rStyle w:val="8"/>
          <w:rFonts w:hint="eastAsia" w:ascii="Times New Roman" w:hAnsi="Times New Roman" w:eastAsia="方正仿宋_GBK" w:cs="Times New Roman"/>
          <w:b w:val="0"/>
          <w:bCs/>
          <w:color w:val="000000"/>
          <w:spacing w:val="-4"/>
          <w:sz w:val="32"/>
          <w:szCs w:val="32"/>
          <w:highlight w:val="none"/>
          <w:lang w:val="en-US" w:eastAsia="zh-CN"/>
        </w:rPr>
      </w:pPr>
      <w:r>
        <w:rPr>
          <w:rStyle w:val="8"/>
          <w:rFonts w:hint="eastAsia" w:eastAsia="方正仿宋_GBK" w:cs="Times New Roman"/>
          <w:b w:val="0"/>
          <w:bCs/>
          <w:color w:val="000000"/>
          <w:spacing w:val="-4"/>
          <w:sz w:val="32"/>
          <w:szCs w:val="32"/>
          <w:highlight w:val="none"/>
          <w:lang w:val="en-US" w:eastAsia="zh-CN"/>
        </w:rPr>
        <w:t>（2）</w:t>
      </w:r>
      <w:r>
        <w:rPr>
          <w:rStyle w:val="8"/>
          <w:rFonts w:hint="eastAsia" w:ascii="Times New Roman" w:hAnsi="Times New Roman" w:eastAsia="方正仿宋_GBK" w:cs="Times New Roman"/>
          <w:b w:val="0"/>
          <w:bCs/>
          <w:color w:val="000000"/>
          <w:spacing w:val="-4"/>
          <w:sz w:val="32"/>
          <w:szCs w:val="32"/>
          <w:highlight w:val="none"/>
          <w:lang w:val="en-US" w:eastAsia="zh-CN"/>
        </w:rPr>
        <w:t>项目支出中行政区划和地名管理支出417.73万元，主要用于自治区行政区划调整重大专项、地名标准化专项经费等；</w:t>
      </w:r>
    </w:p>
    <w:p w14:paraId="3F00023C">
      <w:pPr>
        <w:keepNext w:val="0"/>
        <w:keepLines w:val="0"/>
        <w:pageBreakBefore w:val="0"/>
        <w:numPr>
          <w:ilvl w:val="0"/>
          <w:numId w:val="0"/>
        </w:numPr>
        <w:kinsoku/>
        <w:wordWrap/>
        <w:overflowPunct/>
        <w:topLinePunct w:val="0"/>
        <w:autoSpaceDE/>
        <w:autoSpaceDN/>
        <w:bidi w:val="0"/>
        <w:adjustRightInd/>
        <w:spacing w:line="560" w:lineRule="exact"/>
        <w:ind w:firstLine="624" w:firstLineChars="200"/>
        <w:jc w:val="both"/>
        <w:textAlignment w:val="auto"/>
        <w:rPr>
          <w:rStyle w:val="8"/>
          <w:rFonts w:hint="eastAsia" w:ascii="Times New Roman" w:hAnsi="Times New Roman" w:eastAsia="方正仿宋_GBK" w:cs="Times New Roman"/>
          <w:b w:val="0"/>
          <w:bCs/>
          <w:color w:val="000000"/>
          <w:spacing w:val="-4"/>
          <w:sz w:val="32"/>
          <w:szCs w:val="32"/>
          <w:highlight w:val="none"/>
          <w:lang w:val="en-US" w:eastAsia="zh-CN"/>
        </w:rPr>
      </w:pPr>
      <w:r>
        <w:rPr>
          <w:rStyle w:val="8"/>
          <w:rFonts w:hint="eastAsia" w:eastAsia="方正仿宋_GBK" w:cs="Times New Roman"/>
          <w:b w:val="0"/>
          <w:bCs/>
          <w:color w:val="000000"/>
          <w:spacing w:val="-4"/>
          <w:sz w:val="32"/>
          <w:szCs w:val="32"/>
          <w:highlight w:val="none"/>
          <w:lang w:val="en-US" w:eastAsia="zh-CN"/>
        </w:rPr>
        <w:t>（3）</w:t>
      </w:r>
      <w:r>
        <w:rPr>
          <w:rStyle w:val="8"/>
          <w:rFonts w:hint="eastAsia" w:ascii="Times New Roman" w:hAnsi="Times New Roman" w:eastAsia="方正仿宋_GBK" w:cs="Times New Roman"/>
          <w:b w:val="0"/>
          <w:bCs/>
          <w:color w:val="000000"/>
          <w:spacing w:val="-4"/>
          <w:sz w:val="32"/>
          <w:szCs w:val="32"/>
          <w:highlight w:val="none"/>
          <w:lang w:val="en-US" w:eastAsia="zh-CN"/>
        </w:rPr>
        <w:t>项目支出中老龄事务支出416.05万元，主要用于老龄事务项目、购买老龄事业发展政策研究服务项目等；</w:t>
      </w:r>
    </w:p>
    <w:p w14:paraId="7EF8945F">
      <w:pPr>
        <w:keepNext w:val="0"/>
        <w:keepLines w:val="0"/>
        <w:pageBreakBefore w:val="0"/>
        <w:numPr>
          <w:ilvl w:val="0"/>
          <w:numId w:val="0"/>
        </w:numPr>
        <w:kinsoku/>
        <w:wordWrap/>
        <w:overflowPunct/>
        <w:topLinePunct w:val="0"/>
        <w:autoSpaceDE/>
        <w:autoSpaceDN/>
        <w:bidi w:val="0"/>
        <w:adjustRightInd/>
        <w:spacing w:line="560" w:lineRule="exact"/>
        <w:ind w:firstLine="624" w:firstLineChars="200"/>
        <w:jc w:val="both"/>
        <w:textAlignment w:val="auto"/>
        <w:rPr>
          <w:rStyle w:val="8"/>
          <w:rFonts w:hint="eastAsia" w:ascii="Times New Roman" w:hAnsi="Times New Roman" w:eastAsia="方正仿宋_GBK" w:cs="Times New Roman"/>
          <w:b w:val="0"/>
          <w:bCs/>
          <w:color w:val="000000"/>
          <w:spacing w:val="-4"/>
          <w:sz w:val="32"/>
          <w:szCs w:val="32"/>
          <w:highlight w:val="none"/>
          <w:lang w:val="en-US" w:eastAsia="zh-CN"/>
        </w:rPr>
      </w:pPr>
      <w:r>
        <w:rPr>
          <w:rStyle w:val="8"/>
          <w:rFonts w:hint="eastAsia" w:eastAsia="方正仿宋_GBK" w:cs="Times New Roman"/>
          <w:b w:val="0"/>
          <w:bCs/>
          <w:color w:val="000000"/>
          <w:spacing w:val="-4"/>
          <w:sz w:val="32"/>
          <w:szCs w:val="32"/>
          <w:highlight w:val="none"/>
          <w:lang w:val="en-US" w:eastAsia="zh-CN"/>
        </w:rPr>
        <w:t>（4）</w:t>
      </w:r>
      <w:r>
        <w:rPr>
          <w:rStyle w:val="8"/>
          <w:rFonts w:hint="eastAsia" w:ascii="Times New Roman" w:hAnsi="Times New Roman" w:eastAsia="方正仿宋_GBK" w:cs="Times New Roman"/>
          <w:b w:val="0"/>
          <w:bCs/>
          <w:color w:val="000000"/>
          <w:spacing w:val="-4"/>
          <w:sz w:val="32"/>
          <w:szCs w:val="32"/>
          <w:highlight w:val="none"/>
          <w:lang w:val="en-US" w:eastAsia="zh-CN"/>
        </w:rPr>
        <w:t>项目支出中其他民政管理事务支出1099.03万元，主要用于民政综合事务管理经费、民政事业专项经费、自治区民政厅巡察经费等；</w:t>
      </w:r>
    </w:p>
    <w:p w14:paraId="06377A47">
      <w:pPr>
        <w:keepNext w:val="0"/>
        <w:keepLines w:val="0"/>
        <w:pageBreakBefore w:val="0"/>
        <w:numPr>
          <w:ilvl w:val="0"/>
          <w:numId w:val="0"/>
        </w:numPr>
        <w:kinsoku/>
        <w:wordWrap/>
        <w:overflowPunct/>
        <w:topLinePunct w:val="0"/>
        <w:autoSpaceDE/>
        <w:autoSpaceDN/>
        <w:bidi w:val="0"/>
        <w:adjustRightInd/>
        <w:spacing w:line="560" w:lineRule="exact"/>
        <w:ind w:firstLine="624" w:firstLineChars="200"/>
        <w:jc w:val="both"/>
        <w:textAlignment w:val="auto"/>
        <w:rPr>
          <w:rStyle w:val="8"/>
          <w:rFonts w:hint="default" w:ascii="Times New Roman" w:hAnsi="Times New Roman" w:eastAsia="方正仿宋_GBK" w:cs="Times New Roman"/>
          <w:b w:val="0"/>
          <w:bCs/>
          <w:color w:val="000000"/>
          <w:spacing w:val="-4"/>
          <w:sz w:val="32"/>
          <w:szCs w:val="32"/>
          <w:highlight w:val="none"/>
          <w:lang w:val="en-US" w:eastAsia="zh-CN"/>
        </w:rPr>
      </w:pPr>
      <w:r>
        <w:rPr>
          <w:rStyle w:val="8"/>
          <w:rFonts w:hint="eastAsia" w:eastAsia="方正仿宋_GBK" w:cs="Times New Roman"/>
          <w:b w:val="0"/>
          <w:bCs/>
          <w:color w:val="000000"/>
          <w:spacing w:val="-4"/>
          <w:sz w:val="32"/>
          <w:szCs w:val="32"/>
          <w:highlight w:val="none"/>
          <w:lang w:val="en-US" w:eastAsia="zh-CN"/>
        </w:rPr>
        <w:t>（5）</w:t>
      </w:r>
      <w:r>
        <w:rPr>
          <w:rStyle w:val="8"/>
          <w:rFonts w:hint="eastAsia" w:ascii="Times New Roman" w:hAnsi="Times New Roman" w:eastAsia="方正仿宋_GBK" w:cs="Times New Roman"/>
          <w:b w:val="0"/>
          <w:bCs/>
          <w:color w:val="000000"/>
          <w:spacing w:val="-4"/>
          <w:sz w:val="32"/>
          <w:szCs w:val="32"/>
          <w:highlight w:val="none"/>
          <w:lang w:val="en-US" w:eastAsia="zh-CN"/>
        </w:rPr>
        <w:t>项目支出中社会福利事业单位支出1242.6</w:t>
      </w:r>
      <w:r>
        <w:rPr>
          <w:rStyle w:val="8"/>
          <w:rFonts w:hint="eastAsia" w:eastAsia="方正仿宋_GBK" w:cs="Times New Roman"/>
          <w:b w:val="0"/>
          <w:bCs/>
          <w:color w:val="000000"/>
          <w:spacing w:val="-4"/>
          <w:sz w:val="32"/>
          <w:szCs w:val="32"/>
          <w:highlight w:val="none"/>
          <w:lang w:val="en-US" w:eastAsia="zh-CN"/>
        </w:rPr>
        <w:t>2</w:t>
      </w:r>
      <w:r>
        <w:rPr>
          <w:rStyle w:val="8"/>
          <w:rFonts w:hint="eastAsia" w:ascii="Times New Roman" w:hAnsi="Times New Roman" w:eastAsia="方正仿宋_GBK" w:cs="Times New Roman"/>
          <w:b w:val="0"/>
          <w:bCs/>
          <w:color w:val="000000"/>
          <w:spacing w:val="-4"/>
          <w:sz w:val="32"/>
          <w:szCs w:val="32"/>
          <w:highlight w:val="none"/>
          <w:lang w:val="en-US" w:eastAsia="zh-CN"/>
        </w:rPr>
        <w:t>万元，主要用于民政康复中心非税收入弥补维修费项目、民政康复中心医疗成本性支出项目、新疆静宁医院医疗成本性支出项目等；</w:t>
      </w:r>
    </w:p>
    <w:p w14:paraId="5111D4E8">
      <w:pPr>
        <w:keepNext w:val="0"/>
        <w:keepLines w:val="0"/>
        <w:pageBreakBefore w:val="0"/>
        <w:numPr>
          <w:ilvl w:val="0"/>
          <w:numId w:val="0"/>
        </w:numPr>
        <w:kinsoku/>
        <w:wordWrap/>
        <w:overflowPunct/>
        <w:topLinePunct w:val="0"/>
        <w:autoSpaceDE/>
        <w:autoSpaceDN/>
        <w:bidi w:val="0"/>
        <w:adjustRightInd/>
        <w:spacing w:line="560" w:lineRule="exact"/>
        <w:ind w:firstLine="624" w:firstLineChars="200"/>
        <w:jc w:val="both"/>
        <w:textAlignment w:val="auto"/>
        <w:rPr>
          <w:rStyle w:val="8"/>
          <w:rFonts w:hint="eastAsia" w:ascii="Times New Roman" w:hAnsi="Times New Roman" w:eastAsia="方正仿宋_GBK" w:cs="Times New Roman"/>
          <w:b w:val="0"/>
          <w:bCs/>
          <w:color w:val="000000"/>
          <w:spacing w:val="-4"/>
          <w:sz w:val="32"/>
          <w:szCs w:val="32"/>
          <w:highlight w:val="none"/>
          <w:lang w:val="en-US" w:eastAsia="zh-CN"/>
        </w:rPr>
      </w:pPr>
      <w:r>
        <w:rPr>
          <w:rStyle w:val="8"/>
          <w:rFonts w:hint="eastAsia" w:eastAsia="方正仿宋_GBK" w:cs="Times New Roman"/>
          <w:b w:val="0"/>
          <w:bCs/>
          <w:color w:val="000000"/>
          <w:spacing w:val="-4"/>
          <w:sz w:val="32"/>
          <w:szCs w:val="32"/>
          <w:highlight w:val="none"/>
          <w:lang w:val="en-US" w:eastAsia="zh-CN"/>
        </w:rPr>
        <w:t>（6）</w:t>
      </w:r>
      <w:r>
        <w:rPr>
          <w:rStyle w:val="8"/>
          <w:rFonts w:hint="eastAsia" w:ascii="Times New Roman" w:hAnsi="Times New Roman" w:eastAsia="方正仿宋_GBK" w:cs="Times New Roman"/>
          <w:b w:val="0"/>
          <w:bCs/>
          <w:color w:val="000000"/>
          <w:spacing w:val="-4"/>
          <w:sz w:val="32"/>
          <w:szCs w:val="32"/>
          <w:highlight w:val="none"/>
          <w:lang w:val="en-US" w:eastAsia="zh-CN"/>
        </w:rPr>
        <w:t>项目支出中临时救助支出600万元，主要用于自治区困难群众救助补助资金；</w:t>
      </w:r>
    </w:p>
    <w:p w14:paraId="247447C6">
      <w:pPr>
        <w:keepNext w:val="0"/>
        <w:keepLines w:val="0"/>
        <w:pageBreakBefore w:val="0"/>
        <w:numPr>
          <w:ilvl w:val="0"/>
          <w:numId w:val="0"/>
        </w:numPr>
        <w:kinsoku/>
        <w:wordWrap/>
        <w:overflowPunct/>
        <w:topLinePunct w:val="0"/>
        <w:autoSpaceDE/>
        <w:autoSpaceDN/>
        <w:bidi w:val="0"/>
        <w:adjustRightInd/>
        <w:spacing w:line="560" w:lineRule="exact"/>
        <w:ind w:firstLine="624" w:firstLineChars="200"/>
        <w:jc w:val="both"/>
        <w:textAlignment w:val="auto"/>
        <w:rPr>
          <w:rStyle w:val="8"/>
          <w:rFonts w:hint="eastAsia" w:ascii="Times New Roman" w:hAnsi="Times New Roman" w:eastAsia="方正仿宋_GBK" w:cs="Times New Roman"/>
          <w:b w:val="0"/>
          <w:bCs/>
          <w:color w:val="000000"/>
          <w:spacing w:val="-4"/>
          <w:sz w:val="32"/>
          <w:szCs w:val="32"/>
          <w:highlight w:val="none"/>
          <w:lang w:val="en-US" w:eastAsia="zh-CN"/>
        </w:rPr>
      </w:pPr>
      <w:r>
        <w:rPr>
          <w:rStyle w:val="8"/>
          <w:rFonts w:hint="eastAsia" w:eastAsia="方正仿宋_GBK" w:cs="Times New Roman"/>
          <w:b w:val="0"/>
          <w:bCs/>
          <w:color w:val="000000"/>
          <w:spacing w:val="-4"/>
          <w:sz w:val="32"/>
          <w:szCs w:val="32"/>
          <w:highlight w:val="none"/>
          <w:lang w:val="en-US" w:eastAsia="zh-CN"/>
        </w:rPr>
        <w:t>（7）</w:t>
      </w:r>
      <w:r>
        <w:rPr>
          <w:rStyle w:val="8"/>
          <w:rFonts w:hint="eastAsia" w:ascii="Times New Roman" w:hAnsi="Times New Roman" w:eastAsia="方正仿宋_GBK" w:cs="Times New Roman"/>
          <w:b w:val="0"/>
          <w:bCs/>
          <w:color w:val="000000"/>
          <w:spacing w:val="-4"/>
          <w:sz w:val="32"/>
          <w:szCs w:val="32"/>
          <w:highlight w:val="none"/>
          <w:lang w:val="en-US" w:eastAsia="zh-CN"/>
        </w:rPr>
        <w:t>项目支出中流浪乞讨人员救助支出751.84万元，主要用于流浪乞讨人员救助补助资金、自治区困难群众救助补助资金；</w:t>
      </w:r>
    </w:p>
    <w:p w14:paraId="50040D67">
      <w:pPr>
        <w:keepNext w:val="0"/>
        <w:keepLines w:val="0"/>
        <w:pageBreakBefore w:val="0"/>
        <w:numPr>
          <w:ilvl w:val="0"/>
          <w:numId w:val="0"/>
        </w:numPr>
        <w:kinsoku/>
        <w:wordWrap/>
        <w:overflowPunct/>
        <w:topLinePunct w:val="0"/>
        <w:autoSpaceDE/>
        <w:autoSpaceDN/>
        <w:bidi w:val="0"/>
        <w:adjustRightInd/>
        <w:spacing w:line="560" w:lineRule="exact"/>
        <w:ind w:firstLine="624" w:firstLineChars="200"/>
        <w:jc w:val="both"/>
        <w:textAlignment w:val="auto"/>
        <w:rPr>
          <w:rStyle w:val="8"/>
          <w:rFonts w:hint="default" w:ascii="Times New Roman" w:hAnsi="Times New Roman" w:eastAsia="方正仿宋_GBK" w:cs="Times New Roman"/>
          <w:b w:val="0"/>
          <w:bCs/>
          <w:color w:val="000000"/>
          <w:spacing w:val="-4"/>
          <w:sz w:val="32"/>
          <w:szCs w:val="32"/>
          <w:highlight w:val="none"/>
          <w:lang w:val="en-US" w:eastAsia="zh-CN"/>
        </w:rPr>
      </w:pPr>
      <w:r>
        <w:rPr>
          <w:rStyle w:val="8"/>
          <w:rFonts w:hint="eastAsia" w:eastAsia="方正仿宋_GBK" w:cs="Times New Roman"/>
          <w:b w:val="0"/>
          <w:bCs/>
          <w:color w:val="000000"/>
          <w:spacing w:val="-4"/>
          <w:sz w:val="32"/>
          <w:szCs w:val="32"/>
          <w:highlight w:val="none"/>
          <w:lang w:val="en-US" w:eastAsia="zh-CN"/>
        </w:rPr>
        <w:t>（8）</w:t>
      </w:r>
      <w:r>
        <w:rPr>
          <w:rStyle w:val="8"/>
          <w:rFonts w:hint="eastAsia" w:ascii="Times New Roman" w:hAnsi="Times New Roman" w:eastAsia="方正仿宋_GBK" w:cs="Times New Roman"/>
          <w:b w:val="0"/>
          <w:bCs/>
          <w:color w:val="000000"/>
          <w:spacing w:val="-4"/>
          <w:sz w:val="32"/>
          <w:szCs w:val="32"/>
          <w:highlight w:val="none"/>
          <w:lang w:val="en-US" w:eastAsia="zh-CN"/>
        </w:rPr>
        <w:t>项目支出中用于社会福利的彩票公益金支出605</w:t>
      </w:r>
      <w:r>
        <w:rPr>
          <w:rStyle w:val="8"/>
          <w:rFonts w:hint="eastAsia" w:eastAsia="方正仿宋_GBK" w:cs="Times New Roman"/>
          <w:b w:val="0"/>
          <w:bCs/>
          <w:color w:val="000000"/>
          <w:spacing w:val="-4"/>
          <w:sz w:val="32"/>
          <w:szCs w:val="32"/>
          <w:highlight w:val="none"/>
          <w:lang w:val="en-US" w:eastAsia="zh-CN"/>
        </w:rPr>
        <w:t>6</w:t>
      </w:r>
      <w:r>
        <w:rPr>
          <w:rStyle w:val="8"/>
          <w:rFonts w:hint="eastAsia" w:ascii="Times New Roman" w:hAnsi="Times New Roman" w:eastAsia="方正仿宋_GBK" w:cs="Times New Roman"/>
          <w:b w:val="0"/>
          <w:bCs/>
          <w:color w:val="000000"/>
          <w:spacing w:val="-4"/>
          <w:sz w:val="32"/>
          <w:szCs w:val="32"/>
          <w:highlight w:val="none"/>
          <w:lang w:val="en-US" w:eastAsia="zh-CN"/>
        </w:rPr>
        <w:t>.05万元，主要用于自治区“福康工程”残疾人康复辅具配置项目、社会组织能力提升购买服务辅助性项目、支持乡村振兴公益事业发展项目、政府购买民政标准化建设项目、养老机构服务能力提升项目、自治区民政康复中心实施孤残医疗康复“明天计划”项目、新疆静宁医院采购医疗康复专业服务项目等。</w:t>
      </w:r>
    </w:p>
    <w:p w14:paraId="6143390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outlineLvl w:val="2"/>
        <w:rPr>
          <w:rFonts w:hint="eastAsia" w:ascii="Times New Roman" w:hAnsi="Times New Roman" w:eastAsia="方正仿宋_GBK" w:cs="Times New Roman"/>
          <w:b w:val="0"/>
          <w:bCs/>
          <w:sz w:val="32"/>
          <w:szCs w:val="32"/>
          <w:lang w:val="en-US" w:eastAsia="zh-CN"/>
        </w:rPr>
      </w:pPr>
      <w:bookmarkStart w:id="51" w:name="_Toc31045"/>
      <w:bookmarkStart w:id="52" w:name="_Toc7842"/>
      <w:bookmarkStart w:id="53" w:name="_Toc26343"/>
      <w:r>
        <w:rPr>
          <w:rFonts w:hint="eastAsia" w:ascii="Times New Roman" w:hAnsi="Times New Roman" w:eastAsia="方正仿宋_GBK" w:cs="Times New Roman"/>
          <w:b/>
          <w:bCs w:val="0"/>
          <w:sz w:val="32"/>
          <w:szCs w:val="32"/>
          <w:lang w:val="en-US" w:eastAsia="zh-CN"/>
        </w:rPr>
        <w:t>3.</w:t>
      </w:r>
      <w:bookmarkEnd w:id="51"/>
      <w:bookmarkEnd w:id="52"/>
      <w:bookmarkEnd w:id="53"/>
      <w:r>
        <w:rPr>
          <w:rFonts w:hint="eastAsia" w:ascii="Times New Roman" w:hAnsi="Times New Roman" w:eastAsia="方正仿宋_GBK" w:cs="Times New Roman"/>
          <w:b/>
          <w:bCs w:val="0"/>
          <w:sz w:val="32"/>
          <w:szCs w:val="32"/>
          <w:lang w:val="en-US" w:eastAsia="zh-CN"/>
        </w:rPr>
        <w:t>部门单位专项组织实施情况</w:t>
      </w:r>
    </w:p>
    <w:p w14:paraId="0CA59FE5">
      <w:pPr>
        <w:keepNext w:val="0"/>
        <w:keepLines w:val="0"/>
        <w:pageBreakBefore w:val="0"/>
        <w:numPr>
          <w:ilvl w:val="0"/>
          <w:numId w:val="0"/>
        </w:numPr>
        <w:kinsoku/>
        <w:wordWrap/>
        <w:overflowPunct/>
        <w:topLinePunct w:val="0"/>
        <w:autoSpaceDE/>
        <w:autoSpaceDN/>
        <w:bidi w:val="0"/>
        <w:spacing w:line="560" w:lineRule="exact"/>
        <w:ind w:firstLine="624" w:firstLineChars="200"/>
        <w:jc w:val="both"/>
        <w:textAlignment w:val="auto"/>
        <w:rPr>
          <w:rStyle w:val="8"/>
          <w:rFonts w:hint="eastAsia" w:ascii="Times New Roman" w:hAnsi="Times New Roman" w:eastAsia="方正仿宋_GBK" w:cs="Times New Roman"/>
          <w:b w:val="0"/>
          <w:bCs/>
          <w:color w:val="000000"/>
          <w:spacing w:val="-4"/>
          <w:sz w:val="32"/>
          <w:szCs w:val="32"/>
        </w:rPr>
      </w:pPr>
      <w:r>
        <w:rPr>
          <w:rFonts w:hint="eastAsia" w:ascii="Times New Roman" w:hAnsi="Times New Roman" w:eastAsia="方正仿宋_GBK"/>
          <w:b w:val="0"/>
          <w:bCs/>
          <w:color w:val="000000"/>
          <w:spacing w:val="-4"/>
          <w:sz w:val="32"/>
          <w:szCs w:val="32"/>
          <w:lang w:val="en-US" w:eastAsia="zh-CN"/>
        </w:rPr>
        <w:t>我部门</w:t>
      </w:r>
      <w:r>
        <w:rPr>
          <w:rStyle w:val="8"/>
          <w:rFonts w:hint="eastAsia" w:ascii="Times New Roman" w:hAnsi="Times New Roman" w:eastAsia="方正仿宋_GBK" w:cs="Times New Roman"/>
          <w:b w:val="0"/>
          <w:bCs/>
          <w:color w:val="000000"/>
          <w:spacing w:val="-4"/>
          <w:sz w:val="32"/>
          <w:szCs w:val="32"/>
        </w:rPr>
        <w:t>高度重视专项工作的规范管理与有效实施，通过建立健全“谋划科学、责任明晰、监控有力、防控到位”的组织实施体系，确保各项专项任务高质量推进、资金安全高效使用。</w:t>
      </w:r>
    </w:p>
    <w:p w14:paraId="7E26F05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24" w:firstLineChars="200"/>
        <w:jc w:val="both"/>
        <w:textAlignment w:val="auto"/>
        <w:outlineLvl w:val="2"/>
        <w:rPr>
          <w:rStyle w:val="8"/>
          <w:rFonts w:hint="eastAsia" w:ascii="Times New Roman" w:hAnsi="Times New Roman" w:eastAsia="方正仿宋_GBK" w:cs="Times New Roman"/>
          <w:b w:val="0"/>
          <w:bCs/>
          <w:i w:val="0"/>
          <w:iCs w:val="0"/>
          <w:caps w:val="0"/>
          <w:color w:val="000000"/>
          <w:spacing w:val="-4"/>
          <w:sz w:val="32"/>
          <w:szCs w:val="32"/>
          <w:shd w:val="clear" w:color="auto" w:fill="auto"/>
          <w:lang w:val="en-US" w:eastAsia="zh-CN"/>
        </w:rPr>
      </w:pPr>
      <w:r>
        <w:rPr>
          <w:rStyle w:val="8"/>
          <w:rFonts w:hint="eastAsia" w:ascii="Times New Roman" w:hAnsi="Times New Roman" w:eastAsia="方正仿宋_GBK" w:cs="Times New Roman"/>
          <w:b w:val="0"/>
          <w:bCs/>
          <w:i w:val="0"/>
          <w:iCs w:val="0"/>
          <w:caps w:val="0"/>
          <w:color w:val="000000"/>
          <w:spacing w:val="-4"/>
          <w:sz w:val="32"/>
          <w:szCs w:val="32"/>
          <w:shd w:val="clear" w:color="auto" w:fill="auto"/>
          <w:lang w:eastAsia="zh-CN"/>
        </w:rPr>
        <w:t>（</w:t>
      </w:r>
      <w:r>
        <w:rPr>
          <w:rStyle w:val="8"/>
          <w:rFonts w:hint="eastAsia" w:ascii="Times New Roman" w:hAnsi="Times New Roman" w:eastAsia="方正仿宋_GBK" w:cs="Times New Roman"/>
          <w:b w:val="0"/>
          <w:bCs/>
          <w:i w:val="0"/>
          <w:iCs w:val="0"/>
          <w:caps w:val="0"/>
          <w:color w:val="000000"/>
          <w:spacing w:val="-4"/>
          <w:sz w:val="32"/>
          <w:szCs w:val="32"/>
          <w:shd w:val="clear" w:color="auto" w:fill="auto"/>
          <w:lang w:val="en-US" w:eastAsia="zh-CN"/>
        </w:rPr>
        <w:t>1</w:t>
      </w:r>
      <w:r>
        <w:rPr>
          <w:rStyle w:val="8"/>
          <w:rFonts w:hint="eastAsia" w:ascii="Times New Roman" w:hAnsi="Times New Roman" w:eastAsia="方正仿宋_GBK" w:cs="Times New Roman"/>
          <w:b w:val="0"/>
          <w:bCs/>
          <w:i w:val="0"/>
          <w:iCs w:val="0"/>
          <w:caps w:val="0"/>
          <w:color w:val="000000"/>
          <w:spacing w:val="-4"/>
          <w:sz w:val="32"/>
          <w:szCs w:val="32"/>
          <w:shd w:val="clear" w:color="auto" w:fill="auto"/>
          <w:lang w:eastAsia="zh-CN"/>
        </w:rPr>
        <w:t>）</w:t>
      </w:r>
      <w:r>
        <w:rPr>
          <w:rStyle w:val="8"/>
          <w:rFonts w:hint="eastAsia" w:ascii="Times New Roman" w:hAnsi="Times New Roman" w:eastAsia="方正仿宋_GBK" w:cs="Times New Roman"/>
          <w:b w:val="0"/>
          <w:bCs/>
          <w:i w:val="0"/>
          <w:iCs w:val="0"/>
          <w:caps w:val="0"/>
          <w:color w:val="000000"/>
          <w:spacing w:val="-4"/>
          <w:sz w:val="32"/>
          <w:szCs w:val="32"/>
          <w:shd w:val="clear" w:color="auto" w:fill="auto"/>
        </w:rPr>
        <w:t>强化规划论证，夯实实施基础</w:t>
      </w:r>
      <w:r>
        <w:rPr>
          <w:rStyle w:val="8"/>
          <w:rFonts w:hint="eastAsia" w:ascii="Times New Roman" w:hAnsi="Times New Roman" w:eastAsia="方正仿宋_GBK" w:cs="Times New Roman"/>
          <w:b w:val="0"/>
          <w:bCs/>
          <w:i w:val="0"/>
          <w:iCs w:val="0"/>
          <w:caps w:val="0"/>
          <w:color w:val="000000"/>
          <w:spacing w:val="-4"/>
          <w:sz w:val="32"/>
          <w:szCs w:val="32"/>
          <w:shd w:val="clear" w:color="auto" w:fill="auto"/>
          <w:lang w:val="en-US" w:eastAsia="zh-CN"/>
        </w:rPr>
        <w:t>情况</w:t>
      </w:r>
    </w:p>
    <w:p w14:paraId="7FB3D6F0">
      <w:pPr>
        <w:keepNext w:val="0"/>
        <w:keepLines w:val="0"/>
        <w:pageBreakBefore w:val="0"/>
        <w:numPr>
          <w:ilvl w:val="0"/>
          <w:numId w:val="0"/>
        </w:numPr>
        <w:kinsoku/>
        <w:wordWrap/>
        <w:overflowPunct/>
        <w:topLinePunct w:val="0"/>
        <w:autoSpaceDE/>
        <w:autoSpaceDN/>
        <w:bidi w:val="0"/>
        <w:spacing w:line="560" w:lineRule="exact"/>
        <w:ind w:firstLine="624" w:firstLineChars="200"/>
        <w:jc w:val="both"/>
        <w:textAlignment w:val="auto"/>
        <w:rPr>
          <w:rStyle w:val="8"/>
          <w:rFonts w:hint="eastAsia" w:ascii="Times New Roman" w:hAnsi="Times New Roman" w:eastAsia="方正仿宋_GBK" w:cs="Times New Roman"/>
          <w:b w:val="0"/>
          <w:bCs/>
          <w:color w:val="000000"/>
          <w:spacing w:val="-4"/>
          <w:sz w:val="32"/>
          <w:szCs w:val="32"/>
        </w:rPr>
      </w:pPr>
      <w:r>
        <w:rPr>
          <w:rFonts w:hint="eastAsia" w:ascii="Times New Roman" w:hAnsi="Times New Roman" w:eastAsia="方正仿宋_GBK"/>
          <w:b w:val="0"/>
          <w:bCs/>
          <w:color w:val="000000"/>
          <w:spacing w:val="-4"/>
          <w:sz w:val="32"/>
          <w:szCs w:val="32"/>
          <w:lang w:val="en-US" w:eastAsia="zh-CN"/>
        </w:rPr>
        <w:t>我部门</w:t>
      </w:r>
      <w:r>
        <w:rPr>
          <w:rStyle w:val="8"/>
          <w:rFonts w:hint="eastAsia" w:ascii="Times New Roman" w:hAnsi="Times New Roman" w:eastAsia="方正仿宋_GBK" w:cs="Times New Roman"/>
          <w:b w:val="0"/>
          <w:bCs/>
          <w:color w:val="000000"/>
          <w:spacing w:val="-4"/>
          <w:sz w:val="32"/>
          <w:szCs w:val="32"/>
        </w:rPr>
        <w:t>高度重视专项工作的规范管理与有效实施，通过建立健全“谋划科学、责任明晰、监控有力、防控到位”的严格执行项目</w:t>
      </w:r>
      <w:r>
        <w:rPr>
          <w:rStyle w:val="8"/>
          <w:rFonts w:hint="eastAsia" w:ascii="Times New Roman" w:hAnsi="Times New Roman" w:eastAsia="方正仿宋_GBK" w:cs="Times New Roman"/>
          <w:b w:val="0"/>
          <w:bCs/>
          <w:color w:val="000000"/>
          <w:spacing w:val="-4"/>
          <w:sz w:val="32"/>
          <w:szCs w:val="32"/>
          <w:lang w:val="en-US" w:eastAsia="zh-CN"/>
        </w:rPr>
        <w:t>申报</w:t>
      </w:r>
      <w:r>
        <w:rPr>
          <w:rStyle w:val="8"/>
          <w:rFonts w:hint="eastAsia" w:ascii="Times New Roman" w:hAnsi="Times New Roman" w:eastAsia="方正仿宋_GBK" w:cs="Times New Roman"/>
          <w:b w:val="0"/>
          <w:bCs/>
          <w:color w:val="000000"/>
          <w:spacing w:val="-4"/>
          <w:sz w:val="32"/>
          <w:szCs w:val="32"/>
        </w:rPr>
        <w:t>入库管理，</w:t>
      </w:r>
      <w:r>
        <w:rPr>
          <w:rStyle w:val="8"/>
          <w:rFonts w:hint="eastAsia" w:ascii="Times New Roman" w:hAnsi="Times New Roman" w:eastAsia="方正仿宋_GBK" w:cs="Times New Roman"/>
          <w:b w:val="0"/>
          <w:bCs/>
          <w:color w:val="000000"/>
          <w:spacing w:val="-4"/>
          <w:sz w:val="32"/>
          <w:szCs w:val="32"/>
          <w:lang w:eastAsia="zh-CN"/>
        </w:rPr>
        <w:t>专项</w:t>
      </w:r>
      <w:r>
        <w:rPr>
          <w:rStyle w:val="8"/>
          <w:rFonts w:hint="eastAsia" w:ascii="Times New Roman" w:hAnsi="Times New Roman" w:eastAsia="方正仿宋_GBK" w:cs="Times New Roman"/>
          <w:b w:val="0"/>
          <w:bCs/>
          <w:color w:val="000000"/>
          <w:spacing w:val="-4"/>
          <w:sz w:val="32"/>
          <w:szCs w:val="32"/>
          <w:lang w:val="en-US" w:eastAsia="zh-CN"/>
        </w:rPr>
        <w:t>具有</w:t>
      </w:r>
      <w:r>
        <w:rPr>
          <w:rStyle w:val="8"/>
          <w:rFonts w:hint="eastAsia" w:ascii="Times New Roman" w:hAnsi="Times New Roman" w:eastAsia="方正仿宋_GBK" w:cs="Times New Roman"/>
          <w:b w:val="0"/>
          <w:bCs/>
          <w:color w:val="000000"/>
          <w:spacing w:val="-4"/>
          <w:sz w:val="32"/>
          <w:szCs w:val="32"/>
          <w:highlight w:val="none"/>
          <w:lang w:val="en-US" w:eastAsia="zh-CN"/>
        </w:rPr>
        <w:t>《自治区民政厅彩票公益金项目征集申报管理办法》《自治区民政厅预算绩效管理办法》《自治区民政厅彩票公益金项目事前评估管理办法》等</w:t>
      </w:r>
      <w:r>
        <w:rPr>
          <w:rStyle w:val="8"/>
          <w:rFonts w:hint="eastAsia" w:ascii="Times New Roman" w:hAnsi="Times New Roman" w:eastAsia="方正仿宋_GBK" w:cs="Times New Roman"/>
          <w:b w:val="0"/>
          <w:bCs/>
          <w:color w:val="000000"/>
          <w:spacing w:val="-4"/>
          <w:sz w:val="32"/>
          <w:szCs w:val="32"/>
        </w:rPr>
        <w:t>明确的政策文件、发展规划或实际履职需要提出，并经过充分的可行性研究、集体决策和事前绩效评估。项目实施方案内容详实，明确资金测算明细、具体实施路径、预期产出及效益目标，确保专项立项依据充分、内容具体、目标清晰，为后续执行奠定坚实基础。</w:t>
      </w:r>
    </w:p>
    <w:p w14:paraId="02DF1C1F">
      <w:pPr>
        <w:keepNext w:val="0"/>
        <w:keepLines w:val="0"/>
        <w:pageBreakBefore w:val="0"/>
        <w:numPr>
          <w:ilvl w:val="0"/>
          <w:numId w:val="0"/>
        </w:numPr>
        <w:kinsoku/>
        <w:wordWrap/>
        <w:overflowPunct/>
        <w:topLinePunct w:val="0"/>
        <w:autoSpaceDE/>
        <w:autoSpaceDN/>
        <w:bidi w:val="0"/>
        <w:spacing w:line="560" w:lineRule="exact"/>
        <w:ind w:firstLine="624" w:firstLineChars="200"/>
        <w:jc w:val="both"/>
        <w:textAlignment w:val="auto"/>
        <w:rPr>
          <w:rStyle w:val="8"/>
          <w:rFonts w:hint="eastAsia" w:ascii="Times New Roman" w:hAnsi="Times New Roman" w:eastAsia="方正仿宋_GBK" w:cs="Times New Roman"/>
          <w:b w:val="0"/>
          <w:bCs/>
          <w:i w:val="0"/>
          <w:iCs w:val="0"/>
          <w:caps w:val="0"/>
          <w:color w:val="000000"/>
          <w:spacing w:val="-4"/>
          <w:sz w:val="32"/>
          <w:szCs w:val="32"/>
          <w:shd w:val="clear" w:color="auto" w:fill="auto"/>
        </w:rPr>
      </w:pPr>
      <w:r>
        <w:rPr>
          <w:rStyle w:val="8"/>
          <w:rFonts w:hint="eastAsia" w:ascii="Times New Roman" w:hAnsi="Times New Roman" w:eastAsia="方正仿宋_GBK" w:cs="Times New Roman"/>
          <w:b w:val="0"/>
          <w:bCs/>
          <w:i w:val="0"/>
          <w:iCs w:val="0"/>
          <w:caps w:val="0"/>
          <w:color w:val="000000"/>
          <w:spacing w:val="-4"/>
          <w:sz w:val="32"/>
          <w:szCs w:val="32"/>
          <w:shd w:val="clear" w:color="auto" w:fill="auto"/>
          <w:lang w:eastAsia="zh-CN"/>
        </w:rPr>
        <w:t>（</w:t>
      </w:r>
      <w:r>
        <w:rPr>
          <w:rStyle w:val="8"/>
          <w:rFonts w:hint="eastAsia" w:ascii="Times New Roman" w:hAnsi="Times New Roman" w:eastAsia="方正仿宋_GBK" w:cs="Times New Roman"/>
          <w:b w:val="0"/>
          <w:bCs/>
          <w:i w:val="0"/>
          <w:iCs w:val="0"/>
          <w:caps w:val="0"/>
          <w:color w:val="000000"/>
          <w:spacing w:val="-4"/>
          <w:sz w:val="32"/>
          <w:szCs w:val="32"/>
          <w:shd w:val="clear" w:color="auto" w:fill="auto"/>
          <w:lang w:val="en-US" w:eastAsia="zh-CN"/>
        </w:rPr>
        <w:t>2</w:t>
      </w:r>
      <w:r>
        <w:rPr>
          <w:rStyle w:val="8"/>
          <w:rFonts w:hint="eastAsia" w:ascii="Times New Roman" w:hAnsi="Times New Roman" w:eastAsia="方正仿宋_GBK" w:cs="Times New Roman"/>
          <w:b w:val="0"/>
          <w:bCs/>
          <w:i w:val="0"/>
          <w:iCs w:val="0"/>
          <w:caps w:val="0"/>
          <w:color w:val="000000"/>
          <w:spacing w:val="-4"/>
          <w:sz w:val="32"/>
          <w:szCs w:val="32"/>
          <w:shd w:val="clear" w:color="auto" w:fill="auto"/>
          <w:lang w:eastAsia="zh-CN"/>
        </w:rPr>
        <w:t>）</w:t>
      </w:r>
      <w:r>
        <w:rPr>
          <w:rStyle w:val="8"/>
          <w:rFonts w:hint="eastAsia" w:ascii="Times New Roman" w:hAnsi="Times New Roman" w:eastAsia="方正仿宋_GBK" w:cs="Times New Roman"/>
          <w:b w:val="0"/>
          <w:bCs/>
          <w:i w:val="0"/>
          <w:iCs w:val="0"/>
          <w:caps w:val="0"/>
          <w:color w:val="000000"/>
          <w:spacing w:val="-4"/>
          <w:sz w:val="32"/>
          <w:szCs w:val="32"/>
          <w:shd w:val="clear" w:color="auto" w:fill="auto"/>
        </w:rPr>
        <w:t>健全组织架构，压实主体责任</w:t>
      </w:r>
    </w:p>
    <w:p w14:paraId="2F9E18E4">
      <w:pPr>
        <w:keepNext w:val="0"/>
        <w:keepLines w:val="0"/>
        <w:pageBreakBefore w:val="0"/>
        <w:numPr>
          <w:ilvl w:val="0"/>
          <w:numId w:val="0"/>
        </w:numPr>
        <w:kinsoku/>
        <w:wordWrap/>
        <w:overflowPunct/>
        <w:topLinePunct w:val="0"/>
        <w:autoSpaceDE/>
        <w:autoSpaceDN/>
        <w:bidi w:val="0"/>
        <w:spacing w:line="560" w:lineRule="exact"/>
        <w:ind w:left="0" w:leftChars="0" w:firstLine="624" w:firstLineChars="200"/>
        <w:jc w:val="both"/>
        <w:textAlignment w:val="auto"/>
        <w:rPr>
          <w:rStyle w:val="8"/>
          <w:rFonts w:hint="eastAsia" w:ascii="Times New Roman" w:hAnsi="Times New Roman" w:eastAsia="方正仿宋_GBK" w:cs="Times New Roman"/>
          <w:b w:val="0"/>
          <w:bCs/>
          <w:color w:val="000000"/>
          <w:spacing w:val="-4"/>
          <w:sz w:val="32"/>
          <w:szCs w:val="32"/>
        </w:rPr>
      </w:pPr>
      <w:r>
        <w:rPr>
          <w:rStyle w:val="8"/>
          <w:rFonts w:hint="eastAsia" w:ascii="Times New Roman" w:hAnsi="Times New Roman" w:eastAsia="方正仿宋_GBK" w:cs="Times New Roman"/>
          <w:b w:val="0"/>
          <w:bCs/>
          <w:color w:val="000000"/>
          <w:spacing w:val="-4"/>
          <w:sz w:val="32"/>
          <w:szCs w:val="32"/>
        </w:rPr>
        <w:t>针对重大或复杂的专项，成立由分管领导牵头、业务处室负责、财务及相关人员参与的项目小组，明确内部职责分工与协作机制。实行项目负责人制度，将管理责任落实到岗到人，确保从预算执行、业务推进到绩效目标实现各环节均有专人负责、全程跟踪，形成层层负责、协同联动的工作格局。</w:t>
      </w:r>
    </w:p>
    <w:p w14:paraId="5BF239B9">
      <w:pPr>
        <w:keepNext w:val="0"/>
        <w:keepLines w:val="0"/>
        <w:pageBreakBefore w:val="0"/>
        <w:numPr>
          <w:ilvl w:val="0"/>
          <w:numId w:val="0"/>
        </w:numPr>
        <w:kinsoku/>
        <w:wordWrap/>
        <w:overflowPunct/>
        <w:topLinePunct w:val="0"/>
        <w:autoSpaceDE/>
        <w:autoSpaceDN/>
        <w:bidi w:val="0"/>
        <w:spacing w:line="560" w:lineRule="exact"/>
        <w:ind w:firstLine="624" w:firstLineChars="200"/>
        <w:jc w:val="both"/>
        <w:textAlignment w:val="auto"/>
        <w:rPr>
          <w:rStyle w:val="8"/>
          <w:rFonts w:hint="eastAsia" w:ascii="Times New Roman" w:hAnsi="Times New Roman" w:eastAsia="方正仿宋_GBK" w:cs="Times New Roman"/>
          <w:b w:val="0"/>
          <w:bCs/>
          <w:i w:val="0"/>
          <w:iCs w:val="0"/>
          <w:caps w:val="0"/>
          <w:color w:val="000000"/>
          <w:spacing w:val="-4"/>
          <w:sz w:val="32"/>
          <w:szCs w:val="32"/>
          <w:shd w:val="clear" w:color="auto" w:fill="auto"/>
        </w:rPr>
      </w:pPr>
      <w:r>
        <w:rPr>
          <w:rStyle w:val="8"/>
          <w:rFonts w:hint="eastAsia" w:ascii="Times New Roman" w:hAnsi="Times New Roman" w:eastAsia="方正仿宋_GBK" w:cs="Times New Roman"/>
          <w:b w:val="0"/>
          <w:bCs/>
          <w:i w:val="0"/>
          <w:iCs w:val="0"/>
          <w:caps w:val="0"/>
          <w:color w:val="000000"/>
          <w:spacing w:val="-4"/>
          <w:sz w:val="32"/>
          <w:szCs w:val="32"/>
          <w:shd w:val="clear" w:color="auto" w:fill="auto"/>
          <w:lang w:eastAsia="zh-CN"/>
        </w:rPr>
        <w:t>（</w:t>
      </w:r>
      <w:r>
        <w:rPr>
          <w:rStyle w:val="8"/>
          <w:rFonts w:hint="eastAsia" w:ascii="Times New Roman" w:hAnsi="Times New Roman" w:eastAsia="方正仿宋_GBK" w:cs="Times New Roman"/>
          <w:b w:val="0"/>
          <w:bCs/>
          <w:i w:val="0"/>
          <w:iCs w:val="0"/>
          <w:caps w:val="0"/>
          <w:color w:val="000000"/>
          <w:spacing w:val="-4"/>
          <w:sz w:val="32"/>
          <w:szCs w:val="32"/>
          <w:shd w:val="clear" w:color="auto" w:fill="auto"/>
          <w:lang w:val="en-US" w:eastAsia="zh-CN"/>
        </w:rPr>
        <w:t>3</w:t>
      </w:r>
      <w:r>
        <w:rPr>
          <w:rStyle w:val="8"/>
          <w:rFonts w:hint="eastAsia" w:ascii="Times New Roman" w:hAnsi="Times New Roman" w:eastAsia="方正仿宋_GBK" w:cs="Times New Roman"/>
          <w:b w:val="0"/>
          <w:bCs/>
          <w:i w:val="0"/>
          <w:iCs w:val="0"/>
          <w:caps w:val="0"/>
          <w:color w:val="000000"/>
          <w:spacing w:val="-4"/>
          <w:sz w:val="32"/>
          <w:szCs w:val="32"/>
          <w:shd w:val="clear" w:color="auto" w:fill="auto"/>
          <w:lang w:eastAsia="zh-CN"/>
        </w:rPr>
        <w:t>）</w:t>
      </w:r>
      <w:r>
        <w:rPr>
          <w:rStyle w:val="8"/>
          <w:rFonts w:hint="eastAsia" w:ascii="Times New Roman" w:hAnsi="Times New Roman" w:eastAsia="方正仿宋_GBK" w:cs="Times New Roman"/>
          <w:b w:val="0"/>
          <w:bCs/>
          <w:i w:val="0"/>
          <w:iCs w:val="0"/>
          <w:caps w:val="0"/>
          <w:color w:val="000000"/>
          <w:spacing w:val="-4"/>
          <w:sz w:val="32"/>
          <w:szCs w:val="32"/>
          <w:shd w:val="clear" w:color="auto" w:fill="auto"/>
        </w:rPr>
        <w:t>规范过程管控，保障执行效能</w:t>
      </w:r>
    </w:p>
    <w:p w14:paraId="76F6B182">
      <w:pPr>
        <w:keepNext w:val="0"/>
        <w:keepLines w:val="0"/>
        <w:pageBreakBefore w:val="0"/>
        <w:numPr>
          <w:ilvl w:val="0"/>
          <w:numId w:val="0"/>
        </w:numPr>
        <w:kinsoku/>
        <w:wordWrap/>
        <w:overflowPunct/>
        <w:topLinePunct w:val="0"/>
        <w:autoSpaceDE/>
        <w:autoSpaceDN/>
        <w:bidi w:val="0"/>
        <w:spacing w:line="560" w:lineRule="exact"/>
        <w:ind w:left="0" w:leftChars="0" w:firstLine="624" w:firstLineChars="200"/>
        <w:jc w:val="both"/>
        <w:textAlignment w:val="auto"/>
        <w:rPr>
          <w:rStyle w:val="8"/>
          <w:rFonts w:hint="eastAsia" w:ascii="Times New Roman" w:hAnsi="Times New Roman" w:eastAsia="方正仿宋_GBK" w:cs="Times New Roman"/>
          <w:b w:val="0"/>
          <w:bCs/>
          <w:color w:val="000000"/>
          <w:spacing w:val="-4"/>
          <w:sz w:val="32"/>
          <w:szCs w:val="32"/>
        </w:rPr>
      </w:pPr>
      <w:r>
        <w:rPr>
          <w:rStyle w:val="8"/>
          <w:rFonts w:hint="eastAsia" w:ascii="Times New Roman" w:hAnsi="Times New Roman" w:eastAsia="方正仿宋_GBK" w:cs="Times New Roman"/>
          <w:b w:val="0"/>
          <w:bCs/>
          <w:color w:val="000000"/>
          <w:spacing w:val="-4"/>
          <w:sz w:val="32"/>
          <w:szCs w:val="32"/>
        </w:rPr>
        <w:t>严格执行合同管理、政府采购、国库集中支付等各项财经制度。对项目实施进度、资金支出进度与绩效目标实现情况进行定期调度管理，动态掌握执行情况。对实施过程中出现的客观变化或问题，及时研究并按规定程序报批调整，确保项目执行的科学性与灵活性。同时，完善专项档案管理，确保过程资料完整、可追溯。</w:t>
      </w:r>
    </w:p>
    <w:p w14:paraId="7E3DF4F2">
      <w:pPr>
        <w:keepNext w:val="0"/>
        <w:keepLines w:val="0"/>
        <w:pageBreakBefore w:val="0"/>
        <w:numPr>
          <w:ilvl w:val="0"/>
          <w:numId w:val="0"/>
        </w:numPr>
        <w:kinsoku/>
        <w:wordWrap/>
        <w:overflowPunct/>
        <w:topLinePunct w:val="0"/>
        <w:autoSpaceDE/>
        <w:autoSpaceDN/>
        <w:bidi w:val="0"/>
        <w:spacing w:line="560" w:lineRule="exact"/>
        <w:ind w:firstLine="624" w:firstLineChars="200"/>
        <w:jc w:val="both"/>
        <w:textAlignment w:val="auto"/>
        <w:rPr>
          <w:rStyle w:val="8"/>
          <w:rFonts w:hint="eastAsia" w:ascii="Times New Roman" w:hAnsi="Times New Roman" w:eastAsia="方正仿宋_GBK" w:cs="Times New Roman"/>
          <w:b w:val="0"/>
          <w:bCs/>
          <w:i w:val="0"/>
          <w:iCs w:val="0"/>
          <w:caps w:val="0"/>
          <w:color w:val="000000"/>
          <w:spacing w:val="-4"/>
          <w:sz w:val="32"/>
          <w:szCs w:val="32"/>
          <w:shd w:val="clear" w:color="auto" w:fill="auto"/>
        </w:rPr>
      </w:pPr>
      <w:r>
        <w:rPr>
          <w:rStyle w:val="8"/>
          <w:rFonts w:hint="eastAsia" w:ascii="Times New Roman" w:hAnsi="Times New Roman" w:eastAsia="方正仿宋_GBK" w:cs="Times New Roman"/>
          <w:b w:val="0"/>
          <w:bCs/>
          <w:i w:val="0"/>
          <w:iCs w:val="0"/>
          <w:caps w:val="0"/>
          <w:color w:val="000000"/>
          <w:spacing w:val="-4"/>
          <w:sz w:val="32"/>
          <w:szCs w:val="32"/>
          <w:shd w:val="clear" w:color="auto" w:fill="auto"/>
          <w:lang w:eastAsia="zh-CN"/>
        </w:rPr>
        <w:t>（</w:t>
      </w:r>
      <w:r>
        <w:rPr>
          <w:rStyle w:val="8"/>
          <w:rFonts w:hint="eastAsia" w:ascii="Times New Roman" w:hAnsi="Times New Roman" w:eastAsia="方正仿宋_GBK" w:cs="Times New Roman"/>
          <w:b w:val="0"/>
          <w:bCs/>
          <w:i w:val="0"/>
          <w:iCs w:val="0"/>
          <w:caps w:val="0"/>
          <w:color w:val="000000"/>
          <w:spacing w:val="-4"/>
          <w:sz w:val="32"/>
          <w:szCs w:val="32"/>
          <w:shd w:val="clear" w:color="auto" w:fill="auto"/>
          <w:lang w:val="en-US" w:eastAsia="zh-CN"/>
        </w:rPr>
        <w:t>4</w:t>
      </w:r>
      <w:r>
        <w:rPr>
          <w:rStyle w:val="8"/>
          <w:rFonts w:hint="eastAsia" w:ascii="Times New Roman" w:hAnsi="Times New Roman" w:eastAsia="方正仿宋_GBK" w:cs="Times New Roman"/>
          <w:b w:val="0"/>
          <w:bCs/>
          <w:i w:val="0"/>
          <w:iCs w:val="0"/>
          <w:caps w:val="0"/>
          <w:color w:val="000000"/>
          <w:spacing w:val="-4"/>
          <w:sz w:val="32"/>
          <w:szCs w:val="32"/>
          <w:shd w:val="clear" w:color="auto" w:fill="auto"/>
          <w:lang w:eastAsia="zh-CN"/>
        </w:rPr>
        <w:t>）</w:t>
      </w:r>
      <w:r>
        <w:rPr>
          <w:rStyle w:val="8"/>
          <w:rFonts w:hint="eastAsia" w:ascii="Times New Roman" w:hAnsi="Times New Roman" w:eastAsia="方正仿宋_GBK" w:cs="Times New Roman"/>
          <w:b w:val="0"/>
          <w:bCs/>
          <w:i w:val="0"/>
          <w:iCs w:val="0"/>
          <w:caps w:val="0"/>
          <w:color w:val="000000"/>
          <w:spacing w:val="-4"/>
          <w:sz w:val="32"/>
          <w:szCs w:val="32"/>
          <w:shd w:val="clear" w:color="auto" w:fill="auto"/>
        </w:rPr>
        <w:t>强化风险防控，主动公开信息</w:t>
      </w:r>
    </w:p>
    <w:p w14:paraId="6CD3EED3">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24" w:firstLineChars="200"/>
        <w:jc w:val="both"/>
        <w:textAlignment w:val="auto"/>
        <w:rPr>
          <w:rFonts w:hint="eastAsia" w:ascii="Times New Roman" w:hAnsi="Times New Roman" w:eastAsia="方正仿宋_GBK" w:cs="仿宋_GB2312"/>
          <w:b w:val="0"/>
          <w:bCs/>
          <w:color w:val="FF0000"/>
          <w:kern w:val="0"/>
          <w:sz w:val="32"/>
          <w:szCs w:val="32"/>
          <w:lang w:val="en-US" w:eastAsia="zh-CN" w:bidi="ar"/>
        </w:rPr>
      </w:pPr>
      <w:r>
        <w:rPr>
          <w:rStyle w:val="8"/>
          <w:rFonts w:hint="eastAsia" w:ascii="Times New Roman" w:hAnsi="Times New Roman" w:eastAsia="方正仿宋_GBK" w:cs="Times New Roman"/>
          <w:b w:val="0"/>
          <w:bCs/>
          <w:color w:val="000000"/>
          <w:spacing w:val="-4"/>
          <w:sz w:val="32"/>
          <w:szCs w:val="32"/>
        </w:rPr>
        <w:t>针对专项实施各环节可能存在的管理、财务、廉政等风险，制定并落实相应的防控措施与应急预案。自觉接受审计、财政及纪检监察等部门的监督检查。严格按照预决算公开要求，及时向社会公开专项资金的设立依据、管理办法、绩效目标及执行结果等信息，主动接受社会监督，提升专项资金使用的透明度和公信力。</w:t>
      </w:r>
    </w:p>
    <w:p w14:paraId="361D7589">
      <w:pPr>
        <w:keepNext w:val="0"/>
        <w:keepLines w:val="0"/>
        <w:pageBreakBefore w:val="0"/>
        <w:numPr>
          <w:ilvl w:val="0"/>
          <w:numId w:val="0"/>
        </w:numPr>
        <w:kinsoku/>
        <w:wordWrap/>
        <w:overflowPunct/>
        <w:topLinePunct w:val="0"/>
        <w:autoSpaceDE/>
        <w:autoSpaceDN/>
        <w:bidi w:val="0"/>
        <w:adjustRightInd/>
        <w:snapToGrid w:val="0"/>
        <w:spacing w:line="560" w:lineRule="exact"/>
        <w:ind w:firstLine="640" w:firstLineChars="200"/>
        <w:jc w:val="both"/>
        <w:textAlignment w:val="auto"/>
        <w:outlineLvl w:val="0"/>
        <w:rPr>
          <w:rFonts w:hint="eastAsia" w:ascii="方正黑体_GBK" w:hAnsi="方正黑体_GBK" w:eastAsia="方正黑体_GBK" w:cs="方正黑体_GBK"/>
          <w:b w:val="0"/>
          <w:bCs/>
          <w:color w:val="333333"/>
          <w:sz w:val="32"/>
          <w:szCs w:val="32"/>
          <w:lang w:bidi="ar"/>
        </w:rPr>
      </w:pPr>
      <w:bookmarkStart w:id="54" w:name="_Toc11660"/>
      <w:bookmarkStart w:id="55" w:name="_Toc6552"/>
      <w:bookmarkStart w:id="56" w:name="_Toc23861"/>
      <w:r>
        <w:rPr>
          <w:rFonts w:hint="eastAsia" w:ascii="方正黑体_GBK" w:hAnsi="方正黑体_GBK" w:eastAsia="方正黑体_GBK" w:cs="方正黑体_GBK"/>
          <w:b w:val="0"/>
          <w:bCs/>
          <w:color w:val="333333"/>
          <w:kern w:val="2"/>
          <w:sz w:val="32"/>
          <w:szCs w:val="32"/>
          <w:lang w:val="en-US" w:eastAsia="zh-CN" w:bidi="ar"/>
        </w:rPr>
        <w:t>三、</w:t>
      </w:r>
      <w:r>
        <w:rPr>
          <w:rFonts w:hint="eastAsia" w:ascii="方正黑体_GBK" w:hAnsi="方正黑体_GBK" w:eastAsia="方正黑体_GBK" w:cs="方正黑体_GBK"/>
          <w:b w:val="0"/>
          <w:bCs/>
          <w:color w:val="333333"/>
          <w:sz w:val="32"/>
          <w:szCs w:val="32"/>
          <w:lang w:bidi="ar"/>
        </w:rPr>
        <w:t>部门单位整体支出绩效情况</w:t>
      </w:r>
      <w:bookmarkEnd w:id="54"/>
      <w:bookmarkEnd w:id="55"/>
      <w:bookmarkEnd w:id="56"/>
    </w:p>
    <w:p w14:paraId="58E53258">
      <w:pPr>
        <w:keepNext w:val="0"/>
        <w:keepLines w:val="0"/>
        <w:pageBreakBefore w:val="0"/>
        <w:widowControl w:val="0"/>
        <w:numPr>
          <w:ilvl w:val="0"/>
          <w:numId w:val="0"/>
        </w:numPr>
        <w:kinsoku/>
        <w:wordWrap/>
        <w:overflowPunct/>
        <w:topLinePunct w:val="0"/>
        <w:autoSpaceDE/>
        <w:autoSpaceDN/>
        <w:bidi w:val="0"/>
        <w:adjustRightInd/>
        <w:spacing w:line="560" w:lineRule="exact"/>
        <w:ind w:firstLine="643" w:firstLineChars="200"/>
        <w:jc w:val="both"/>
        <w:textAlignment w:val="auto"/>
        <w:outlineLvl w:val="1"/>
        <w:rPr>
          <w:rFonts w:hint="eastAsia" w:ascii="方正楷体_GBK" w:hAnsi="方正楷体_GBK" w:eastAsia="方正楷体_GBK" w:cs="方正楷体_GBK"/>
          <w:b/>
          <w:bCs w:val="0"/>
          <w:color w:val="FF0000"/>
          <w:spacing w:val="0"/>
          <w:sz w:val="32"/>
          <w:szCs w:val="32"/>
          <w:highlight w:val="none"/>
          <w:lang w:val="en-US" w:eastAsia="zh-CN"/>
        </w:rPr>
      </w:pPr>
      <w:bookmarkStart w:id="57" w:name="_Toc32392"/>
      <w:r>
        <w:rPr>
          <w:rFonts w:hint="eastAsia" w:ascii="方正楷体_GBK" w:hAnsi="方正楷体_GBK" w:eastAsia="方正楷体_GBK" w:cs="方正楷体_GBK"/>
          <w:b/>
          <w:bCs w:val="0"/>
          <w:sz w:val="32"/>
          <w:szCs w:val="32"/>
          <w:lang w:eastAsia="zh-CN"/>
        </w:rPr>
        <w:t>（</w:t>
      </w:r>
      <w:r>
        <w:rPr>
          <w:rFonts w:hint="eastAsia" w:ascii="方正楷体_GBK" w:hAnsi="方正楷体_GBK" w:eastAsia="方正楷体_GBK" w:cs="方正楷体_GBK"/>
          <w:b/>
          <w:bCs w:val="0"/>
          <w:sz w:val="32"/>
          <w:szCs w:val="32"/>
          <w:lang w:val="en-US" w:eastAsia="zh-CN"/>
        </w:rPr>
        <w:t>一</w:t>
      </w:r>
      <w:r>
        <w:rPr>
          <w:rFonts w:hint="eastAsia" w:ascii="方正楷体_GBK" w:hAnsi="方正楷体_GBK" w:eastAsia="方正楷体_GBK" w:cs="方正楷体_GBK"/>
          <w:b/>
          <w:bCs w:val="0"/>
          <w:sz w:val="32"/>
          <w:szCs w:val="32"/>
          <w:lang w:eastAsia="zh-CN"/>
        </w:rPr>
        <w:t>）</w:t>
      </w:r>
      <w:r>
        <w:rPr>
          <w:rFonts w:hint="eastAsia" w:ascii="方正楷体_GBK" w:hAnsi="方正楷体_GBK" w:eastAsia="方正楷体_GBK" w:cs="方正楷体_GBK"/>
          <w:b/>
          <w:bCs w:val="0"/>
          <w:sz w:val="32"/>
          <w:szCs w:val="32"/>
          <w:lang w:val="en-US" w:eastAsia="zh-CN"/>
        </w:rPr>
        <w:t>年度绩效目标完成情况</w:t>
      </w:r>
      <w:bookmarkEnd w:id="57"/>
    </w:p>
    <w:p w14:paraId="4E29BDC3">
      <w:pPr>
        <w:keepNext w:val="0"/>
        <w:keepLines w:val="0"/>
        <w:pageBreakBefore w:val="0"/>
        <w:widowControl w:val="0"/>
        <w:numPr>
          <w:ilvl w:val="0"/>
          <w:numId w:val="0"/>
        </w:numPr>
        <w:kinsoku/>
        <w:wordWrap/>
        <w:overflowPunct/>
        <w:topLinePunct w:val="0"/>
        <w:autoSpaceDE/>
        <w:autoSpaceDN/>
        <w:bidi w:val="0"/>
        <w:adjustRightInd/>
        <w:spacing w:line="560" w:lineRule="exact"/>
        <w:ind w:firstLine="624" w:firstLineChars="200"/>
        <w:jc w:val="both"/>
        <w:textAlignment w:val="auto"/>
        <w:rPr>
          <w:rFonts w:hint="default" w:ascii="Times New Roman" w:hAnsi="Times New Roman" w:eastAsia="方正仿宋_GBK"/>
          <w:b w:val="0"/>
          <w:bCs/>
          <w:color w:val="auto"/>
          <w:spacing w:val="-4"/>
          <w:sz w:val="32"/>
          <w:szCs w:val="32"/>
          <w:highlight w:val="none"/>
          <w:lang w:val="en-US" w:eastAsia="zh-CN"/>
        </w:rPr>
      </w:pPr>
      <w:r>
        <w:rPr>
          <w:rFonts w:hint="default" w:ascii="Times New Roman" w:hAnsi="Times New Roman" w:eastAsia="方正仿宋_GBK" w:cs="Times New Roman"/>
          <w:b w:val="0"/>
          <w:bCs/>
          <w:color w:val="auto"/>
          <w:spacing w:val="-4"/>
          <w:sz w:val="32"/>
          <w:szCs w:val="32"/>
          <w:highlight w:val="none"/>
          <w:lang w:val="en-US" w:eastAsia="zh-CN"/>
        </w:rPr>
        <w:t>2025年度，</w:t>
      </w:r>
      <w:r>
        <w:rPr>
          <w:rFonts w:hint="default" w:ascii="Times New Roman" w:hAnsi="Times New Roman" w:eastAsia="方正仿宋_GBK" w:cs="Times New Roman"/>
          <w:b w:val="0"/>
          <w:bCs/>
          <w:color w:val="000000"/>
          <w:sz w:val="32"/>
          <w:szCs w:val="32"/>
          <w:highlight w:val="none"/>
          <w:lang w:val="en-US" w:eastAsia="zh-CN" w:bidi="ar"/>
        </w:rPr>
        <w:t>通过实施城乡居民低保保障工作，规范城乡低保政策实施，合理确定保障标准，使低保对象基本生活得到有效保障。报请自治区人民政府同意，城乡低保标准在上年基础上分别提高了8.1%和8.8%，城乡最低生活保障标准分别为不低于770元/月、618元/月，进一步</w:t>
      </w:r>
      <w:r>
        <w:rPr>
          <w:rFonts w:hint="default" w:ascii="Times New Roman" w:hAnsi="Times New Roman" w:eastAsia="方正仿宋_GBK" w:cs="Times New Roman"/>
          <w:b w:val="0"/>
          <w:bCs/>
          <w:color w:val="auto"/>
          <w:spacing w:val="-4"/>
          <w:sz w:val="32"/>
          <w:szCs w:val="32"/>
          <w:highlight w:val="none"/>
          <w:lang w:val="en-US" w:eastAsia="zh-CN"/>
        </w:rPr>
        <w:t>切实保障好了低保对象基本生活；通过解决南疆四个地州残疾人特殊生活和长期护理等困难，保障生存发展权益，提高生活质量；全区公办养老机构共147家参加等级评定，晋级130家，晋级率88.44%。县市养老机构70家，达标率85.71%，乡镇级77家，达标率80.52%，进一步加强了公办养老机构规范化建设，使其符合养老机构服务安全基本规范等标准；为生活无着流浪乞讨人员提供临时食宿、疾病救治、协助返回等救助工作，充分发挥救助管理机构“兜底线，救急难”的作用，全力救助生活无着的流浪乞讨等临时遇困人员；满足孤残儿童的照料、护理、康复、心理疏导需求提高儿童的幸福感、获得感，2025年未成年人救助保护工作站购买服务项目共开展活动2402场，开展个案社工2166个，开展小组社工1941个，直接服务未成年人121594人次；通过政府购买服</w:t>
      </w:r>
      <w:r>
        <w:rPr>
          <w:rFonts w:hint="eastAsia" w:ascii="Times New Roman" w:hAnsi="Times New Roman" w:eastAsia="方正仿宋_GBK"/>
          <w:b w:val="0"/>
          <w:bCs/>
          <w:color w:val="auto"/>
          <w:spacing w:val="-4"/>
          <w:sz w:val="32"/>
          <w:szCs w:val="32"/>
          <w:highlight w:val="none"/>
          <w:lang w:val="en-US" w:eastAsia="zh-CN"/>
        </w:rPr>
        <w:t>务方式对</w:t>
      </w:r>
      <w:r>
        <w:rPr>
          <w:rFonts w:hint="eastAsia" w:ascii="Times New Roman" w:hAnsi="Times New Roman" w:eastAsia="方正仿宋_GBK" w:cs="Times New Roman"/>
          <w:b w:val="0"/>
          <w:bCs/>
          <w:color w:val="auto"/>
          <w:spacing w:val="-4"/>
          <w:sz w:val="32"/>
          <w:szCs w:val="32"/>
          <w:highlight w:val="none"/>
          <w:lang w:val="en-US" w:eastAsia="zh-CN"/>
        </w:rPr>
        <w:t>146</w:t>
      </w:r>
      <w:r>
        <w:rPr>
          <w:rFonts w:hint="eastAsia" w:ascii="Times New Roman" w:hAnsi="Times New Roman" w:eastAsia="方正仿宋_GBK"/>
          <w:b w:val="0"/>
          <w:bCs/>
          <w:color w:val="auto"/>
          <w:spacing w:val="-4"/>
          <w:sz w:val="32"/>
          <w:szCs w:val="32"/>
          <w:highlight w:val="none"/>
          <w:lang w:val="en-US" w:eastAsia="zh-CN"/>
        </w:rPr>
        <w:t>个慈善组织、社会组织进行孵化，提供内部管理、专家咨询、资源链接、技能培训、项目策划、沟通交流、人才培养等多元化服务，提高孵化组织服务能力水平；支持</w:t>
      </w:r>
      <w:r>
        <w:rPr>
          <w:rFonts w:hint="default" w:ascii="Times New Roman" w:hAnsi="Times New Roman" w:eastAsia="方正仿宋_GBK" w:cs="Times New Roman"/>
          <w:b w:val="0"/>
          <w:bCs/>
          <w:color w:val="auto"/>
          <w:spacing w:val="-4"/>
          <w:sz w:val="32"/>
          <w:szCs w:val="32"/>
          <w:highlight w:val="none"/>
          <w:lang w:val="en-US" w:eastAsia="zh-CN"/>
        </w:rPr>
        <w:t>3</w:t>
      </w:r>
      <w:r>
        <w:rPr>
          <w:rFonts w:hint="eastAsia" w:ascii="Times New Roman" w:hAnsi="Times New Roman" w:eastAsia="方正仿宋_GBK"/>
          <w:b w:val="0"/>
          <w:bCs/>
          <w:color w:val="auto"/>
          <w:spacing w:val="-4"/>
          <w:sz w:val="32"/>
          <w:szCs w:val="32"/>
          <w:highlight w:val="none"/>
          <w:lang w:val="en-US" w:eastAsia="zh-CN"/>
        </w:rPr>
        <w:t>家殡仪馆设施设备改造建设，有效提升殡葬服务能力。</w:t>
      </w:r>
    </w:p>
    <w:p w14:paraId="4BB329A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outlineLvl w:val="1"/>
        <w:rPr>
          <w:rFonts w:hint="eastAsia" w:ascii="方正楷体_GBK" w:hAnsi="方正楷体_GBK" w:eastAsia="方正楷体_GBK" w:cs="方正楷体_GBK"/>
          <w:b/>
          <w:bCs w:val="0"/>
          <w:sz w:val="32"/>
          <w:szCs w:val="32"/>
          <w:lang w:val="en-US" w:eastAsia="zh-CN"/>
        </w:rPr>
      </w:pPr>
      <w:bookmarkStart w:id="58" w:name="_Toc3647"/>
      <w:bookmarkStart w:id="59" w:name="_Toc32639"/>
      <w:bookmarkStart w:id="60" w:name="_Toc17541"/>
      <w:r>
        <w:rPr>
          <w:rFonts w:hint="eastAsia" w:ascii="方正楷体_GBK" w:hAnsi="方正楷体_GBK" w:eastAsia="方正楷体_GBK" w:cs="方正楷体_GBK"/>
          <w:b/>
          <w:bCs w:val="0"/>
          <w:sz w:val="32"/>
          <w:szCs w:val="32"/>
          <w:lang w:val="en-US" w:eastAsia="zh-CN"/>
        </w:rPr>
        <w:t>（二）部门单位整体支出绩效指标完成情况分析</w:t>
      </w:r>
      <w:bookmarkEnd w:id="58"/>
      <w:bookmarkEnd w:id="59"/>
      <w:bookmarkEnd w:id="60"/>
    </w:p>
    <w:p w14:paraId="4E52114F">
      <w:pPr>
        <w:keepNext w:val="0"/>
        <w:keepLines w:val="0"/>
        <w:pageBreakBefore w:val="0"/>
        <w:numPr>
          <w:ilvl w:val="0"/>
          <w:numId w:val="0"/>
        </w:numPr>
        <w:kinsoku/>
        <w:wordWrap/>
        <w:overflowPunct/>
        <w:topLinePunct w:val="0"/>
        <w:autoSpaceDE/>
        <w:autoSpaceDN/>
        <w:bidi w:val="0"/>
        <w:adjustRightInd/>
        <w:snapToGrid w:val="0"/>
        <w:spacing w:line="560" w:lineRule="exact"/>
        <w:ind w:firstLine="640" w:firstLineChars="200"/>
        <w:jc w:val="both"/>
        <w:textAlignment w:val="auto"/>
        <w:rPr>
          <w:rFonts w:hint="default" w:ascii="Times New Roman" w:hAnsi="Times New Roman" w:eastAsia="方正仿宋_GBK" w:cs="Times New Roman"/>
          <w:b w:val="0"/>
          <w:bCs/>
          <w:color w:val="000000"/>
          <w:sz w:val="32"/>
          <w:szCs w:val="32"/>
          <w:lang w:val="en-US" w:eastAsia="zh-CN" w:bidi="ar"/>
        </w:rPr>
      </w:pPr>
      <w:r>
        <w:rPr>
          <w:rFonts w:hint="default" w:ascii="Times New Roman" w:hAnsi="Times New Roman" w:eastAsia="方正仿宋_GBK" w:cs="Times New Roman"/>
          <w:b w:val="0"/>
          <w:bCs/>
          <w:color w:val="000000"/>
          <w:sz w:val="32"/>
          <w:szCs w:val="32"/>
          <w:lang w:val="en-US" w:eastAsia="zh-CN" w:bidi="ar"/>
        </w:rPr>
        <w:t>年初</w:t>
      </w:r>
      <w:r>
        <w:rPr>
          <w:rFonts w:hint="default" w:ascii="Times New Roman" w:hAnsi="Times New Roman" w:eastAsia="方正仿宋_GBK" w:cs="Times New Roman"/>
          <w:b w:val="0"/>
          <w:bCs/>
          <w:color w:val="000000"/>
          <w:spacing w:val="-4"/>
          <w:sz w:val="32"/>
          <w:szCs w:val="32"/>
          <w:lang w:val="en-US" w:eastAsia="zh-CN"/>
        </w:rPr>
        <w:t>我部门</w:t>
      </w:r>
      <w:r>
        <w:rPr>
          <w:rFonts w:hint="default" w:ascii="Times New Roman" w:hAnsi="Times New Roman" w:eastAsia="方正仿宋_GBK" w:cs="Times New Roman"/>
          <w:b w:val="0"/>
          <w:bCs/>
          <w:color w:val="000000"/>
          <w:sz w:val="32"/>
          <w:szCs w:val="32"/>
          <w:lang w:val="en-US" w:eastAsia="zh-CN" w:bidi="ar"/>
        </w:rPr>
        <w:t>设置部门整体绩效目标中包括一级指标1个，二级指标1个，三级指标8个，指标完成情况分析如下：</w:t>
      </w:r>
    </w:p>
    <w:p w14:paraId="29D434A2">
      <w:pPr>
        <w:keepNext w:val="0"/>
        <w:keepLines w:val="0"/>
        <w:pageBreakBefore w:val="0"/>
        <w:numPr>
          <w:ilvl w:val="0"/>
          <w:numId w:val="0"/>
        </w:numPr>
        <w:kinsoku/>
        <w:wordWrap/>
        <w:overflowPunct/>
        <w:topLinePunct w:val="0"/>
        <w:autoSpaceDE/>
        <w:autoSpaceDN/>
        <w:bidi w:val="0"/>
        <w:adjustRightInd/>
        <w:snapToGrid w:val="0"/>
        <w:spacing w:line="560" w:lineRule="exact"/>
        <w:ind w:firstLine="643" w:firstLineChars="200"/>
        <w:jc w:val="both"/>
        <w:textAlignment w:val="auto"/>
        <w:rPr>
          <w:rFonts w:hint="default" w:ascii="Times New Roman" w:hAnsi="Times New Roman" w:eastAsia="方正仿宋_GBK" w:cs="楷体"/>
          <w:b/>
          <w:bCs w:val="0"/>
          <w:color w:val="auto"/>
          <w:sz w:val="32"/>
          <w:szCs w:val="32"/>
          <w:lang w:val="en-US" w:eastAsia="zh-CN" w:bidi="ar"/>
        </w:rPr>
      </w:pPr>
      <w:r>
        <w:rPr>
          <w:rFonts w:hint="eastAsia" w:ascii="Times New Roman" w:hAnsi="Times New Roman" w:eastAsia="方正仿宋_GBK" w:cs="楷体"/>
          <w:b/>
          <w:bCs w:val="0"/>
          <w:color w:val="auto"/>
          <w:sz w:val="32"/>
          <w:szCs w:val="32"/>
          <w:lang w:val="en-US" w:eastAsia="zh-CN" w:bidi="ar"/>
        </w:rPr>
        <w:t>1.</w:t>
      </w:r>
      <w:r>
        <w:rPr>
          <w:rFonts w:hint="default" w:ascii="Times New Roman" w:hAnsi="Times New Roman" w:eastAsia="方正仿宋_GBK" w:cs="楷体"/>
          <w:b/>
          <w:bCs w:val="0"/>
          <w:color w:val="auto"/>
          <w:sz w:val="32"/>
          <w:szCs w:val="32"/>
          <w:lang w:val="en-US" w:eastAsia="zh-CN" w:bidi="ar"/>
        </w:rPr>
        <w:t>履职效能</w:t>
      </w:r>
    </w:p>
    <w:p w14:paraId="448E90D7">
      <w:pPr>
        <w:keepNext w:val="0"/>
        <w:keepLines w:val="0"/>
        <w:pageBreakBefore w:val="0"/>
        <w:numPr>
          <w:ilvl w:val="0"/>
          <w:numId w:val="0"/>
        </w:numPr>
        <w:kinsoku/>
        <w:wordWrap/>
        <w:overflowPunct/>
        <w:topLinePunct w:val="0"/>
        <w:autoSpaceDE/>
        <w:autoSpaceDN/>
        <w:bidi w:val="0"/>
        <w:adjustRightInd/>
        <w:spacing w:line="560" w:lineRule="exact"/>
        <w:ind w:firstLine="640" w:firstLineChars="200"/>
        <w:jc w:val="both"/>
        <w:textAlignment w:val="auto"/>
        <w:rPr>
          <w:rFonts w:hint="default" w:ascii="Times New Roman" w:hAnsi="Times New Roman" w:eastAsia="方正仿宋_GBK" w:cs="Times New Roman"/>
          <w:b w:val="0"/>
          <w:bCs/>
          <w:color w:val="auto"/>
          <w:sz w:val="32"/>
          <w:szCs w:val="32"/>
          <w:lang w:val="en-US" w:eastAsia="zh-CN" w:bidi="ar"/>
        </w:rPr>
      </w:pPr>
      <w:r>
        <w:rPr>
          <w:rFonts w:hint="default" w:ascii="Times New Roman" w:hAnsi="Times New Roman" w:eastAsia="方正仿宋_GBK" w:cs="Times New Roman"/>
          <w:b w:val="0"/>
          <w:bCs/>
          <w:color w:val="000000"/>
          <w:kern w:val="0"/>
          <w:sz w:val="32"/>
          <w:szCs w:val="32"/>
          <w:lang w:val="en-US" w:eastAsia="zh-CN" w:bidi="ar"/>
        </w:rPr>
        <w:t>（1）</w:t>
      </w:r>
      <w:r>
        <w:rPr>
          <w:rFonts w:hint="default" w:ascii="Times New Roman" w:hAnsi="Times New Roman" w:eastAsia="方正仿宋_GBK" w:cs="Times New Roman"/>
          <w:b w:val="0"/>
          <w:bCs/>
          <w:color w:val="auto"/>
          <w:sz w:val="32"/>
          <w:szCs w:val="32"/>
          <w:lang w:val="en-US" w:eastAsia="zh-CN" w:bidi="ar"/>
        </w:rPr>
        <w:t>数量指标</w:t>
      </w:r>
    </w:p>
    <w:p w14:paraId="7260DF86">
      <w:pPr>
        <w:keepNext w:val="0"/>
        <w:keepLines w:val="0"/>
        <w:pageBreakBefore w:val="0"/>
        <w:numPr>
          <w:ilvl w:val="0"/>
          <w:numId w:val="0"/>
        </w:numPr>
        <w:kinsoku/>
        <w:wordWrap/>
        <w:overflowPunct/>
        <w:topLinePunct w:val="0"/>
        <w:autoSpaceDE/>
        <w:autoSpaceDN/>
        <w:bidi w:val="0"/>
        <w:adjustRightInd/>
        <w:snapToGrid w:val="0"/>
        <w:spacing w:line="560" w:lineRule="exact"/>
        <w:ind w:firstLine="640" w:firstLineChars="200"/>
        <w:jc w:val="both"/>
        <w:textAlignment w:val="auto"/>
        <w:rPr>
          <w:rFonts w:hint="default" w:ascii="Times New Roman" w:hAnsi="Times New Roman" w:eastAsia="方正仿宋_GBK" w:cs="Times New Roman"/>
          <w:b w:val="0"/>
          <w:bCs/>
          <w:color w:val="000000"/>
          <w:sz w:val="32"/>
          <w:szCs w:val="32"/>
          <w:lang w:val="en-US" w:eastAsia="zh-CN" w:bidi="ar"/>
        </w:rPr>
      </w:pPr>
      <w:r>
        <w:rPr>
          <w:rFonts w:hint="default" w:ascii="Times New Roman" w:hAnsi="Times New Roman" w:eastAsia="方正仿宋_GBK" w:cs="Times New Roman"/>
          <w:b w:val="0"/>
          <w:bCs/>
          <w:color w:val="000000"/>
          <w:sz w:val="32"/>
          <w:szCs w:val="32"/>
          <w:lang w:val="en-US" w:eastAsia="zh-CN" w:bidi="ar"/>
        </w:rPr>
        <w:t>指标1：城乡居民低保保障率，</w:t>
      </w:r>
      <w:r>
        <w:rPr>
          <w:rFonts w:hint="default" w:ascii="Times New Roman" w:hAnsi="Times New Roman" w:eastAsia="方正仿宋_GBK" w:cs="Times New Roman"/>
          <w:b w:val="0"/>
          <w:bCs/>
          <w:color w:val="000000"/>
          <w:sz w:val="32"/>
          <w:szCs w:val="32"/>
          <w:highlight w:val="none"/>
          <w:lang w:val="en-US" w:eastAsia="zh-CN" w:bidi="ar"/>
        </w:rPr>
        <w:t>依据新疆维吾尔自治区民政事业发展“十四五”</w:t>
      </w:r>
      <w:r>
        <w:rPr>
          <w:rFonts w:hint="default" w:ascii="Times New Roman" w:hAnsi="Times New Roman" w:eastAsia="方正仿宋_GBK" w:cs="Times New Roman"/>
          <w:b w:val="0"/>
          <w:bCs/>
          <w:color w:val="000000"/>
          <w:sz w:val="32"/>
          <w:szCs w:val="32"/>
          <w:lang w:val="en-US" w:eastAsia="zh-CN" w:bidi="ar"/>
        </w:rPr>
        <w:t>规划设定年初指标值：应保尽保，年中监控完成值：应保尽保，自评完成值：应保尽保，指标完成率100%，偏差0%，偏差原因及改进措施：无，指标成效分析</w:t>
      </w:r>
      <w:r>
        <w:rPr>
          <w:rFonts w:hint="eastAsia" w:eastAsia="方正仿宋_GBK" w:cs="Times New Roman"/>
          <w:b w:val="0"/>
          <w:bCs/>
          <w:color w:val="000000"/>
          <w:sz w:val="32"/>
          <w:szCs w:val="32"/>
          <w:lang w:val="en-US" w:eastAsia="zh-CN" w:bidi="ar"/>
        </w:rPr>
        <w:t>;</w:t>
      </w:r>
      <w:r>
        <w:rPr>
          <w:rFonts w:hint="default" w:ascii="Times New Roman" w:hAnsi="Times New Roman" w:eastAsia="方正仿宋_GBK" w:cs="Times New Roman"/>
          <w:b w:val="0"/>
          <w:bCs/>
          <w:color w:val="000000"/>
          <w:sz w:val="32"/>
          <w:szCs w:val="32"/>
          <w:lang w:val="en-US" w:eastAsia="zh-CN" w:bidi="ar"/>
        </w:rPr>
        <w:t>2025年度，通过实施城乡居民低保保障工作，规范城乡低保政策实施，合理确定保障标准，使低保对象基本生活得到有效保障。报请自治区人民政府同意，城乡低保标准在上年基础上分别提高了8.1%和8.8%，城乡最低生活保障标准分别为不低于770元/月、618元/月，保障水平进一步提升。</w:t>
      </w:r>
    </w:p>
    <w:p w14:paraId="6667F156">
      <w:pPr>
        <w:keepNext w:val="0"/>
        <w:keepLines w:val="0"/>
        <w:pageBreakBefore w:val="0"/>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default" w:ascii="Times New Roman" w:hAnsi="Times New Roman" w:eastAsia="方正仿宋_GBK" w:cs="Times New Roman"/>
          <w:b w:val="0"/>
          <w:bCs/>
          <w:color w:val="000000"/>
          <w:sz w:val="32"/>
          <w:szCs w:val="32"/>
          <w:lang w:val="en-US" w:eastAsia="zh-CN" w:bidi="ar"/>
        </w:rPr>
      </w:pPr>
      <w:r>
        <w:rPr>
          <w:rFonts w:hint="default" w:ascii="Times New Roman" w:hAnsi="Times New Roman" w:eastAsia="方正仿宋_GBK" w:cs="Times New Roman"/>
          <w:b w:val="0"/>
          <w:bCs/>
          <w:color w:val="000000"/>
          <w:sz w:val="32"/>
          <w:szCs w:val="32"/>
          <w:lang w:val="en-US" w:eastAsia="zh-CN" w:bidi="ar"/>
        </w:rPr>
        <w:t>指标2：</w:t>
      </w:r>
      <w:r>
        <w:rPr>
          <w:rFonts w:hint="default" w:ascii="Times New Roman" w:hAnsi="Times New Roman" w:eastAsia="方正仿宋_GBK" w:cs="Times New Roman"/>
          <w:b w:val="0"/>
          <w:bCs/>
          <w:color w:val="000000"/>
          <w:sz w:val="32"/>
          <w:szCs w:val="32"/>
          <w:highlight w:val="none"/>
          <w:lang w:val="en-US" w:eastAsia="zh-CN" w:bidi="ar"/>
        </w:rPr>
        <w:t>惠及困难残疾人生活和重度残疾人护理补贴人群覆盖率，依据新疆维吾尔自治区民政事业发展“十四五”规划设定年初指标值</w:t>
      </w:r>
      <w:r>
        <w:rPr>
          <w:rFonts w:hint="default" w:ascii="Times New Roman" w:hAnsi="Times New Roman" w:eastAsia="方正仿宋_GBK" w:cs="Times New Roman"/>
          <w:b w:val="0"/>
          <w:bCs/>
          <w:color w:val="000000"/>
          <w:sz w:val="32"/>
          <w:szCs w:val="32"/>
          <w:lang w:val="en-US" w:eastAsia="zh-CN" w:bidi="ar"/>
        </w:rPr>
        <w:t>：</w:t>
      </w:r>
      <w:r>
        <w:rPr>
          <w:rFonts w:hint="default" w:ascii="Times New Roman" w:hAnsi="Times New Roman" w:eastAsia="方正仿宋_GBK" w:cs="Times New Roman"/>
          <w:b w:val="0"/>
          <w:bCs/>
          <w:color w:val="000000"/>
          <w:sz w:val="32"/>
          <w:szCs w:val="32"/>
          <w:highlight w:val="none"/>
          <w:lang w:val="en-US" w:eastAsia="zh-CN" w:bidi="ar"/>
        </w:rPr>
        <w:t>&gt;=98%</w:t>
      </w:r>
      <w:r>
        <w:rPr>
          <w:rFonts w:hint="default" w:ascii="Times New Roman" w:hAnsi="Times New Roman" w:eastAsia="方正仿宋_GBK" w:cs="Times New Roman"/>
          <w:b w:val="0"/>
          <w:bCs/>
          <w:color w:val="000000"/>
          <w:sz w:val="32"/>
          <w:szCs w:val="32"/>
          <w:lang w:val="en-US" w:eastAsia="zh-CN" w:bidi="ar"/>
        </w:rPr>
        <w:t>，年中监控完成值：100%，自评完成值：100%，指标完成率102.04%，偏差2.04%，偏差原因及改进措施：</w:t>
      </w:r>
      <w:r>
        <w:rPr>
          <w:rFonts w:hint="default" w:ascii="Times New Roman" w:hAnsi="Times New Roman" w:eastAsia="方正仿宋_GBK" w:cs="Times New Roman"/>
          <w:b w:val="0"/>
          <w:bCs/>
          <w:color w:val="000000"/>
          <w:sz w:val="32"/>
          <w:szCs w:val="32"/>
          <w:highlight w:val="none"/>
          <w:lang w:val="en-US" w:eastAsia="zh-CN" w:bidi="ar"/>
        </w:rPr>
        <w:t>本年度内，我部门着力推进困难残疾人、重度残疾人补贴覆盖率，因各地补贴标准和资金拨付比例和绩效等因素，故该指标完成略高于预期，下一步我部门将始终贯彻困难残疾人生活补贴和重度残疾人护理保障政策，提高困难残疾人和重度残疾人生活保障。指标成效分析：依据《关于建立困难残疾人生活补贴和重度残疾人护理补贴制度的实施意见》中的补贴标准和资金拨付比例，结合实际，通过资助南疆三地州及阿克苏地区乌什县、柯坪县和阿瓦提县，为符合条件的困难残疾人发放生活补贴及重度残疾人发放护理补贴资金，有效提高残疾人生活质量，确保残疾人生存发展权益，生活质量持续提升</w:t>
      </w:r>
      <w:r>
        <w:rPr>
          <w:rFonts w:hint="default" w:ascii="Times New Roman" w:hAnsi="Times New Roman" w:eastAsia="方正仿宋_GBK" w:cs="Times New Roman"/>
          <w:b w:val="0"/>
          <w:bCs/>
          <w:color w:val="000000"/>
          <w:sz w:val="32"/>
          <w:szCs w:val="32"/>
          <w:lang w:val="en-US" w:eastAsia="zh-CN" w:bidi="ar"/>
        </w:rPr>
        <w:t>。</w:t>
      </w:r>
    </w:p>
    <w:p w14:paraId="4B03187B">
      <w:pPr>
        <w:keepNext w:val="0"/>
        <w:keepLines w:val="0"/>
        <w:pageBreakBefore w:val="0"/>
        <w:numPr>
          <w:ilvl w:val="0"/>
          <w:numId w:val="0"/>
        </w:numPr>
        <w:kinsoku/>
        <w:wordWrap/>
        <w:overflowPunct/>
        <w:topLinePunct w:val="0"/>
        <w:autoSpaceDE/>
        <w:autoSpaceDN/>
        <w:bidi w:val="0"/>
        <w:adjustRightInd/>
        <w:snapToGrid w:val="0"/>
        <w:spacing w:line="560" w:lineRule="exact"/>
        <w:ind w:firstLine="640" w:firstLineChars="200"/>
        <w:jc w:val="both"/>
        <w:textAlignment w:val="auto"/>
        <w:rPr>
          <w:rFonts w:hint="default" w:ascii="Times New Roman" w:hAnsi="Times New Roman" w:eastAsia="方正仿宋_GBK" w:cs="Times New Roman"/>
          <w:b w:val="0"/>
          <w:bCs/>
          <w:color w:val="auto"/>
          <w:sz w:val="32"/>
          <w:szCs w:val="32"/>
          <w:lang w:val="en-US" w:eastAsia="zh-CN" w:bidi="ar"/>
        </w:rPr>
      </w:pPr>
      <w:r>
        <w:rPr>
          <w:rFonts w:hint="default" w:ascii="Times New Roman" w:hAnsi="Times New Roman" w:eastAsia="方正仿宋_GBK" w:cs="Times New Roman"/>
          <w:b w:val="0"/>
          <w:bCs/>
          <w:color w:val="000000"/>
          <w:sz w:val="32"/>
          <w:szCs w:val="32"/>
          <w:lang w:val="en-US" w:eastAsia="zh-CN" w:bidi="ar"/>
        </w:rPr>
        <w:t>指标3：评定为一级至二级服务等级的乡镇级公办养老机构建有率，</w:t>
      </w:r>
      <w:r>
        <w:rPr>
          <w:rFonts w:hint="default" w:ascii="Times New Roman" w:hAnsi="Times New Roman" w:eastAsia="方正仿宋_GBK" w:cs="Times New Roman"/>
          <w:b w:val="0"/>
          <w:bCs/>
          <w:color w:val="000000"/>
          <w:sz w:val="32"/>
          <w:szCs w:val="32"/>
          <w:highlight w:val="none"/>
          <w:lang w:val="en-US" w:eastAsia="zh-CN" w:bidi="ar"/>
        </w:rPr>
        <w:t>依据关于加快推进基本养老服务体系建设的实施方案设定年初指标值：&gt;=80%，年中监控完成值：0%，自评完成值：80.52%，指标完成率100.65%，偏差0.65%</w:t>
      </w:r>
      <w:r>
        <w:rPr>
          <w:rFonts w:hint="default" w:ascii="Times New Roman" w:hAnsi="Times New Roman" w:eastAsia="方正仿宋_GBK" w:cs="Times New Roman"/>
          <w:b w:val="0"/>
          <w:bCs/>
          <w:color w:val="000000"/>
          <w:sz w:val="32"/>
          <w:szCs w:val="32"/>
          <w:lang w:val="en-US" w:eastAsia="zh-CN" w:bidi="ar"/>
        </w:rPr>
        <w:t>，偏差原因及改进措施：</w:t>
      </w:r>
      <w:r>
        <w:rPr>
          <w:rFonts w:hint="eastAsia" w:eastAsia="方正仿宋_GBK" w:cs="Times New Roman"/>
          <w:b w:val="0"/>
          <w:bCs/>
          <w:color w:val="000000"/>
          <w:sz w:val="32"/>
          <w:szCs w:val="32"/>
          <w:lang w:val="en-US" w:eastAsia="zh-CN" w:bidi="ar"/>
        </w:rPr>
        <w:t>2025</w:t>
      </w:r>
      <w:r>
        <w:rPr>
          <w:rFonts w:hint="default" w:ascii="Times New Roman" w:hAnsi="Times New Roman" w:eastAsia="方正仿宋_GBK" w:cs="Times New Roman"/>
          <w:b w:val="0"/>
          <w:bCs/>
          <w:color w:val="000000"/>
          <w:sz w:val="32"/>
          <w:szCs w:val="32"/>
          <w:lang w:val="en-US" w:eastAsia="zh-CN" w:bidi="ar"/>
        </w:rPr>
        <w:t>年度我部门严格落实乡镇级公办养老机构评定工作，因机构评定数量有所上升，该项指标略超过预期，下一步将持续认真履行“依法行政、为民服务、以人为本、规范服务”的工作宗旨，加强绩效目标的合理设置，指标成效分析：</w:t>
      </w:r>
      <w:r>
        <w:rPr>
          <w:rFonts w:hint="default" w:ascii="Times New Roman" w:hAnsi="Times New Roman" w:eastAsia="方正仿宋_GBK" w:cs="Times New Roman"/>
          <w:b w:val="0"/>
          <w:bCs/>
          <w:color w:val="auto"/>
          <w:sz w:val="32"/>
          <w:szCs w:val="32"/>
          <w:lang w:val="en-US" w:eastAsia="zh-CN" w:bidi="ar"/>
        </w:rPr>
        <w:t>通过完成评定为一级至二级服务等级的乡镇级公办养老机构工作，有效加强公办养老机构规范化建设，使其符合养老机构服务安全基本规范等标准。</w:t>
      </w:r>
    </w:p>
    <w:p w14:paraId="5E41E87C">
      <w:pPr>
        <w:keepNext w:val="0"/>
        <w:keepLines w:val="0"/>
        <w:pageBreakBefore w:val="0"/>
        <w:numPr>
          <w:ilvl w:val="0"/>
          <w:numId w:val="0"/>
        </w:numPr>
        <w:kinsoku/>
        <w:wordWrap/>
        <w:overflowPunct/>
        <w:topLinePunct w:val="0"/>
        <w:autoSpaceDE/>
        <w:autoSpaceDN/>
        <w:bidi w:val="0"/>
        <w:adjustRightInd/>
        <w:snapToGrid w:val="0"/>
        <w:spacing w:line="560" w:lineRule="exact"/>
        <w:ind w:firstLine="640" w:firstLineChars="200"/>
        <w:jc w:val="both"/>
        <w:textAlignment w:val="auto"/>
        <w:rPr>
          <w:rFonts w:hint="default" w:ascii="Times New Roman" w:hAnsi="Times New Roman" w:eastAsia="方正仿宋_GBK" w:cs="Times New Roman"/>
          <w:b w:val="0"/>
          <w:bCs/>
          <w:color w:val="000000"/>
          <w:sz w:val="32"/>
          <w:szCs w:val="32"/>
          <w:lang w:val="en-US" w:eastAsia="zh-CN" w:bidi="ar"/>
        </w:rPr>
      </w:pPr>
      <w:r>
        <w:rPr>
          <w:rFonts w:hint="default" w:ascii="Times New Roman" w:hAnsi="Times New Roman" w:eastAsia="方正仿宋_GBK" w:cs="Times New Roman"/>
          <w:b w:val="0"/>
          <w:bCs/>
          <w:color w:val="000000"/>
          <w:sz w:val="32"/>
          <w:szCs w:val="32"/>
          <w:lang w:val="en-US" w:eastAsia="zh-CN" w:bidi="ar"/>
        </w:rPr>
        <w:t>指标4：评定为二级至三级服务等级的县级公办养老机构建有率，</w:t>
      </w:r>
      <w:r>
        <w:rPr>
          <w:rFonts w:hint="default" w:ascii="Times New Roman" w:hAnsi="Times New Roman" w:eastAsia="方正仿宋_GBK" w:cs="Times New Roman"/>
          <w:b w:val="0"/>
          <w:bCs/>
          <w:color w:val="000000"/>
          <w:sz w:val="32"/>
          <w:szCs w:val="32"/>
          <w:highlight w:val="none"/>
          <w:lang w:val="en-US" w:eastAsia="zh-CN" w:bidi="ar"/>
        </w:rPr>
        <w:t>依据关于加快推进基本养老服务体系建设的实施方案设定年初指标值：&gt;=80%，年中监控完成值：0%，自评完成值：85.71%，指标完成率107.13%，偏差7.13%，</w:t>
      </w:r>
      <w:r>
        <w:rPr>
          <w:rFonts w:hint="default" w:ascii="Times New Roman" w:hAnsi="Times New Roman" w:eastAsia="方正仿宋_GBK" w:cs="Times New Roman"/>
          <w:b w:val="0"/>
          <w:bCs/>
          <w:color w:val="000000"/>
          <w:sz w:val="32"/>
          <w:szCs w:val="32"/>
          <w:lang w:val="en-US" w:eastAsia="zh-CN" w:bidi="ar"/>
        </w:rPr>
        <w:t>偏差原因及改进措施：</w:t>
      </w:r>
      <w:r>
        <w:rPr>
          <w:rFonts w:hint="eastAsia" w:eastAsia="方正仿宋_GBK" w:cs="Times New Roman"/>
          <w:b w:val="0"/>
          <w:bCs/>
          <w:color w:val="000000"/>
          <w:sz w:val="32"/>
          <w:szCs w:val="32"/>
          <w:lang w:val="en-US" w:eastAsia="zh-CN" w:bidi="ar"/>
        </w:rPr>
        <w:t>2025</w:t>
      </w:r>
      <w:r>
        <w:rPr>
          <w:rFonts w:hint="default" w:ascii="Times New Roman" w:hAnsi="Times New Roman" w:eastAsia="方正仿宋_GBK" w:cs="Times New Roman"/>
          <w:b w:val="0"/>
          <w:bCs/>
          <w:color w:val="000000"/>
          <w:sz w:val="32"/>
          <w:szCs w:val="32"/>
          <w:lang w:val="en-US" w:eastAsia="zh-CN" w:bidi="ar"/>
        </w:rPr>
        <w:t>年度我部门严格落实县级公办养老机构评定工作，因机构评定数量有所上升，该项指标略超过预期，下一步将持续认真履行“依法行政、为民服务、以人为本、规范服务”的工作宗旨，加强绩效目标的合理设置，指标成效分析:</w:t>
      </w:r>
      <w:r>
        <w:rPr>
          <w:rFonts w:hint="default" w:ascii="Times New Roman" w:hAnsi="Times New Roman" w:eastAsia="方正仿宋_GBK" w:cs="Times New Roman"/>
          <w:b w:val="0"/>
          <w:bCs/>
          <w:color w:val="auto"/>
          <w:sz w:val="32"/>
          <w:szCs w:val="32"/>
          <w:lang w:val="en-US" w:eastAsia="zh-CN" w:bidi="ar"/>
        </w:rPr>
        <w:t>通过完成评定为二级至三级服务等级的县级公办养老机构工作，有效加强公办养老机构规范化建设，使其符合养老机构服务安全基本规范等标准</w:t>
      </w:r>
      <w:r>
        <w:rPr>
          <w:rFonts w:hint="default" w:ascii="Times New Roman" w:hAnsi="Times New Roman" w:eastAsia="方正仿宋_GBK" w:cs="Times New Roman"/>
          <w:b w:val="0"/>
          <w:bCs/>
          <w:color w:val="000000"/>
          <w:sz w:val="32"/>
          <w:szCs w:val="32"/>
          <w:lang w:val="en-US" w:eastAsia="zh-CN" w:bidi="ar"/>
        </w:rPr>
        <w:t>。</w:t>
      </w:r>
    </w:p>
    <w:p w14:paraId="7CB3127C">
      <w:pPr>
        <w:keepNext w:val="0"/>
        <w:keepLines w:val="0"/>
        <w:pageBreakBefore w:val="0"/>
        <w:numPr>
          <w:ilvl w:val="0"/>
          <w:numId w:val="0"/>
        </w:numPr>
        <w:kinsoku/>
        <w:wordWrap/>
        <w:overflowPunct/>
        <w:topLinePunct w:val="0"/>
        <w:autoSpaceDE/>
        <w:autoSpaceDN/>
        <w:bidi w:val="0"/>
        <w:adjustRightInd/>
        <w:snapToGrid w:val="0"/>
        <w:spacing w:line="560" w:lineRule="exact"/>
        <w:ind w:firstLine="640" w:firstLineChars="200"/>
        <w:jc w:val="both"/>
        <w:textAlignment w:val="auto"/>
        <w:rPr>
          <w:rFonts w:hint="default" w:ascii="Times New Roman" w:hAnsi="Times New Roman" w:eastAsia="方正仿宋_GBK" w:cs="Times New Roman"/>
          <w:b w:val="0"/>
          <w:bCs/>
          <w:color w:val="000000"/>
          <w:sz w:val="32"/>
          <w:szCs w:val="32"/>
          <w:lang w:val="en-US" w:eastAsia="zh-CN" w:bidi="ar"/>
        </w:rPr>
      </w:pPr>
      <w:r>
        <w:rPr>
          <w:rFonts w:hint="default" w:ascii="Times New Roman" w:hAnsi="Times New Roman" w:eastAsia="方正仿宋_GBK" w:cs="Times New Roman"/>
          <w:b w:val="0"/>
          <w:bCs/>
          <w:color w:val="000000"/>
          <w:sz w:val="32"/>
          <w:szCs w:val="32"/>
          <w:lang w:val="en-US" w:eastAsia="zh-CN" w:bidi="ar"/>
        </w:rPr>
        <w:t>指标5：流浪乞讨人员救助率，</w:t>
      </w:r>
      <w:r>
        <w:rPr>
          <w:rFonts w:hint="default" w:ascii="Times New Roman" w:hAnsi="Times New Roman" w:eastAsia="方正仿宋_GBK" w:cs="Times New Roman"/>
          <w:b w:val="0"/>
          <w:bCs/>
          <w:color w:val="000000"/>
          <w:sz w:val="32"/>
          <w:szCs w:val="32"/>
          <w:highlight w:val="none"/>
          <w:lang w:val="en-US" w:eastAsia="zh-CN" w:bidi="ar"/>
        </w:rPr>
        <w:t>依据新疆维吾尔自治区民政事业发展“十四五”规划设定年初指标值：&gt;=95%</w:t>
      </w:r>
      <w:r>
        <w:rPr>
          <w:rFonts w:hint="default" w:ascii="Times New Roman" w:hAnsi="Times New Roman" w:eastAsia="方正仿宋_GBK" w:cs="Times New Roman"/>
          <w:b w:val="0"/>
          <w:bCs/>
          <w:color w:val="000000"/>
          <w:sz w:val="32"/>
          <w:szCs w:val="32"/>
          <w:lang w:val="en-US" w:eastAsia="zh-CN" w:bidi="ar"/>
        </w:rPr>
        <w:t>，年中监控完成值：100%，自评完成值：100%，指标完成率105.26%，偏差5.26%，偏差原因及改进措施：</w:t>
      </w:r>
      <w:r>
        <w:rPr>
          <w:rFonts w:hint="eastAsia" w:eastAsia="方正仿宋_GBK" w:cs="Times New Roman"/>
          <w:b w:val="0"/>
          <w:bCs/>
          <w:color w:val="000000"/>
          <w:sz w:val="32"/>
          <w:szCs w:val="32"/>
          <w:lang w:val="en-US" w:eastAsia="zh-CN" w:bidi="ar"/>
        </w:rPr>
        <w:t>2025年度</w:t>
      </w:r>
      <w:r>
        <w:rPr>
          <w:rFonts w:hint="default" w:ascii="Times New Roman" w:hAnsi="Times New Roman" w:eastAsia="方正仿宋_GBK" w:cs="Times New Roman"/>
          <w:b w:val="0"/>
          <w:bCs/>
          <w:color w:val="000000"/>
          <w:sz w:val="32"/>
          <w:szCs w:val="32"/>
          <w:lang w:val="en-US" w:eastAsia="zh-CN" w:bidi="ar"/>
        </w:rPr>
        <w:t>我部门严格落实流浪乞讨人员救助工作，因流浪乞讨人员救助人数有所上升，该项指标略超过预期，下一步将持续认真履行“依法行政、为民服务、以人为本、规范服务”的工作宗旨，加强绩效目标的合理设置。指标成效分析：通过对生活无着流浪乞讨人员的临时食宿、疾病救治、协助返回等进行有效救助，充分发挥救助管理机构“兜底线，救急难”的作用，全力救助生活无着的流浪乞讨等临时遇困人员全区累计救助流浪乞讨等各类临时遇困人员。</w:t>
      </w:r>
    </w:p>
    <w:p w14:paraId="0EC67607">
      <w:pPr>
        <w:keepNext w:val="0"/>
        <w:keepLines w:val="0"/>
        <w:pageBreakBefore w:val="0"/>
        <w:numPr>
          <w:ilvl w:val="0"/>
          <w:numId w:val="0"/>
        </w:numPr>
        <w:kinsoku/>
        <w:wordWrap/>
        <w:overflowPunct/>
        <w:topLinePunct w:val="0"/>
        <w:autoSpaceDE/>
        <w:autoSpaceDN/>
        <w:bidi w:val="0"/>
        <w:adjustRightInd/>
        <w:snapToGrid w:val="0"/>
        <w:spacing w:line="560" w:lineRule="exact"/>
        <w:ind w:firstLine="640" w:firstLineChars="200"/>
        <w:jc w:val="both"/>
        <w:textAlignment w:val="auto"/>
        <w:rPr>
          <w:rFonts w:hint="default" w:ascii="Times New Roman" w:hAnsi="Times New Roman" w:eastAsia="方正仿宋_GBK" w:cs="Times New Roman"/>
          <w:b w:val="0"/>
          <w:bCs/>
          <w:color w:val="000000"/>
          <w:sz w:val="32"/>
          <w:szCs w:val="32"/>
          <w:lang w:val="en-US" w:eastAsia="zh-CN" w:bidi="ar"/>
        </w:rPr>
      </w:pPr>
      <w:r>
        <w:rPr>
          <w:rFonts w:hint="default" w:ascii="Times New Roman" w:hAnsi="Times New Roman" w:eastAsia="方正仿宋_GBK" w:cs="Times New Roman"/>
          <w:b w:val="0"/>
          <w:bCs/>
          <w:color w:val="000000"/>
          <w:sz w:val="32"/>
          <w:szCs w:val="32"/>
          <w:lang w:val="en-US" w:eastAsia="zh-CN" w:bidi="ar"/>
        </w:rPr>
        <w:t>指标6：未成年人救助保护工作站购买服务项目覆盖乡镇（街道）数量，依据新疆维吾尔自治区民政事业发展“十四五”规划设定年初指标值：&gt;=113个，年中监控完成值：104个，自评完成值：114个，指标完成率100.88%，偏差0.88%，偏差原因及改进措施：</w:t>
      </w:r>
      <w:r>
        <w:rPr>
          <w:rFonts w:hint="eastAsia" w:eastAsia="方正仿宋_GBK" w:cs="Times New Roman"/>
          <w:b w:val="0"/>
          <w:bCs/>
          <w:color w:val="000000"/>
          <w:sz w:val="32"/>
          <w:szCs w:val="32"/>
          <w:lang w:val="en-US" w:eastAsia="zh-CN" w:bidi="ar"/>
        </w:rPr>
        <w:t>2025年度</w:t>
      </w:r>
      <w:r>
        <w:rPr>
          <w:rFonts w:hint="default" w:ascii="Times New Roman" w:hAnsi="Times New Roman" w:eastAsia="方正仿宋_GBK" w:cs="Times New Roman"/>
          <w:b w:val="0"/>
          <w:bCs/>
          <w:color w:val="000000"/>
          <w:sz w:val="32"/>
          <w:szCs w:val="32"/>
          <w:lang w:val="en-US" w:eastAsia="zh-CN" w:bidi="ar"/>
        </w:rPr>
        <w:t>我部门严格落实未成年人救助保护服务工作，因未成年人救助保护工作站点数有所上升，该项指标略超过预期，</w:t>
      </w:r>
      <w:r>
        <w:rPr>
          <w:rFonts w:hint="default" w:ascii="Times New Roman" w:hAnsi="Times New Roman" w:eastAsia="方正仿宋_GBK" w:cs="Times New Roman"/>
          <w:b w:val="0"/>
          <w:bCs/>
          <w:color w:val="000000"/>
          <w:sz w:val="32"/>
          <w:szCs w:val="32"/>
          <w:highlight w:val="none"/>
          <w:lang w:val="en-US" w:eastAsia="zh-CN" w:bidi="ar"/>
        </w:rPr>
        <w:t>下一步将今后将从多方面考虑，加强绩效目标的合理设置。</w:t>
      </w:r>
      <w:r>
        <w:rPr>
          <w:rFonts w:hint="default" w:ascii="Times New Roman" w:hAnsi="Times New Roman" w:eastAsia="方正仿宋_GBK" w:cs="Times New Roman"/>
          <w:b w:val="0"/>
          <w:bCs/>
          <w:color w:val="000000"/>
          <w:sz w:val="32"/>
          <w:szCs w:val="32"/>
          <w:lang w:val="en-US" w:eastAsia="zh-CN" w:bidi="ar"/>
        </w:rPr>
        <w:t>指标成效分析通过购买第三方服务开展未成年人保护工作，为辖区内孤儿、留守儿童、流动儿童困境儿童及其家庭开展需求评估，提供危机干预、监护评估、心理疏导、安全自护、个案处置、社会融入、协助维权、开展宣传培训等服务;以及针对遭受性侵害、家庭暴力、欺凌等伤害事件的未成年人提供人际调适、精神慰藉、心理疏导、教育引导等专业性关爱服务，或新形势下助力未成年人保护工作高质量发展的专业性的新探索新实践新服务;有效提高服务能力和服务水平；本年度内，共开展活动2402场，开展个案社工2166个，开展小组社工1941个，直接服务未成年人121594人次。</w:t>
      </w:r>
    </w:p>
    <w:p w14:paraId="21A7F5C9">
      <w:pPr>
        <w:keepNext w:val="0"/>
        <w:keepLines w:val="0"/>
        <w:pageBreakBefore w:val="0"/>
        <w:numPr>
          <w:ilvl w:val="0"/>
          <w:numId w:val="0"/>
        </w:numPr>
        <w:kinsoku/>
        <w:wordWrap/>
        <w:overflowPunct/>
        <w:topLinePunct w:val="0"/>
        <w:autoSpaceDE/>
        <w:autoSpaceDN/>
        <w:bidi w:val="0"/>
        <w:adjustRightInd/>
        <w:snapToGrid w:val="0"/>
        <w:spacing w:line="560" w:lineRule="exact"/>
        <w:ind w:firstLine="640" w:firstLineChars="200"/>
        <w:jc w:val="both"/>
        <w:textAlignment w:val="auto"/>
        <w:rPr>
          <w:rFonts w:hint="default" w:ascii="Times New Roman" w:hAnsi="Times New Roman" w:eastAsia="方正仿宋_GBK" w:cs="Times New Roman"/>
          <w:b w:val="0"/>
          <w:bCs/>
          <w:color w:val="000000"/>
          <w:sz w:val="32"/>
          <w:szCs w:val="32"/>
          <w:lang w:val="en-US" w:eastAsia="zh-CN" w:bidi="ar"/>
        </w:rPr>
      </w:pPr>
      <w:r>
        <w:rPr>
          <w:rFonts w:hint="default" w:ascii="Times New Roman" w:hAnsi="Times New Roman" w:eastAsia="方正仿宋_GBK" w:cs="Times New Roman"/>
          <w:b w:val="0"/>
          <w:bCs/>
          <w:color w:val="000000"/>
          <w:sz w:val="32"/>
          <w:szCs w:val="32"/>
          <w:lang w:val="en-US" w:eastAsia="zh-CN" w:bidi="ar"/>
        </w:rPr>
        <w:t>指标7：慈善组织、社会组织孵化数，依据新疆维吾尔自治区民政事业发展“十四五”规划设定年初指标值</w:t>
      </w:r>
      <w:r>
        <w:rPr>
          <w:rFonts w:hint="default" w:ascii="Times New Roman" w:hAnsi="Times New Roman" w:eastAsia="方正仿宋_GBK" w:cs="Times New Roman"/>
          <w:b w:val="0"/>
          <w:bCs/>
          <w:color w:val="000000"/>
          <w:sz w:val="32"/>
          <w:szCs w:val="32"/>
          <w:highlight w:val="none"/>
          <w:lang w:val="en-US" w:eastAsia="zh-CN" w:bidi="ar"/>
        </w:rPr>
        <w:t>：&gt;=140个</w:t>
      </w:r>
      <w:r>
        <w:rPr>
          <w:rFonts w:hint="default" w:ascii="Times New Roman" w:hAnsi="Times New Roman" w:eastAsia="方正仿宋_GBK" w:cs="Times New Roman"/>
          <w:b w:val="0"/>
          <w:bCs/>
          <w:color w:val="000000"/>
          <w:sz w:val="32"/>
          <w:szCs w:val="32"/>
          <w:lang w:val="en-US" w:eastAsia="zh-CN" w:bidi="ar"/>
        </w:rPr>
        <w:t>，年中监控完成值：132个，</w:t>
      </w:r>
      <w:r>
        <w:rPr>
          <w:rFonts w:hint="default" w:ascii="Times New Roman" w:hAnsi="Times New Roman" w:eastAsia="方正仿宋_GBK" w:cs="Times New Roman"/>
          <w:b w:val="0"/>
          <w:bCs/>
          <w:color w:val="000000"/>
          <w:sz w:val="32"/>
          <w:szCs w:val="32"/>
          <w:highlight w:val="none"/>
          <w:lang w:val="en-US" w:eastAsia="zh-CN" w:bidi="ar"/>
        </w:rPr>
        <w:t>自评完成值：146个，指标完成率104.29%，偏差4.29%，</w:t>
      </w:r>
      <w:r>
        <w:rPr>
          <w:rFonts w:hint="default" w:ascii="Times New Roman" w:hAnsi="Times New Roman" w:eastAsia="方正仿宋_GBK" w:cs="Times New Roman"/>
          <w:b w:val="0"/>
          <w:bCs/>
          <w:color w:val="000000"/>
          <w:sz w:val="32"/>
          <w:szCs w:val="32"/>
          <w:lang w:val="en-US" w:eastAsia="zh-CN" w:bidi="ar"/>
        </w:rPr>
        <w:t>偏差原因及改进措施：</w:t>
      </w:r>
      <w:r>
        <w:rPr>
          <w:rFonts w:hint="eastAsia" w:eastAsia="方正仿宋_GBK" w:cs="Times New Roman"/>
          <w:b w:val="0"/>
          <w:bCs/>
          <w:color w:val="000000"/>
          <w:sz w:val="32"/>
          <w:szCs w:val="32"/>
          <w:lang w:val="en-US" w:eastAsia="zh-CN" w:bidi="ar"/>
        </w:rPr>
        <w:t>2025年度</w:t>
      </w:r>
      <w:r>
        <w:rPr>
          <w:rFonts w:hint="default" w:ascii="Times New Roman" w:hAnsi="Times New Roman" w:eastAsia="方正仿宋_GBK" w:cs="Times New Roman"/>
          <w:b w:val="0"/>
          <w:bCs/>
          <w:color w:val="000000"/>
          <w:sz w:val="32"/>
          <w:szCs w:val="32"/>
          <w:lang w:val="en-US" w:eastAsia="zh-CN" w:bidi="ar"/>
        </w:rPr>
        <w:t>我部门严格落实未成年人救助保护服务工作，因未成年人救助保护工作站点数有所上升，该项指标略超过预期，下一步将今后将从多方面考虑，加强绩效目标的合理设置，指标成效分析通过政府购买服务方式支持146个慈善组织、社会组织进行孵化，提供内部管理、专家咨询、资源链接、技能培训、项目策划、沟通交流、人才培养等多元化服务，提高孵化组织服务能力水平。</w:t>
      </w:r>
    </w:p>
    <w:p w14:paraId="36E13B90">
      <w:pPr>
        <w:keepNext w:val="0"/>
        <w:keepLines w:val="0"/>
        <w:pageBreakBefore w:val="0"/>
        <w:numPr>
          <w:ilvl w:val="0"/>
          <w:numId w:val="0"/>
        </w:numPr>
        <w:kinsoku/>
        <w:wordWrap/>
        <w:overflowPunct/>
        <w:topLinePunct w:val="0"/>
        <w:autoSpaceDE/>
        <w:autoSpaceDN/>
        <w:bidi w:val="0"/>
        <w:adjustRightInd/>
        <w:snapToGrid w:val="0"/>
        <w:spacing w:line="560" w:lineRule="exact"/>
        <w:ind w:firstLine="640" w:firstLineChars="200"/>
        <w:jc w:val="both"/>
        <w:textAlignment w:val="auto"/>
        <w:rPr>
          <w:rFonts w:hint="default" w:ascii="Times New Roman" w:hAnsi="Times New Roman" w:eastAsia="方正仿宋_GBK" w:cs="Times New Roman"/>
          <w:b w:val="0"/>
          <w:bCs/>
          <w:color w:val="000000"/>
          <w:sz w:val="32"/>
          <w:szCs w:val="32"/>
          <w:lang w:val="en-US" w:eastAsia="zh-CN" w:bidi="ar"/>
        </w:rPr>
      </w:pPr>
      <w:r>
        <w:rPr>
          <w:rFonts w:hint="default" w:ascii="Times New Roman" w:hAnsi="Times New Roman" w:eastAsia="方正仿宋_GBK" w:cs="Times New Roman"/>
          <w:b w:val="0"/>
          <w:bCs/>
          <w:color w:val="000000"/>
          <w:sz w:val="32"/>
          <w:szCs w:val="32"/>
          <w:lang w:val="en-US" w:eastAsia="zh-CN" w:bidi="ar"/>
        </w:rPr>
        <w:t>指标8：</w:t>
      </w:r>
      <w:r>
        <w:rPr>
          <w:rFonts w:hint="default" w:ascii="Times New Roman" w:hAnsi="Times New Roman" w:eastAsia="方正仿宋_GBK" w:cs="Times New Roman"/>
          <w:b w:val="0"/>
          <w:bCs/>
          <w:color w:val="000000"/>
          <w:sz w:val="32"/>
          <w:szCs w:val="32"/>
          <w:highlight w:val="none"/>
          <w:lang w:val="en-US" w:eastAsia="zh-CN" w:bidi="ar"/>
        </w:rPr>
        <w:t>改造提升殡仪馆数量，依据新疆维吾尔自治区民政事业发展“十四五”规划设定年初指标值：&gt;=3个，年中监控完成值：2个，自评完成值：3个，指标完成率100%，偏差0%，偏差原因及改进措施：无，指</w:t>
      </w:r>
      <w:r>
        <w:rPr>
          <w:rFonts w:hint="default" w:ascii="Times New Roman" w:hAnsi="Times New Roman" w:eastAsia="方正仿宋_GBK" w:cs="Times New Roman"/>
          <w:b w:val="0"/>
          <w:bCs/>
          <w:color w:val="000000"/>
          <w:sz w:val="32"/>
          <w:szCs w:val="32"/>
          <w:lang w:val="en-US" w:eastAsia="zh-CN" w:bidi="ar"/>
        </w:rPr>
        <w:t>标成效分析</w:t>
      </w:r>
      <w:r>
        <w:rPr>
          <w:rFonts w:hint="eastAsia" w:eastAsia="方正仿宋_GBK" w:cs="Times New Roman"/>
          <w:b w:val="0"/>
          <w:bCs/>
          <w:color w:val="000000"/>
          <w:sz w:val="32"/>
          <w:szCs w:val="32"/>
          <w:lang w:val="en-US" w:eastAsia="zh-CN" w:bidi="ar"/>
        </w:rPr>
        <w:t>：2025年度</w:t>
      </w:r>
      <w:r>
        <w:rPr>
          <w:rFonts w:hint="default" w:ascii="Times New Roman" w:hAnsi="Times New Roman" w:eastAsia="方正仿宋_GBK" w:cs="Times New Roman"/>
          <w:b w:val="0"/>
          <w:bCs/>
          <w:color w:val="000000"/>
          <w:sz w:val="32"/>
          <w:szCs w:val="32"/>
          <w:lang w:val="en-US" w:eastAsia="zh-CN" w:bidi="ar"/>
        </w:rPr>
        <w:t>通过支持3个殡葬服务设施提升改造、设备配置项目，完善殡葬基础设备设施，不断提升殡葬服务能力，满足群众基本殡葬需求，推动殡葬事业健康发展。</w:t>
      </w:r>
    </w:p>
    <w:p w14:paraId="07B1972E">
      <w:pPr>
        <w:keepNext w:val="0"/>
        <w:keepLines w:val="0"/>
        <w:pageBreakBefore w:val="0"/>
        <w:numPr>
          <w:ilvl w:val="0"/>
          <w:numId w:val="0"/>
        </w:numPr>
        <w:kinsoku/>
        <w:wordWrap/>
        <w:overflowPunct/>
        <w:topLinePunct w:val="0"/>
        <w:autoSpaceDE/>
        <w:autoSpaceDN/>
        <w:bidi w:val="0"/>
        <w:adjustRightInd/>
        <w:snapToGrid w:val="0"/>
        <w:spacing w:line="560" w:lineRule="exact"/>
        <w:ind w:firstLine="640" w:firstLineChars="200"/>
        <w:jc w:val="both"/>
        <w:textAlignment w:val="auto"/>
        <w:outlineLvl w:val="0"/>
        <w:rPr>
          <w:rFonts w:hint="eastAsia" w:ascii="方正黑体_GBK" w:hAnsi="方正黑体_GBK" w:eastAsia="方正黑体_GBK" w:cs="方正黑体_GBK"/>
          <w:b w:val="0"/>
          <w:bCs/>
          <w:color w:val="333333"/>
          <w:kern w:val="2"/>
          <w:sz w:val="32"/>
          <w:szCs w:val="32"/>
          <w:lang w:val="en-US" w:eastAsia="zh-CN" w:bidi="ar"/>
        </w:rPr>
      </w:pPr>
      <w:bookmarkStart w:id="61" w:name="_Toc11101"/>
      <w:bookmarkStart w:id="62" w:name="_Toc4252"/>
      <w:bookmarkStart w:id="63" w:name="_Toc7253"/>
      <w:r>
        <w:rPr>
          <w:rFonts w:hint="eastAsia" w:ascii="方正黑体_GBK" w:hAnsi="方正黑体_GBK" w:eastAsia="方正黑体_GBK" w:cs="方正黑体_GBK"/>
          <w:b w:val="0"/>
          <w:bCs/>
          <w:color w:val="333333"/>
          <w:kern w:val="2"/>
          <w:sz w:val="32"/>
          <w:szCs w:val="32"/>
          <w:lang w:val="en-US" w:eastAsia="zh-CN" w:bidi="ar"/>
        </w:rPr>
        <w:t>四、评价结论</w:t>
      </w:r>
      <w:bookmarkEnd w:id="61"/>
      <w:bookmarkEnd w:id="62"/>
      <w:bookmarkEnd w:id="63"/>
    </w:p>
    <w:p w14:paraId="1731349D">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560" w:lineRule="exact"/>
        <w:ind w:left="0" w:leftChars="0" w:firstLine="624" w:firstLineChars="200"/>
        <w:jc w:val="both"/>
        <w:textAlignment w:val="auto"/>
        <w:rPr>
          <w:rStyle w:val="8"/>
          <w:rFonts w:hint="default" w:ascii="Times New Roman" w:hAnsi="Times New Roman" w:eastAsia="方正仿宋_GBK" w:cs="Times New Roman"/>
          <w:b w:val="0"/>
          <w:bCs/>
          <w:spacing w:val="-4"/>
          <w:sz w:val="32"/>
          <w:szCs w:val="32"/>
          <w:lang w:val="en-US" w:eastAsia="zh-CN"/>
        </w:rPr>
      </w:pPr>
      <w:r>
        <w:rPr>
          <w:rStyle w:val="8"/>
          <w:rFonts w:hint="default" w:ascii="Times New Roman" w:hAnsi="Times New Roman" w:eastAsia="方正仿宋_GBK" w:cs="Times New Roman"/>
          <w:b w:val="0"/>
          <w:bCs/>
          <w:spacing w:val="-4"/>
          <w:sz w:val="32"/>
          <w:szCs w:val="32"/>
          <w:lang w:val="en-US" w:eastAsia="zh-CN"/>
        </w:rPr>
        <w:t>2025</w:t>
      </w:r>
      <w:r>
        <w:rPr>
          <w:rStyle w:val="8"/>
          <w:rFonts w:hint="default" w:ascii="Times New Roman" w:hAnsi="Times New Roman" w:eastAsia="方正仿宋_GBK" w:cs="Times New Roman"/>
          <w:b w:val="0"/>
          <w:bCs/>
          <w:spacing w:val="-4"/>
          <w:sz w:val="32"/>
          <w:szCs w:val="32"/>
        </w:rPr>
        <w:t>年度</w:t>
      </w:r>
      <w:r>
        <w:rPr>
          <w:rStyle w:val="8"/>
          <w:rFonts w:hint="default" w:ascii="Times New Roman" w:hAnsi="Times New Roman" w:eastAsia="方正仿宋_GBK" w:cs="Times New Roman"/>
          <w:b w:val="0"/>
          <w:bCs/>
          <w:spacing w:val="-4"/>
          <w:sz w:val="32"/>
          <w:szCs w:val="32"/>
          <w:highlight w:val="none"/>
        </w:rPr>
        <w:t>部门整体支出绩效</w:t>
      </w:r>
      <w:r>
        <w:rPr>
          <w:rStyle w:val="8"/>
          <w:rFonts w:hint="default" w:ascii="Times New Roman" w:hAnsi="Times New Roman" w:eastAsia="方正仿宋_GBK" w:cs="Times New Roman"/>
          <w:b w:val="0"/>
          <w:bCs/>
          <w:spacing w:val="-4"/>
          <w:sz w:val="32"/>
          <w:szCs w:val="32"/>
          <w:highlight w:val="none"/>
          <w:lang w:val="en-US" w:eastAsia="zh-CN"/>
        </w:rPr>
        <w:t>评价</w:t>
      </w:r>
      <w:r>
        <w:rPr>
          <w:rStyle w:val="8"/>
          <w:rFonts w:hint="default" w:ascii="Times New Roman" w:hAnsi="Times New Roman" w:eastAsia="方正仿宋_GBK" w:cs="Times New Roman"/>
          <w:b w:val="0"/>
          <w:bCs/>
          <w:spacing w:val="-4"/>
          <w:sz w:val="32"/>
          <w:szCs w:val="32"/>
          <w:highlight w:val="none"/>
        </w:rPr>
        <w:t>综合得分</w:t>
      </w:r>
      <w:r>
        <w:rPr>
          <w:rStyle w:val="8"/>
          <w:rFonts w:hint="eastAsia" w:eastAsia="方正仿宋_GBK" w:cs="Times New Roman"/>
          <w:b w:val="0"/>
          <w:bCs/>
          <w:spacing w:val="-4"/>
          <w:sz w:val="32"/>
          <w:szCs w:val="32"/>
          <w:highlight w:val="none"/>
          <w:lang w:val="en-US" w:eastAsia="zh-CN"/>
        </w:rPr>
        <w:t>99.6</w:t>
      </w:r>
      <w:r>
        <w:rPr>
          <w:rStyle w:val="8"/>
          <w:rFonts w:hint="default" w:ascii="Times New Roman" w:hAnsi="Times New Roman" w:eastAsia="方正仿宋_GBK" w:cs="Times New Roman"/>
          <w:b w:val="0"/>
          <w:bCs/>
          <w:spacing w:val="-4"/>
          <w:sz w:val="32"/>
          <w:szCs w:val="32"/>
          <w:highlight w:val="none"/>
        </w:rPr>
        <w:t>分，评价结果为“</w:t>
      </w:r>
      <w:r>
        <w:rPr>
          <w:rStyle w:val="8"/>
          <w:rFonts w:hint="eastAsia" w:eastAsia="方正仿宋_GBK" w:cs="Times New Roman"/>
          <w:b w:val="0"/>
          <w:bCs/>
          <w:spacing w:val="-4"/>
          <w:sz w:val="32"/>
          <w:szCs w:val="32"/>
          <w:highlight w:val="none"/>
          <w:lang w:val="en-US" w:eastAsia="zh-CN"/>
        </w:rPr>
        <w:t>优</w:t>
      </w:r>
      <w:r>
        <w:rPr>
          <w:rStyle w:val="8"/>
          <w:rFonts w:hint="default" w:ascii="Times New Roman" w:hAnsi="Times New Roman" w:eastAsia="方正仿宋_GBK" w:cs="Times New Roman"/>
          <w:b w:val="0"/>
          <w:bCs/>
          <w:spacing w:val="-4"/>
          <w:sz w:val="32"/>
          <w:szCs w:val="32"/>
          <w:highlight w:val="none"/>
        </w:rPr>
        <w:t>”。</w:t>
      </w:r>
      <w:r>
        <w:rPr>
          <w:rStyle w:val="8"/>
          <w:rFonts w:hint="default" w:ascii="Times New Roman" w:hAnsi="Times New Roman" w:eastAsia="方正仿宋_GBK" w:cs="Times New Roman"/>
          <w:b w:val="0"/>
          <w:bCs/>
          <w:spacing w:val="-4"/>
          <w:sz w:val="32"/>
          <w:szCs w:val="32"/>
          <w:lang w:val="en-US" w:eastAsia="zh-CN"/>
        </w:rPr>
        <w:t>我部门2025年度部门履职效果良好，主要体现在：</w:t>
      </w:r>
    </w:p>
    <w:p w14:paraId="1855C89F">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560" w:lineRule="exact"/>
        <w:ind w:left="0" w:leftChars="0" w:firstLine="624" w:firstLineChars="200"/>
        <w:jc w:val="both"/>
        <w:textAlignment w:val="auto"/>
        <w:rPr>
          <w:rFonts w:hint="default" w:ascii="Times New Roman" w:hAnsi="Times New Roman" w:eastAsia="方正仿宋_GBK" w:cs="Times New Roman"/>
          <w:b w:val="0"/>
          <w:bCs/>
          <w:color w:val="000000"/>
          <w:sz w:val="32"/>
          <w:szCs w:val="32"/>
          <w:highlight w:val="none"/>
          <w:lang w:val="en-US" w:eastAsia="zh-CN" w:bidi="ar"/>
        </w:rPr>
      </w:pPr>
      <w:r>
        <w:rPr>
          <w:rStyle w:val="8"/>
          <w:rFonts w:hint="default" w:ascii="Times New Roman" w:hAnsi="Times New Roman" w:eastAsia="方正仿宋_GBK" w:cs="Times New Roman"/>
          <w:b w:val="0"/>
          <w:bCs/>
          <w:spacing w:val="-4"/>
          <w:sz w:val="32"/>
          <w:szCs w:val="32"/>
          <w:lang w:val="en-US" w:eastAsia="zh-CN"/>
        </w:rPr>
        <w:t>一是在资金分配上</w:t>
      </w:r>
      <w:r>
        <w:rPr>
          <w:rFonts w:hint="default" w:ascii="Times New Roman" w:hAnsi="Times New Roman" w:eastAsia="方正仿宋_GBK" w:cs="Times New Roman"/>
          <w:b w:val="0"/>
          <w:bCs/>
          <w:color w:val="000000"/>
          <w:sz w:val="32"/>
          <w:szCs w:val="32"/>
          <w:highlight w:val="none"/>
          <w:lang w:val="en-US" w:eastAsia="zh-CN" w:bidi="ar"/>
        </w:rPr>
        <w:t>，突出向南疆倾斜，南疆四地州困难群众救助资金占救助资金总量80%，着力推进普惠性、基础性、兜底性民生建设。</w:t>
      </w:r>
    </w:p>
    <w:p w14:paraId="11DB761E">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560" w:lineRule="exact"/>
        <w:ind w:left="0" w:leftChars="0" w:firstLine="640" w:firstLineChars="200"/>
        <w:jc w:val="both"/>
        <w:textAlignment w:val="auto"/>
        <w:rPr>
          <w:rFonts w:hint="default" w:ascii="Times New Roman" w:hAnsi="Times New Roman" w:eastAsia="方正仿宋_GBK" w:cs="Times New Roman"/>
          <w:b w:val="0"/>
          <w:bCs/>
          <w:color w:val="000000"/>
          <w:sz w:val="32"/>
          <w:szCs w:val="32"/>
          <w:highlight w:val="none"/>
          <w:lang w:val="en-US" w:eastAsia="zh-CN" w:bidi="ar"/>
        </w:rPr>
      </w:pPr>
      <w:r>
        <w:rPr>
          <w:rFonts w:hint="default" w:ascii="Times New Roman" w:hAnsi="Times New Roman" w:eastAsia="方正仿宋_GBK" w:cs="Times New Roman"/>
          <w:b w:val="0"/>
          <w:bCs/>
          <w:color w:val="000000"/>
          <w:sz w:val="32"/>
          <w:szCs w:val="32"/>
          <w:highlight w:val="none"/>
          <w:lang w:val="en-US" w:eastAsia="zh-CN" w:bidi="ar"/>
        </w:rPr>
        <w:t>二是全面落实绩效管理责任。采取线上监测、线下实地督导，狠抓日常监督管理责任落实，撰写工作动态31期，下发工作提醒22份、督办函15份，有效提升了监管服务能力和水平。</w:t>
      </w:r>
    </w:p>
    <w:p w14:paraId="0ABAAE37">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560" w:lineRule="exact"/>
        <w:ind w:left="0" w:leftChars="0" w:firstLine="640" w:firstLineChars="200"/>
        <w:jc w:val="both"/>
        <w:textAlignment w:val="auto"/>
        <w:rPr>
          <w:rFonts w:hint="default" w:ascii="Times New Roman" w:hAnsi="Times New Roman" w:eastAsia="方正仿宋_GBK" w:cs="Times New Roman"/>
          <w:b w:val="0"/>
          <w:bCs/>
          <w:color w:val="000000"/>
          <w:sz w:val="32"/>
          <w:szCs w:val="32"/>
          <w:highlight w:val="none"/>
          <w:lang w:val="en-US" w:eastAsia="zh-CN" w:bidi="ar"/>
        </w:rPr>
      </w:pPr>
      <w:r>
        <w:rPr>
          <w:rFonts w:hint="default" w:ascii="Times New Roman" w:hAnsi="Times New Roman" w:eastAsia="方正仿宋_GBK" w:cs="Times New Roman"/>
          <w:b w:val="0"/>
          <w:bCs/>
          <w:color w:val="000000"/>
          <w:sz w:val="32"/>
          <w:szCs w:val="32"/>
          <w:highlight w:val="none"/>
          <w:lang w:val="en-US" w:eastAsia="zh-CN" w:bidi="ar"/>
        </w:rPr>
        <w:t>三是完善内部管理制度。印发《预算绩效执行责任落实方案》，明确职责任务，规范绩效运行监控、评价结果应用等各环节流程。结合《党政机关厉行节约反对浪费条例》，出台《经费支出管理办法》《政府采购公平竞争审查暂行办法》等制度文件，形成了较为完备的内部控制体系。</w:t>
      </w:r>
    </w:p>
    <w:p w14:paraId="424654CF">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560" w:lineRule="exact"/>
        <w:ind w:left="0" w:leftChars="0" w:firstLine="640" w:firstLineChars="200"/>
        <w:jc w:val="both"/>
        <w:textAlignment w:val="auto"/>
        <w:rPr>
          <w:rFonts w:hint="default" w:ascii="Times New Roman" w:hAnsi="Times New Roman" w:eastAsia="方正仿宋_GBK" w:cs="Times New Roman"/>
          <w:b w:val="0"/>
          <w:bCs/>
          <w:color w:val="000000"/>
          <w:sz w:val="32"/>
          <w:szCs w:val="32"/>
          <w:highlight w:val="none"/>
          <w:lang w:val="en-US" w:eastAsia="zh-CN" w:bidi="ar"/>
        </w:rPr>
      </w:pPr>
      <w:r>
        <w:rPr>
          <w:rFonts w:hint="default" w:ascii="Times New Roman" w:hAnsi="Times New Roman" w:eastAsia="方正仿宋_GBK" w:cs="Times New Roman"/>
          <w:b w:val="0"/>
          <w:bCs/>
          <w:color w:val="000000"/>
          <w:sz w:val="32"/>
          <w:szCs w:val="32"/>
          <w:highlight w:val="none"/>
          <w:lang w:val="en-US" w:eastAsia="zh-CN" w:bidi="ar"/>
        </w:rPr>
        <w:t>四是内部审计、财会监督协同赋能。在财政厅、审计厅指导下，对照</w:t>
      </w:r>
      <w:bookmarkStart w:id="73" w:name="_GoBack"/>
      <w:r>
        <w:rPr>
          <w:rFonts w:hint="default" w:ascii="Times New Roman" w:hAnsi="Times New Roman" w:eastAsia="方正仿宋_GBK" w:cs="Times New Roman"/>
          <w:b w:val="0"/>
          <w:bCs/>
          <w:color w:val="000000"/>
          <w:sz w:val="32"/>
          <w:szCs w:val="32"/>
          <w:highlight w:val="none"/>
          <w:lang w:val="en-US" w:eastAsia="zh-CN" w:bidi="ar"/>
        </w:rPr>
        <w:t>中央八项规定及</w:t>
      </w:r>
      <w:r>
        <w:rPr>
          <w:rFonts w:hint="eastAsia" w:eastAsia="方正仿宋_GBK" w:cs="Times New Roman"/>
          <w:b w:val="0"/>
          <w:bCs/>
          <w:color w:val="000000"/>
          <w:sz w:val="32"/>
          <w:szCs w:val="32"/>
          <w:highlight w:val="none"/>
          <w:lang w:val="en-US" w:eastAsia="zh-CN" w:bidi="ar"/>
        </w:rPr>
        <w:t>其</w:t>
      </w:r>
      <w:r>
        <w:rPr>
          <w:rFonts w:hint="default" w:ascii="Times New Roman" w:hAnsi="Times New Roman" w:eastAsia="方正仿宋_GBK" w:cs="Times New Roman"/>
          <w:b w:val="0"/>
          <w:bCs/>
          <w:color w:val="000000"/>
          <w:sz w:val="32"/>
          <w:szCs w:val="32"/>
          <w:highlight w:val="none"/>
          <w:lang w:val="en-US" w:eastAsia="zh-CN" w:bidi="ar"/>
        </w:rPr>
        <w:t>实施细则精神</w:t>
      </w:r>
      <w:bookmarkEnd w:id="73"/>
      <w:r>
        <w:rPr>
          <w:rFonts w:hint="default" w:ascii="Times New Roman" w:hAnsi="Times New Roman" w:eastAsia="方正仿宋_GBK" w:cs="Times New Roman"/>
          <w:b w:val="0"/>
          <w:bCs/>
          <w:color w:val="000000"/>
          <w:sz w:val="32"/>
          <w:szCs w:val="32"/>
          <w:highlight w:val="none"/>
          <w:lang w:val="en-US" w:eastAsia="zh-CN" w:bidi="ar"/>
        </w:rPr>
        <w:t>，扎实开展内部审计“新自查”和财会监督工作，及时组织预算执行及收支情况审计和“以查代训”财会监督检查，通过自查自纠、举一反三，全面推进问题限期整改销号。</w:t>
      </w:r>
    </w:p>
    <w:p w14:paraId="6556642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560" w:lineRule="exact"/>
        <w:ind w:left="0" w:leftChars="0" w:firstLine="640" w:firstLineChars="200"/>
        <w:jc w:val="both"/>
        <w:textAlignment w:val="auto"/>
        <w:rPr>
          <w:rFonts w:hint="default" w:ascii="Times New Roman" w:hAnsi="Times New Roman" w:eastAsia="方正仿宋_GBK" w:cs="Times New Roman"/>
          <w:b w:val="0"/>
          <w:bCs/>
          <w:color w:val="000000"/>
          <w:sz w:val="32"/>
          <w:szCs w:val="32"/>
          <w:highlight w:val="none"/>
          <w:rtl w:val="0"/>
          <w:cs w:val="0"/>
          <w:lang w:val="en-US" w:eastAsia="zh-CN" w:bidi="ar"/>
        </w:rPr>
      </w:pPr>
      <w:r>
        <w:rPr>
          <w:rFonts w:hint="default" w:ascii="Times New Roman" w:hAnsi="Times New Roman" w:eastAsia="方正仿宋_GBK" w:cs="Times New Roman"/>
          <w:b w:val="0"/>
          <w:bCs/>
          <w:color w:val="000000"/>
          <w:sz w:val="32"/>
          <w:szCs w:val="32"/>
          <w:highlight w:val="none"/>
          <w:lang w:val="en-US" w:eastAsia="zh-CN" w:bidi="ar"/>
        </w:rPr>
        <w:t>五是</w:t>
      </w:r>
      <w:r>
        <w:rPr>
          <w:rFonts w:hint="default" w:ascii="Times New Roman" w:hAnsi="Times New Roman" w:eastAsia="方正仿宋_GBK" w:cs="Times New Roman"/>
          <w:b w:val="0"/>
          <w:bCs/>
          <w:color w:val="000000"/>
          <w:sz w:val="32"/>
          <w:szCs w:val="32"/>
          <w:highlight w:val="none"/>
          <w:rtl w:val="0"/>
          <w:cs w:val="0"/>
          <w:lang w:val="en-US" w:eastAsia="zh-CN" w:bidi="ar"/>
        </w:rPr>
        <w:t>实施惠民殡葬政策，推动殡葬基本服务均等化</w:t>
      </w:r>
      <w:r>
        <w:rPr>
          <w:rFonts w:hint="default" w:ascii="Times New Roman" w:hAnsi="Times New Roman" w:eastAsia="方正仿宋_GBK" w:cs="Times New Roman"/>
          <w:b w:val="0"/>
          <w:bCs/>
          <w:color w:val="000000"/>
          <w:sz w:val="32"/>
          <w:szCs w:val="32"/>
          <w:highlight w:val="none"/>
          <w:lang w:val="en-US" w:eastAsia="zh-CN" w:bidi="ar"/>
        </w:rPr>
        <w:t>，</w:t>
      </w:r>
      <w:r>
        <w:rPr>
          <w:rFonts w:hint="default" w:ascii="Times New Roman" w:hAnsi="Times New Roman" w:eastAsia="方正仿宋_GBK" w:cs="Times New Roman"/>
          <w:b w:val="0"/>
          <w:bCs/>
          <w:color w:val="000000"/>
          <w:sz w:val="32"/>
          <w:szCs w:val="32"/>
          <w:highlight w:val="none"/>
          <w:rtl w:val="0"/>
          <w:cs w:val="0"/>
          <w:lang w:val="en-US" w:eastAsia="zh-CN" w:bidi="ar"/>
        </w:rPr>
        <w:t>全区减项降费1222个，优化便民服务举措863项，为各族群众减轻费用1655.82万元；公益性安葬设施县市区实现全覆盖。</w:t>
      </w:r>
    </w:p>
    <w:p w14:paraId="7CD5115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560" w:lineRule="exact"/>
        <w:ind w:left="0" w:leftChars="0" w:firstLine="640" w:firstLineChars="200"/>
        <w:jc w:val="both"/>
        <w:textAlignment w:val="auto"/>
        <w:rPr>
          <w:rFonts w:hint="default" w:ascii="Times New Roman" w:hAnsi="Times New Roman" w:eastAsia="方正仿宋_GBK" w:cs="Times New Roman"/>
          <w:b w:val="0"/>
          <w:bCs/>
          <w:color w:val="000000"/>
          <w:sz w:val="32"/>
          <w:szCs w:val="32"/>
          <w:highlight w:val="none"/>
          <w:rtl w:val="0"/>
          <w:cs w:val="0"/>
          <w:lang w:val="en-US" w:eastAsia="zh-CN" w:bidi="ar"/>
        </w:rPr>
      </w:pPr>
      <w:r>
        <w:rPr>
          <w:rFonts w:hint="default" w:ascii="Times New Roman" w:hAnsi="Times New Roman" w:eastAsia="方正仿宋_GBK" w:cs="Times New Roman"/>
          <w:b w:val="0"/>
          <w:bCs/>
          <w:color w:val="000000"/>
          <w:sz w:val="32"/>
          <w:szCs w:val="32"/>
          <w:highlight w:val="none"/>
          <w:lang w:val="en-US" w:eastAsia="zh-CN" w:bidi="ar"/>
        </w:rPr>
        <w:t>六是</w:t>
      </w:r>
      <w:r>
        <w:rPr>
          <w:rFonts w:hint="default" w:ascii="Times New Roman" w:hAnsi="Times New Roman" w:eastAsia="方正仿宋_GBK" w:cs="Times New Roman"/>
          <w:b w:val="0"/>
          <w:bCs/>
          <w:color w:val="000000"/>
          <w:sz w:val="32"/>
          <w:szCs w:val="32"/>
          <w:highlight w:val="none"/>
          <w:rtl w:val="0"/>
          <w:cs w:val="0"/>
          <w:lang w:val="en-US" w:eastAsia="zh-CN" w:bidi="ar"/>
        </w:rPr>
        <w:t>深化高龄津贴改革，实现从“到龄即享”向“免申即享”升级，近3万名新符合条件的高龄老年人直接享受新政策的便捷高效。</w:t>
      </w:r>
    </w:p>
    <w:p w14:paraId="3EB6468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560" w:lineRule="exact"/>
        <w:ind w:left="0" w:leftChars="0" w:firstLine="640" w:firstLineChars="200"/>
        <w:jc w:val="both"/>
        <w:textAlignment w:val="auto"/>
        <w:rPr>
          <w:rFonts w:hint="default" w:ascii="Times New Roman" w:hAnsi="Times New Roman" w:eastAsia="方正仿宋_GBK" w:cs="Times New Roman"/>
          <w:b w:val="0"/>
          <w:bCs/>
          <w:color w:val="000000"/>
          <w:sz w:val="32"/>
          <w:szCs w:val="32"/>
          <w:highlight w:val="none"/>
          <w:lang w:val="en-US" w:eastAsia="zh-CN" w:bidi="ar"/>
        </w:rPr>
      </w:pPr>
      <w:r>
        <w:rPr>
          <w:rFonts w:hint="default" w:ascii="Times New Roman" w:hAnsi="Times New Roman" w:eastAsia="方正仿宋_GBK" w:cs="Times New Roman"/>
          <w:b w:val="0"/>
          <w:bCs/>
          <w:color w:val="000000"/>
          <w:sz w:val="32"/>
          <w:szCs w:val="32"/>
          <w:highlight w:val="none"/>
          <w:rtl w:val="0"/>
          <w:cs w:val="0"/>
          <w:lang w:val="en-US" w:eastAsia="zh-CN" w:bidi="ar"/>
        </w:rPr>
        <w:t>七</w:t>
      </w:r>
      <w:r>
        <w:rPr>
          <w:rFonts w:hint="default" w:ascii="Times New Roman" w:hAnsi="Times New Roman" w:eastAsia="方正仿宋_GBK" w:cs="Times New Roman"/>
          <w:b w:val="0"/>
          <w:bCs/>
          <w:color w:val="000000"/>
          <w:sz w:val="32"/>
          <w:szCs w:val="32"/>
          <w:highlight w:val="none"/>
          <w:lang w:val="en-US" w:eastAsia="zh-CN" w:bidi="ar"/>
        </w:rPr>
        <w:t>是</w:t>
      </w:r>
      <w:r>
        <w:rPr>
          <w:rFonts w:hint="default" w:ascii="Times New Roman" w:hAnsi="Times New Roman" w:eastAsia="方正仿宋_GBK" w:cs="Times New Roman"/>
          <w:b w:val="0"/>
          <w:bCs/>
          <w:color w:val="000000"/>
          <w:sz w:val="32"/>
          <w:szCs w:val="32"/>
          <w:highlight w:val="none"/>
          <w:rtl w:val="0"/>
          <w:cs w:val="0"/>
          <w:lang w:val="en-US" w:eastAsia="zh-CN" w:bidi="ar"/>
        </w:rPr>
        <w:t>“新疆救助通”在基层普遍推广应用，94.3万户、185万人次困难群众社会救助实现“掌上办”“指尖办”。</w:t>
      </w:r>
      <w:r>
        <w:rPr>
          <w:rFonts w:hint="default" w:ascii="Times New Roman" w:hAnsi="Times New Roman" w:eastAsia="方正仿宋_GBK" w:cs="Times New Roman"/>
          <w:b w:val="0"/>
          <w:bCs/>
          <w:color w:val="000000"/>
          <w:sz w:val="32"/>
          <w:szCs w:val="32"/>
          <w:highlight w:val="none"/>
          <w:lang w:val="en-US" w:eastAsia="zh-CN" w:bidi="ar"/>
        </w:rPr>
        <w:t>群众普遍反映丧葬费用大幅降低、高龄津贴免申即享、低保申请高效便捷、养老服务便民惠民，一系列“急难愁盼”问题得到解决，切实争取了民心、凝聚了人心。</w:t>
      </w:r>
    </w:p>
    <w:p w14:paraId="61E66038">
      <w:pPr>
        <w:keepNext w:val="0"/>
        <w:keepLines w:val="0"/>
        <w:pageBreakBefore w:val="0"/>
        <w:numPr>
          <w:ilvl w:val="0"/>
          <w:numId w:val="0"/>
        </w:numPr>
        <w:kinsoku/>
        <w:wordWrap/>
        <w:overflowPunct/>
        <w:topLinePunct w:val="0"/>
        <w:autoSpaceDE/>
        <w:autoSpaceDN/>
        <w:bidi w:val="0"/>
        <w:adjustRightInd/>
        <w:snapToGrid w:val="0"/>
        <w:spacing w:line="560" w:lineRule="exact"/>
        <w:ind w:firstLine="640" w:firstLineChars="200"/>
        <w:jc w:val="both"/>
        <w:textAlignment w:val="auto"/>
        <w:outlineLvl w:val="0"/>
        <w:rPr>
          <w:rFonts w:hint="eastAsia" w:ascii="方正黑体_GBK" w:hAnsi="方正黑体_GBK" w:eastAsia="方正黑体_GBK" w:cs="方正黑体_GBK"/>
          <w:b w:val="0"/>
          <w:bCs/>
          <w:color w:val="333333"/>
          <w:sz w:val="32"/>
          <w:szCs w:val="32"/>
          <w:lang w:bidi="ar"/>
        </w:rPr>
      </w:pPr>
      <w:bookmarkStart w:id="64" w:name="_Toc18514"/>
      <w:bookmarkStart w:id="65" w:name="_Toc12815"/>
      <w:bookmarkStart w:id="66" w:name="_Toc15967"/>
      <w:r>
        <w:rPr>
          <w:rFonts w:hint="eastAsia" w:ascii="方正黑体_GBK" w:hAnsi="方正黑体_GBK" w:eastAsia="方正黑体_GBK" w:cs="方正黑体_GBK"/>
          <w:b w:val="0"/>
          <w:bCs/>
          <w:color w:val="333333"/>
          <w:kern w:val="2"/>
          <w:sz w:val="32"/>
          <w:szCs w:val="32"/>
          <w:lang w:val="en-US" w:eastAsia="zh-CN" w:bidi="ar"/>
        </w:rPr>
        <w:t>五、</w:t>
      </w:r>
      <w:r>
        <w:rPr>
          <w:rFonts w:hint="eastAsia" w:ascii="方正黑体_GBK" w:hAnsi="方正黑体_GBK" w:eastAsia="方正黑体_GBK" w:cs="方正黑体_GBK"/>
          <w:b w:val="0"/>
          <w:bCs/>
          <w:color w:val="333333"/>
          <w:sz w:val="32"/>
          <w:szCs w:val="32"/>
          <w:lang w:bidi="ar"/>
        </w:rPr>
        <w:t>存在的主要问题</w:t>
      </w:r>
      <w:bookmarkEnd w:id="64"/>
      <w:bookmarkEnd w:id="65"/>
      <w:bookmarkEnd w:id="66"/>
    </w:p>
    <w:p w14:paraId="36192452">
      <w:pPr>
        <w:pStyle w:val="2"/>
        <w:keepNext w:val="0"/>
        <w:keepLines w:val="0"/>
        <w:pageBreakBefore w:val="0"/>
        <w:kinsoku/>
        <w:wordWrap/>
        <w:overflowPunct/>
        <w:topLinePunct w:val="0"/>
        <w:autoSpaceDE/>
        <w:autoSpaceDN/>
        <w:bidi w:val="0"/>
        <w:adjustRightInd/>
        <w:spacing w:line="560" w:lineRule="exact"/>
        <w:ind w:firstLine="640" w:firstLineChars="200"/>
        <w:jc w:val="both"/>
        <w:textAlignment w:val="auto"/>
        <w:rPr>
          <w:rFonts w:hint="default" w:ascii="Times New Roman" w:hAnsi="Times New Roman" w:eastAsia="方正仿宋_GBK" w:cs="Times New Roman"/>
          <w:b w:val="0"/>
          <w:bCs/>
          <w:color w:val="auto"/>
          <w:kern w:val="2"/>
          <w:sz w:val="32"/>
          <w:szCs w:val="32"/>
          <w:highlight w:val="none"/>
          <w:lang w:val="en-US" w:eastAsia="zh-CN" w:bidi="ar"/>
        </w:rPr>
      </w:pPr>
      <w:r>
        <w:rPr>
          <w:rFonts w:hint="default" w:ascii="Times New Roman" w:hAnsi="Times New Roman" w:eastAsia="方正仿宋_GBK" w:cs="Times New Roman"/>
          <w:b w:val="0"/>
          <w:bCs/>
          <w:color w:val="auto"/>
          <w:kern w:val="2"/>
          <w:sz w:val="32"/>
          <w:szCs w:val="32"/>
          <w:highlight w:val="none"/>
          <w:lang w:val="en-US" w:eastAsia="zh-CN" w:bidi="ar"/>
        </w:rPr>
        <w:t>202</w:t>
      </w:r>
      <w:r>
        <w:rPr>
          <w:rFonts w:hint="eastAsia" w:ascii="Times New Roman" w:hAnsi="Times New Roman" w:eastAsia="方正仿宋_GBK" w:cs="Times New Roman"/>
          <w:b w:val="0"/>
          <w:bCs/>
          <w:color w:val="auto"/>
          <w:kern w:val="2"/>
          <w:sz w:val="32"/>
          <w:szCs w:val="32"/>
          <w:highlight w:val="none"/>
          <w:lang w:val="en-US" w:eastAsia="zh-CN" w:bidi="ar"/>
        </w:rPr>
        <w:t>5</w:t>
      </w:r>
      <w:r>
        <w:rPr>
          <w:rFonts w:hint="default" w:ascii="Times New Roman" w:hAnsi="Times New Roman" w:eastAsia="方正仿宋_GBK" w:cs="Times New Roman"/>
          <w:b w:val="0"/>
          <w:bCs/>
          <w:color w:val="auto"/>
          <w:kern w:val="2"/>
          <w:sz w:val="32"/>
          <w:szCs w:val="32"/>
          <w:highlight w:val="none"/>
          <w:lang w:val="en-US" w:eastAsia="zh-CN" w:bidi="ar"/>
        </w:rPr>
        <w:t>年在预算项目绩效管理工作取得了一定成效，但较自治区财政预算绩效管理工作要求还存在一定差距：</w:t>
      </w:r>
    </w:p>
    <w:p w14:paraId="1D40BB1D">
      <w:pPr>
        <w:pStyle w:val="2"/>
        <w:keepNext w:val="0"/>
        <w:keepLines w:val="0"/>
        <w:pageBreakBefore w:val="0"/>
        <w:kinsoku/>
        <w:wordWrap/>
        <w:overflowPunct/>
        <w:topLinePunct w:val="0"/>
        <w:autoSpaceDE/>
        <w:autoSpaceDN/>
        <w:bidi w:val="0"/>
        <w:adjustRightInd/>
        <w:spacing w:line="560" w:lineRule="exact"/>
        <w:ind w:firstLine="640" w:firstLineChars="200"/>
        <w:jc w:val="both"/>
        <w:textAlignment w:val="auto"/>
        <w:rPr>
          <w:rFonts w:hint="default" w:ascii="Times New Roman" w:hAnsi="Times New Roman" w:eastAsia="方正仿宋_GBK" w:cs="Times New Roman"/>
          <w:b w:val="0"/>
          <w:bCs/>
          <w:color w:val="auto"/>
          <w:kern w:val="2"/>
          <w:sz w:val="32"/>
          <w:szCs w:val="32"/>
          <w:highlight w:val="none"/>
          <w:lang w:val="en-US" w:eastAsia="zh-CN" w:bidi="ar"/>
        </w:rPr>
      </w:pPr>
      <w:r>
        <w:rPr>
          <w:rFonts w:hint="default" w:ascii="Times New Roman" w:hAnsi="Times New Roman" w:eastAsia="方正仿宋_GBK" w:cs="Times New Roman"/>
          <w:b w:val="0"/>
          <w:bCs/>
          <w:color w:val="auto"/>
          <w:kern w:val="2"/>
          <w:sz w:val="32"/>
          <w:szCs w:val="32"/>
          <w:highlight w:val="none"/>
          <w:lang w:val="en-US" w:eastAsia="zh-CN" w:bidi="ar"/>
        </w:rPr>
        <w:t>（一）绩效工作认识不够深入。对预算绩效管理认识有局限，持续改善管理的重视程度不够，绩效目标管理、绩效运行监控、绩效评价、评价结果与应用全过程绩效管理理念仍未形成。对地州或二级直属单位上报的绩效材料未把关，或是审核报送资料不严，影响整体绩效工作质量。</w:t>
      </w:r>
    </w:p>
    <w:p w14:paraId="2B7600CE">
      <w:pPr>
        <w:pStyle w:val="2"/>
        <w:keepNext w:val="0"/>
        <w:keepLines w:val="0"/>
        <w:pageBreakBefore w:val="0"/>
        <w:kinsoku/>
        <w:wordWrap/>
        <w:overflowPunct/>
        <w:topLinePunct w:val="0"/>
        <w:autoSpaceDE/>
        <w:autoSpaceDN/>
        <w:bidi w:val="0"/>
        <w:adjustRightInd/>
        <w:spacing w:line="560" w:lineRule="exact"/>
        <w:ind w:firstLine="640" w:firstLineChars="200"/>
        <w:jc w:val="both"/>
        <w:textAlignment w:val="auto"/>
        <w:rPr>
          <w:rFonts w:hint="default" w:ascii="Times New Roman" w:hAnsi="Times New Roman" w:eastAsia="方正仿宋_GBK" w:cs="Times New Roman"/>
          <w:b w:val="0"/>
          <w:bCs/>
          <w:color w:val="auto"/>
          <w:kern w:val="2"/>
          <w:sz w:val="32"/>
          <w:szCs w:val="32"/>
          <w:highlight w:val="none"/>
          <w:lang w:val="en-US" w:eastAsia="zh-CN" w:bidi="ar"/>
        </w:rPr>
      </w:pPr>
      <w:r>
        <w:rPr>
          <w:rFonts w:hint="default" w:ascii="Times New Roman" w:hAnsi="Times New Roman" w:eastAsia="方正仿宋_GBK" w:cs="Times New Roman"/>
          <w:b w:val="0"/>
          <w:bCs/>
          <w:color w:val="auto"/>
          <w:kern w:val="2"/>
          <w:sz w:val="32"/>
          <w:szCs w:val="32"/>
          <w:highlight w:val="none"/>
          <w:lang w:val="en-US" w:eastAsia="zh-CN" w:bidi="ar"/>
        </w:rPr>
        <w:t>（二）基础工作不够扎实。预算执行过程监管不到位，绩效运行监控情况填写过于简单，缺少原因分析；绩效自评不够客观规范等；绩效目标设定科学性、合理性不够，难以量化和考核的现象仍普遍存在。人员更换、交接不清、报送资料不及时现象，没有充分发挥预算绩效管理促进资金高效使用的作用。</w:t>
      </w:r>
    </w:p>
    <w:p w14:paraId="1735CC58">
      <w:pPr>
        <w:pStyle w:val="2"/>
        <w:keepNext w:val="0"/>
        <w:keepLines w:val="0"/>
        <w:pageBreakBefore w:val="0"/>
        <w:kinsoku/>
        <w:wordWrap/>
        <w:overflowPunct/>
        <w:topLinePunct w:val="0"/>
        <w:autoSpaceDE/>
        <w:autoSpaceDN/>
        <w:bidi w:val="0"/>
        <w:adjustRightInd/>
        <w:spacing w:line="560" w:lineRule="exact"/>
        <w:ind w:firstLine="640" w:firstLineChars="200"/>
        <w:jc w:val="both"/>
        <w:textAlignment w:val="auto"/>
        <w:rPr>
          <w:rFonts w:hint="default" w:ascii="Times New Roman" w:hAnsi="Times New Roman" w:eastAsia="方正仿宋_GBK" w:cs="Times New Roman"/>
          <w:b w:val="0"/>
          <w:bCs/>
          <w:color w:val="auto"/>
          <w:kern w:val="2"/>
          <w:sz w:val="32"/>
          <w:szCs w:val="32"/>
          <w:highlight w:val="none"/>
          <w:lang w:val="en-US" w:eastAsia="zh-CN" w:bidi="ar"/>
        </w:rPr>
      </w:pPr>
      <w:r>
        <w:rPr>
          <w:rFonts w:hint="default" w:ascii="Times New Roman" w:hAnsi="Times New Roman" w:eastAsia="方正仿宋_GBK" w:cs="Times New Roman"/>
          <w:b w:val="0"/>
          <w:bCs/>
          <w:color w:val="auto"/>
          <w:kern w:val="2"/>
          <w:sz w:val="32"/>
          <w:szCs w:val="32"/>
          <w:highlight w:val="none"/>
          <w:lang w:val="en-US" w:eastAsia="zh-CN" w:bidi="ar"/>
        </w:rPr>
        <w:t>（三）项目完成进度缓慢。安排项目预算后，未提前开展项目实施谋划，对地州及直属单位项目督促和指导力度不足，加之新疆地理位置原因，施工期较短，项目实施进度、绩效指标完成率不达标，影响项目下一年度预算资金安排。</w:t>
      </w:r>
    </w:p>
    <w:p w14:paraId="6C386136">
      <w:pPr>
        <w:pStyle w:val="2"/>
        <w:keepNext w:val="0"/>
        <w:keepLines w:val="0"/>
        <w:pageBreakBefore w:val="0"/>
        <w:kinsoku/>
        <w:wordWrap/>
        <w:overflowPunct/>
        <w:topLinePunct w:val="0"/>
        <w:autoSpaceDE/>
        <w:autoSpaceDN/>
        <w:bidi w:val="0"/>
        <w:adjustRightInd/>
        <w:spacing w:line="560" w:lineRule="exact"/>
        <w:ind w:firstLine="640" w:firstLineChars="200"/>
        <w:jc w:val="both"/>
        <w:textAlignment w:val="auto"/>
        <w:rPr>
          <w:rFonts w:hint="default" w:ascii="Times New Roman" w:hAnsi="Times New Roman" w:eastAsia="方正仿宋_GBK" w:cs="Times New Roman"/>
          <w:b w:val="0"/>
          <w:bCs/>
          <w:color w:val="auto"/>
          <w:kern w:val="2"/>
          <w:sz w:val="32"/>
          <w:szCs w:val="32"/>
          <w:highlight w:val="none"/>
          <w:lang w:val="en-US" w:eastAsia="zh-CN" w:bidi="ar"/>
        </w:rPr>
      </w:pPr>
      <w:r>
        <w:rPr>
          <w:rFonts w:hint="default" w:ascii="Times New Roman" w:hAnsi="Times New Roman" w:eastAsia="方正仿宋_GBK" w:cs="Times New Roman"/>
          <w:b w:val="0"/>
          <w:bCs/>
          <w:color w:val="auto"/>
          <w:kern w:val="2"/>
          <w:sz w:val="32"/>
          <w:szCs w:val="32"/>
          <w:highlight w:val="none"/>
          <w:lang w:val="en-US" w:eastAsia="zh-CN" w:bidi="ar"/>
        </w:rPr>
        <w:t>（四）监督管理措施有待加强。在推动内部审计与其它监督贯通协调能力还有待提高，监督管理的措施还不够坚决有力。</w:t>
      </w:r>
    </w:p>
    <w:p w14:paraId="693A1696">
      <w:pPr>
        <w:keepNext w:val="0"/>
        <w:keepLines w:val="0"/>
        <w:pageBreakBefore w:val="0"/>
        <w:numPr>
          <w:ilvl w:val="0"/>
          <w:numId w:val="0"/>
        </w:numPr>
        <w:kinsoku/>
        <w:wordWrap/>
        <w:overflowPunct/>
        <w:topLinePunct w:val="0"/>
        <w:autoSpaceDE/>
        <w:autoSpaceDN/>
        <w:bidi w:val="0"/>
        <w:adjustRightInd/>
        <w:snapToGrid w:val="0"/>
        <w:spacing w:line="560" w:lineRule="exact"/>
        <w:ind w:firstLine="640" w:firstLineChars="200"/>
        <w:jc w:val="both"/>
        <w:textAlignment w:val="auto"/>
        <w:outlineLvl w:val="0"/>
        <w:rPr>
          <w:rFonts w:hint="eastAsia" w:ascii="方正黑体_GBK" w:hAnsi="方正黑体_GBK" w:eastAsia="方正黑体_GBK" w:cs="方正黑体_GBK"/>
          <w:b w:val="0"/>
          <w:bCs/>
          <w:color w:val="333333"/>
          <w:sz w:val="32"/>
          <w:szCs w:val="32"/>
          <w:lang w:bidi="ar"/>
        </w:rPr>
      </w:pPr>
      <w:bookmarkStart w:id="67" w:name="_Toc17382"/>
      <w:bookmarkStart w:id="68" w:name="_Toc27511"/>
      <w:bookmarkStart w:id="69" w:name="_Toc31536"/>
      <w:r>
        <w:rPr>
          <w:rFonts w:hint="eastAsia" w:ascii="方正黑体_GBK" w:hAnsi="方正黑体_GBK" w:eastAsia="方正黑体_GBK" w:cs="方正黑体_GBK"/>
          <w:b w:val="0"/>
          <w:bCs/>
          <w:color w:val="333333"/>
          <w:kern w:val="2"/>
          <w:sz w:val="32"/>
          <w:szCs w:val="32"/>
          <w:lang w:val="en-US" w:eastAsia="zh-CN" w:bidi="ar"/>
        </w:rPr>
        <w:t>六、</w:t>
      </w:r>
      <w:r>
        <w:rPr>
          <w:rFonts w:hint="eastAsia" w:ascii="方正黑体_GBK" w:hAnsi="方正黑体_GBK" w:eastAsia="方正黑体_GBK" w:cs="方正黑体_GBK"/>
          <w:b w:val="0"/>
          <w:bCs/>
          <w:color w:val="333333"/>
          <w:sz w:val="32"/>
          <w:szCs w:val="32"/>
          <w:lang w:bidi="ar"/>
        </w:rPr>
        <w:t>改进措施和建议</w:t>
      </w:r>
      <w:bookmarkEnd w:id="67"/>
      <w:bookmarkEnd w:id="68"/>
      <w:bookmarkEnd w:id="69"/>
    </w:p>
    <w:p w14:paraId="311C6C09">
      <w:pPr>
        <w:keepNext w:val="0"/>
        <w:keepLines w:val="0"/>
        <w:pageBreakBefore w:val="0"/>
        <w:widowControl/>
        <w:suppressLineNumbers w:val="0"/>
        <w:kinsoku/>
        <w:wordWrap/>
        <w:overflowPunct/>
        <w:topLinePunct w:val="0"/>
        <w:autoSpaceDE/>
        <w:autoSpaceDN/>
        <w:bidi w:val="0"/>
        <w:adjustRightInd/>
        <w:spacing w:line="560" w:lineRule="exact"/>
        <w:ind w:firstLine="640" w:firstLineChars="200"/>
        <w:jc w:val="both"/>
        <w:textAlignment w:val="auto"/>
        <w:rPr>
          <w:rFonts w:hint="eastAsia" w:ascii="Times New Roman" w:hAnsi="Times New Roman" w:eastAsia="方正仿宋_GBK" w:cs="仿宋_GB2312"/>
          <w:b w:val="0"/>
          <w:bCs/>
          <w:color w:val="auto"/>
          <w:kern w:val="2"/>
          <w:sz w:val="32"/>
          <w:szCs w:val="32"/>
          <w:highlight w:val="none"/>
          <w:lang w:val="en-US" w:eastAsia="zh-CN" w:bidi="ar"/>
        </w:rPr>
      </w:pPr>
      <w:r>
        <w:rPr>
          <w:rFonts w:hint="eastAsia" w:ascii="Times New Roman" w:hAnsi="Times New Roman" w:eastAsia="方正仿宋_GBK" w:cs="仿宋_GB2312"/>
          <w:b w:val="0"/>
          <w:bCs/>
          <w:color w:val="auto"/>
          <w:kern w:val="2"/>
          <w:sz w:val="32"/>
          <w:szCs w:val="32"/>
          <w:highlight w:val="none"/>
          <w:lang w:val="en-US" w:eastAsia="zh-CN" w:bidi="ar"/>
        </w:rPr>
        <w:t>（一）持续强化预算绩效管理意识。从传统预算管理方式向绩效管理方式转型，从重资金投入管理转向重预算编制、执行和监管全过程绩效管理，要深入开展财政绩效管理宣传工作，宣传预算绩效管理的重要性，让预算绩效管理完全渗透到单位的资金和项目管理中，进一步牢固树立绩效管理意识。</w:t>
      </w:r>
    </w:p>
    <w:p w14:paraId="4F3CFCB6">
      <w:pPr>
        <w:keepNext w:val="0"/>
        <w:keepLines w:val="0"/>
        <w:pageBreakBefore w:val="0"/>
        <w:widowControl/>
        <w:suppressLineNumbers w:val="0"/>
        <w:kinsoku/>
        <w:wordWrap/>
        <w:overflowPunct/>
        <w:topLinePunct w:val="0"/>
        <w:autoSpaceDE/>
        <w:autoSpaceDN/>
        <w:bidi w:val="0"/>
        <w:adjustRightInd/>
        <w:spacing w:line="560" w:lineRule="exact"/>
        <w:ind w:firstLine="640" w:firstLineChars="200"/>
        <w:jc w:val="both"/>
        <w:textAlignment w:val="auto"/>
        <w:rPr>
          <w:rFonts w:hint="eastAsia" w:ascii="Times New Roman" w:hAnsi="Times New Roman" w:eastAsia="方正仿宋_GBK" w:cs="仿宋_GB2312"/>
          <w:b w:val="0"/>
          <w:bCs/>
          <w:color w:val="auto"/>
          <w:kern w:val="2"/>
          <w:sz w:val="32"/>
          <w:szCs w:val="32"/>
          <w:highlight w:val="none"/>
          <w:lang w:val="en-US" w:eastAsia="zh-CN" w:bidi="ar"/>
        </w:rPr>
      </w:pPr>
      <w:r>
        <w:rPr>
          <w:rFonts w:hint="eastAsia" w:ascii="Times New Roman" w:hAnsi="Times New Roman" w:eastAsia="方正仿宋_GBK" w:cs="仿宋_GB2312"/>
          <w:b w:val="0"/>
          <w:bCs/>
          <w:color w:val="auto"/>
          <w:kern w:val="2"/>
          <w:sz w:val="32"/>
          <w:szCs w:val="32"/>
          <w:highlight w:val="none"/>
          <w:lang w:val="en-US" w:eastAsia="zh-CN" w:bidi="ar"/>
        </w:rPr>
        <w:t>（二）更深入的将绩效管理结果同预算编制相结合。根据项目绩效评价所形成的“优秀、良好、一般、较差”四个等级，完善绩效评价结果的反馈和运用机制，进一步增强各单位的责任感和紧迫感。将评价结果作为安排以后年度预算的重要依据，年初预算下达召开预算绩效一体化管理工作会，向处室及单位批复预算数及绩效目标表，印发《自治区民政厅全面实施预算绩效一体化管理工作实施方案》，将绩效评价结果不好的项目取消，对执行不力的单位的预算要进行相应削减，切实发挥绩效评价工作的应有作用。</w:t>
      </w:r>
    </w:p>
    <w:p w14:paraId="183B12D5">
      <w:pPr>
        <w:keepNext w:val="0"/>
        <w:keepLines w:val="0"/>
        <w:pageBreakBefore w:val="0"/>
        <w:widowControl/>
        <w:suppressLineNumbers w:val="0"/>
        <w:kinsoku/>
        <w:wordWrap/>
        <w:overflowPunct/>
        <w:topLinePunct w:val="0"/>
        <w:autoSpaceDE/>
        <w:autoSpaceDN/>
        <w:bidi w:val="0"/>
        <w:adjustRightInd/>
        <w:spacing w:line="560" w:lineRule="exact"/>
        <w:ind w:firstLine="640" w:firstLineChars="200"/>
        <w:jc w:val="both"/>
        <w:textAlignment w:val="auto"/>
        <w:rPr>
          <w:rFonts w:hint="eastAsia" w:ascii="Times New Roman" w:hAnsi="Times New Roman" w:eastAsia="方正仿宋_GBK" w:cs="仿宋_GB2312"/>
          <w:b w:val="0"/>
          <w:bCs/>
          <w:color w:val="auto"/>
          <w:kern w:val="2"/>
          <w:sz w:val="32"/>
          <w:szCs w:val="32"/>
          <w:highlight w:val="none"/>
          <w:lang w:val="en-US" w:eastAsia="zh-CN" w:bidi="ar"/>
        </w:rPr>
      </w:pPr>
      <w:r>
        <w:rPr>
          <w:rFonts w:hint="eastAsia" w:ascii="Times New Roman" w:hAnsi="Times New Roman" w:eastAsia="方正仿宋_GBK" w:cs="仿宋_GB2312"/>
          <w:b w:val="0"/>
          <w:bCs/>
          <w:color w:val="auto"/>
          <w:kern w:val="2"/>
          <w:sz w:val="32"/>
          <w:szCs w:val="32"/>
          <w:highlight w:val="none"/>
          <w:lang w:val="en-US" w:eastAsia="zh-CN" w:bidi="ar"/>
        </w:rPr>
        <w:t>（三）推进资金动态管理机制。印发《项目建设任务及资金支出进度的通知》，会同相关业务处室指导各地、各直属预算单位加强项目监管调度，列出时间表、线路图，加快推进项目组织实施，对进展缓慢的项目，及时进行预警、督促督办相关地州市加强整改。</w:t>
      </w:r>
    </w:p>
    <w:p w14:paraId="7479B15D">
      <w:pPr>
        <w:keepNext w:val="0"/>
        <w:keepLines w:val="0"/>
        <w:pageBreakBefore w:val="0"/>
        <w:widowControl/>
        <w:suppressLineNumbers w:val="0"/>
        <w:kinsoku/>
        <w:wordWrap/>
        <w:overflowPunct/>
        <w:topLinePunct w:val="0"/>
        <w:autoSpaceDE/>
        <w:autoSpaceDN/>
        <w:bidi w:val="0"/>
        <w:adjustRightInd/>
        <w:spacing w:line="560" w:lineRule="exact"/>
        <w:ind w:firstLine="640" w:firstLineChars="200"/>
        <w:jc w:val="both"/>
        <w:textAlignment w:val="auto"/>
        <w:rPr>
          <w:rFonts w:hint="eastAsia" w:ascii="Times New Roman" w:hAnsi="Times New Roman" w:eastAsia="方正仿宋_GBK" w:cs="宋体"/>
          <w:b w:val="0"/>
          <w:bCs/>
          <w:color w:val="auto"/>
          <w:kern w:val="2"/>
          <w:sz w:val="32"/>
          <w:szCs w:val="32"/>
          <w:highlight w:val="none"/>
          <w:lang w:val="en-US" w:eastAsia="zh-CN" w:bidi="ar"/>
        </w:rPr>
      </w:pPr>
      <w:r>
        <w:rPr>
          <w:rFonts w:hint="eastAsia" w:ascii="Times New Roman" w:hAnsi="Times New Roman" w:eastAsia="方正仿宋_GBK" w:cs="仿宋_GB2312"/>
          <w:b w:val="0"/>
          <w:bCs/>
          <w:color w:val="auto"/>
          <w:kern w:val="2"/>
          <w:sz w:val="32"/>
          <w:szCs w:val="32"/>
          <w:highlight w:val="none"/>
          <w:lang w:val="en-US" w:eastAsia="zh-CN" w:bidi="ar"/>
        </w:rPr>
        <w:t>（四）强化内部审计、财会监督与</w:t>
      </w:r>
      <w:r>
        <w:rPr>
          <w:rFonts w:hint="eastAsia" w:eastAsia="方正仿宋_GBK" w:cs="仿宋_GB2312"/>
          <w:b w:val="0"/>
          <w:bCs/>
          <w:color w:val="auto"/>
          <w:kern w:val="2"/>
          <w:sz w:val="32"/>
          <w:szCs w:val="32"/>
          <w:highlight w:val="none"/>
          <w:lang w:val="en-US" w:eastAsia="zh-CN" w:bidi="ar"/>
        </w:rPr>
        <w:t>其他</w:t>
      </w:r>
      <w:r>
        <w:rPr>
          <w:rFonts w:hint="eastAsia" w:ascii="Times New Roman" w:hAnsi="Times New Roman" w:eastAsia="方正仿宋_GBK" w:cs="仿宋_GB2312"/>
          <w:b w:val="0"/>
          <w:bCs/>
          <w:color w:val="auto"/>
          <w:kern w:val="2"/>
          <w:sz w:val="32"/>
          <w:szCs w:val="32"/>
          <w:highlight w:val="none"/>
          <w:lang w:val="en-US" w:eastAsia="zh-CN" w:bidi="ar"/>
        </w:rPr>
        <w:t>监督贯通协调，强化学习帮带，有效落实跟踪调度监管制度，对发现风险隐患的苗头，及时进行预警，该纠正的及时纠正，敢于较真碰硬，确保资金使用依法依规、安全有效。</w:t>
      </w:r>
    </w:p>
    <w:p w14:paraId="61789181">
      <w:pPr>
        <w:pStyle w:val="9"/>
        <w:keepNext w:val="0"/>
        <w:keepLines w:val="0"/>
        <w:pageBreakBefore w:val="0"/>
        <w:numPr>
          <w:ilvl w:val="0"/>
          <w:numId w:val="0"/>
        </w:numPr>
        <w:kinsoku/>
        <w:wordWrap/>
        <w:overflowPunct/>
        <w:topLinePunct w:val="0"/>
        <w:autoSpaceDE/>
        <w:autoSpaceDN/>
        <w:bidi w:val="0"/>
        <w:adjustRightInd/>
        <w:snapToGrid w:val="0"/>
        <w:spacing w:line="560" w:lineRule="exact"/>
        <w:ind w:firstLine="624" w:firstLineChars="200"/>
        <w:jc w:val="both"/>
        <w:textAlignment w:val="auto"/>
        <w:outlineLvl w:val="0"/>
        <w:rPr>
          <w:rStyle w:val="8"/>
          <w:rFonts w:hint="eastAsia" w:ascii="方正黑体_GBK" w:hAnsi="方正黑体_GBK" w:eastAsia="方正黑体_GBK" w:cs="方正黑体_GBK"/>
          <w:b w:val="0"/>
          <w:bCs/>
          <w:spacing w:val="-4"/>
          <w:sz w:val="32"/>
          <w:szCs w:val="32"/>
        </w:rPr>
      </w:pPr>
      <w:bookmarkStart w:id="70" w:name="_Toc26203"/>
      <w:bookmarkStart w:id="71" w:name="_Toc14023"/>
      <w:bookmarkStart w:id="72" w:name="_Toc7364"/>
      <w:r>
        <w:rPr>
          <w:rFonts w:hint="eastAsia" w:ascii="方正黑体_GBK" w:hAnsi="方正黑体_GBK" w:eastAsia="方正黑体_GBK" w:cs="方正黑体_GBK"/>
          <w:b w:val="0"/>
          <w:bCs/>
          <w:spacing w:val="-4"/>
          <w:kern w:val="2"/>
          <w:sz w:val="32"/>
          <w:szCs w:val="32"/>
          <w:lang w:val="en-US" w:eastAsia="zh-CN" w:bidi="ar-SA"/>
        </w:rPr>
        <w:t>七、</w:t>
      </w:r>
      <w:r>
        <w:rPr>
          <w:rStyle w:val="8"/>
          <w:rFonts w:hint="eastAsia" w:ascii="方正黑体_GBK" w:hAnsi="方正黑体_GBK" w:eastAsia="方正黑体_GBK" w:cs="方正黑体_GBK"/>
          <w:b w:val="0"/>
          <w:bCs/>
          <w:spacing w:val="-4"/>
          <w:sz w:val="32"/>
          <w:szCs w:val="32"/>
        </w:rPr>
        <w:t>附表</w:t>
      </w:r>
    </w:p>
    <w:p w14:paraId="247F8F3D">
      <w:pPr>
        <w:pStyle w:val="9"/>
        <w:keepNext w:val="0"/>
        <w:keepLines w:val="0"/>
        <w:pageBreakBefore w:val="0"/>
        <w:numPr>
          <w:ilvl w:val="0"/>
          <w:numId w:val="0"/>
        </w:numPr>
        <w:kinsoku/>
        <w:wordWrap/>
        <w:overflowPunct/>
        <w:topLinePunct w:val="0"/>
        <w:autoSpaceDE/>
        <w:autoSpaceDN/>
        <w:bidi w:val="0"/>
        <w:adjustRightInd/>
        <w:snapToGrid w:val="0"/>
        <w:spacing w:line="560" w:lineRule="exact"/>
        <w:ind w:firstLine="624" w:firstLineChars="200"/>
        <w:jc w:val="both"/>
        <w:textAlignment w:val="auto"/>
        <w:outlineLvl w:val="0"/>
        <w:rPr>
          <w:rStyle w:val="8"/>
          <w:rFonts w:ascii="Times New Roman" w:hAnsi="Times New Roman" w:eastAsia="方正仿宋_GBK"/>
          <w:b w:val="0"/>
          <w:bCs/>
          <w:spacing w:val="-4"/>
          <w:sz w:val="32"/>
          <w:szCs w:val="32"/>
        </w:rPr>
      </w:pPr>
      <w:r>
        <w:rPr>
          <w:rStyle w:val="8"/>
          <w:rFonts w:hint="eastAsia" w:ascii="Times New Roman" w:hAnsi="Times New Roman" w:eastAsia="方正仿宋_GBK"/>
          <w:b w:val="0"/>
          <w:bCs/>
          <w:spacing w:val="-4"/>
          <w:sz w:val="32"/>
          <w:szCs w:val="32"/>
        </w:rPr>
        <w:t>《部门整体支出绩效目标自评表》</w:t>
      </w:r>
      <w:bookmarkEnd w:id="70"/>
      <w:bookmarkEnd w:id="71"/>
      <w:bookmarkEnd w:id="72"/>
    </w:p>
    <w:p w14:paraId="77FC595C">
      <w:pPr>
        <w:numPr>
          <w:ilvl w:val="0"/>
          <w:numId w:val="0"/>
        </w:numPr>
        <w:spacing w:line="540" w:lineRule="exact"/>
        <w:rPr>
          <w:rFonts w:hint="default" w:ascii="仿宋_GB2312" w:hAnsi="楷体" w:eastAsia="仿宋_GB2312"/>
          <w:b/>
          <w:bCs w:val="0"/>
          <w:spacing w:val="-4"/>
          <w:sz w:val="32"/>
          <w:szCs w:val="32"/>
          <w:lang w:val="en-US" w:eastAsia="zh-CN"/>
        </w:rPr>
      </w:pPr>
    </w:p>
    <w:p w14:paraId="43E8A03D"/>
    <w:p w14:paraId="72938131"/>
    <w:p w14:paraId="10FE6892"/>
    <w:p w14:paraId="50AAE9A5"/>
    <w:p w14:paraId="7B6D2EB9"/>
    <w:p w14:paraId="0E06D5AA"/>
    <w:p w14:paraId="16C3B527"/>
    <w:p w14:paraId="54A5048D"/>
    <w:p w14:paraId="21BBAEAE"/>
    <w:p w14:paraId="31CD21A6">
      <w:r>
        <w:br w:type="page"/>
      </w:r>
    </w:p>
    <w:tbl>
      <w:tblPr>
        <w:tblStyle w:val="6"/>
        <w:tblW w:w="937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725"/>
        <w:gridCol w:w="1395"/>
        <w:gridCol w:w="1542"/>
        <w:gridCol w:w="942"/>
        <w:gridCol w:w="1297"/>
        <w:gridCol w:w="780"/>
        <w:gridCol w:w="825"/>
        <w:gridCol w:w="868"/>
      </w:tblGrid>
      <w:tr w14:paraId="0ABB6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2" w:hRule="atLeast"/>
          <w:jc w:val="center"/>
        </w:trPr>
        <w:tc>
          <w:tcPr>
            <w:tcW w:w="9374" w:type="dxa"/>
            <w:gridSpan w:val="8"/>
            <w:tcBorders>
              <w:top w:val="single" w:color="000000" w:sz="4" w:space="0"/>
              <w:left w:val="single" w:color="000000" w:sz="4" w:space="0"/>
              <w:bottom w:val="single" w:color="000000" w:sz="4" w:space="0"/>
              <w:right w:val="single" w:color="000000" w:sz="4" w:space="0"/>
            </w:tcBorders>
            <w:noWrap/>
            <w:vAlign w:val="center"/>
          </w:tcPr>
          <w:p w14:paraId="1A7AE4B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部门整体支出绩效目标自评表</w:t>
            </w:r>
          </w:p>
        </w:tc>
      </w:tr>
      <w:tr w14:paraId="5C24C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7" w:hRule="atLeast"/>
          <w:jc w:val="center"/>
        </w:trPr>
        <w:tc>
          <w:tcPr>
            <w:tcW w:w="9374" w:type="dxa"/>
            <w:gridSpan w:val="8"/>
            <w:tcBorders>
              <w:top w:val="single" w:color="000000" w:sz="4" w:space="0"/>
              <w:left w:val="single" w:color="000000" w:sz="4" w:space="0"/>
              <w:bottom w:val="single" w:color="000000" w:sz="4" w:space="0"/>
              <w:right w:val="single" w:color="000000" w:sz="4" w:space="0"/>
            </w:tcBorders>
            <w:noWrap/>
            <w:vAlign w:val="center"/>
          </w:tcPr>
          <w:p w14:paraId="025C1E1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（2025年度）</w:t>
            </w:r>
          </w:p>
        </w:tc>
      </w:tr>
      <w:tr w14:paraId="5AAAC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3" w:hRule="atLeast"/>
          <w:jc w:val="center"/>
        </w:trPr>
        <w:tc>
          <w:tcPr>
            <w:tcW w:w="1725" w:type="dxa"/>
            <w:tcBorders>
              <w:top w:val="single" w:color="000000" w:sz="4" w:space="0"/>
              <w:left w:val="single" w:color="000000" w:sz="4" w:space="0"/>
              <w:bottom w:val="single" w:color="000000" w:sz="4" w:space="0"/>
              <w:right w:val="single" w:color="000000" w:sz="4" w:space="0"/>
            </w:tcBorders>
            <w:noWrap/>
            <w:vAlign w:val="center"/>
          </w:tcPr>
          <w:p w14:paraId="1C9B438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部门（单位）名称</w:t>
            </w:r>
          </w:p>
        </w:tc>
        <w:tc>
          <w:tcPr>
            <w:tcW w:w="7649" w:type="dxa"/>
            <w:gridSpan w:val="7"/>
            <w:tcBorders>
              <w:top w:val="single" w:color="000000" w:sz="4" w:space="0"/>
              <w:left w:val="single" w:color="000000" w:sz="4" w:space="0"/>
              <w:bottom w:val="single" w:color="000000" w:sz="4" w:space="0"/>
              <w:right w:val="single" w:color="000000" w:sz="4" w:space="0"/>
            </w:tcBorders>
            <w:noWrap/>
            <w:vAlign w:val="center"/>
          </w:tcPr>
          <w:p w14:paraId="6591928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新疆维吾尔自治区民政厅</w:t>
            </w:r>
          </w:p>
        </w:tc>
      </w:tr>
      <w:tr w14:paraId="1B0B5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1725" w:type="dxa"/>
            <w:vMerge w:val="restart"/>
            <w:tcBorders>
              <w:top w:val="single" w:color="000000" w:sz="4" w:space="0"/>
              <w:left w:val="single" w:color="000000" w:sz="4" w:space="0"/>
              <w:bottom w:val="single" w:color="000000" w:sz="4" w:space="0"/>
              <w:right w:val="single" w:color="000000" w:sz="4" w:space="0"/>
            </w:tcBorders>
            <w:noWrap w:val="0"/>
            <w:vAlign w:val="center"/>
          </w:tcPr>
          <w:p w14:paraId="17FB5AC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部门资金（万元）</w:t>
            </w:r>
          </w:p>
        </w:tc>
        <w:tc>
          <w:tcPr>
            <w:tcW w:w="1395" w:type="dxa"/>
            <w:tcBorders>
              <w:top w:val="single" w:color="000000" w:sz="4" w:space="0"/>
              <w:left w:val="single" w:color="000000" w:sz="4" w:space="0"/>
              <w:bottom w:val="single" w:color="000000" w:sz="4" w:space="0"/>
              <w:right w:val="single" w:color="000000" w:sz="4" w:space="0"/>
            </w:tcBorders>
            <w:noWrap w:val="0"/>
            <w:vAlign w:val="center"/>
          </w:tcPr>
          <w:p w14:paraId="341DD64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资金来源</w:t>
            </w:r>
          </w:p>
        </w:tc>
        <w:tc>
          <w:tcPr>
            <w:tcW w:w="1542" w:type="dxa"/>
            <w:tcBorders>
              <w:top w:val="single" w:color="000000" w:sz="4" w:space="0"/>
              <w:left w:val="single" w:color="000000" w:sz="4" w:space="0"/>
              <w:bottom w:val="single" w:color="000000" w:sz="4" w:space="0"/>
              <w:right w:val="single" w:color="000000" w:sz="4" w:space="0"/>
            </w:tcBorders>
            <w:noWrap w:val="0"/>
            <w:vAlign w:val="center"/>
          </w:tcPr>
          <w:p w14:paraId="525EF02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年初预算数</w:t>
            </w:r>
          </w:p>
        </w:tc>
        <w:tc>
          <w:tcPr>
            <w:tcW w:w="942" w:type="dxa"/>
            <w:tcBorders>
              <w:top w:val="single" w:color="000000" w:sz="4" w:space="0"/>
              <w:left w:val="single" w:color="000000" w:sz="4" w:space="0"/>
              <w:bottom w:val="single" w:color="000000" w:sz="4" w:space="0"/>
              <w:right w:val="single" w:color="000000" w:sz="4" w:space="0"/>
            </w:tcBorders>
            <w:noWrap w:val="0"/>
            <w:vAlign w:val="center"/>
          </w:tcPr>
          <w:p w14:paraId="2C3CBB4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全年预算数</w:t>
            </w:r>
          </w:p>
        </w:tc>
        <w:tc>
          <w:tcPr>
            <w:tcW w:w="1297" w:type="dxa"/>
            <w:tcBorders>
              <w:top w:val="single" w:color="000000" w:sz="4" w:space="0"/>
              <w:left w:val="single" w:color="000000" w:sz="4" w:space="0"/>
              <w:bottom w:val="single" w:color="000000" w:sz="4" w:space="0"/>
              <w:right w:val="single" w:color="000000" w:sz="4" w:space="0"/>
            </w:tcBorders>
            <w:noWrap w:val="0"/>
            <w:vAlign w:val="center"/>
          </w:tcPr>
          <w:p w14:paraId="66369F0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全年执行数</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20E06A2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分值权重</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31CB720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执行率</w:t>
            </w:r>
          </w:p>
        </w:tc>
        <w:tc>
          <w:tcPr>
            <w:tcW w:w="868" w:type="dxa"/>
            <w:tcBorders>
              <w:top w:val="single" w:color="000000" w:sz="4" w:space="0"/>
              <w:left w:val="single" w:color="000000" w:sz="4" w:space="0"/>
              <w:bottom w:val="single" w:color="000000" w:sz="4" w:space="0"/>
              <w:right w:val="single" w:color="000000" w:sz="4" w:space="0"/>
            </w:tcBorders>
            <w:noWrap w:val="0"/>
            <w:vAlign w:val="center"/>
          </w:tcPr>
          <w:p w14:paraId="16E44F6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得分</w:t>
            </w:r>
          </w:p>
        </w:tc>
      </w:tr>
      <w:tr w14:paraId="1F136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7" w:hRule="atLeast"/>
          <w:jc w:val="center"/>
        </w:trPr>
        <w:tc>
          <w:tcPr>
            <w:tcW w:w="172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833D5E">
            <w:pPr>
              <w:jc w:val="center"/>
              <w:rPr>
                <w:rFonts w:hint="eastAsia" w:ascii="宋体" w:hAnsi="宋体" w:eastAsia="宋体" w:cs="宋体"/>
                <w:b/>
                <w:bCs/>
                <w:i w:val="0"/>
                <w:iCs w:val="0"/>
                <w:color w:val="000000"/>
                <w:sz w:val="18"/>
                <w:szCs w:val="18"/>
                <w:u w:val="none"/>
              </w:rPr>
            </w:pPr>
          </w:p>
        </w:tc>
        <w:tc>
          <w:tcPr>
            <w:tcW w:w="1395" w:type="dxa"/>
            <w:tcBorders>
              <w:top w:val="single" w:color="000000" w:sz="4" w:space="0"/>
              <w:left w:val="single" w:color="000000" w:sz="4" w:space="0"/>
              <w:bottom w:val="single" w:color="000000" w:sz="4" w:space="0"/>
              <w:right w:val="single" w:color="000000" w:sz="4" w:space="0"/>
            </w:tcBorders>
            <w:noWrap/>
            <w:vAlign w:val="center"/>
          </w:tcPr>
          <w:p w14:paraId="29AA145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年度总资金</w:t>
            </w:r>
          </w:p>
        </w:tc>
        <w:tc>
          <w:tcPr>
            <w:tcW w:w="1542" w:type="dxa"/>
            <w:tcBorders>
              <w:top w:val="single" w:color="000000" w:sz="4" w:space="0"/>
              <w:left w:val="single" w:color="000000" w:sz="4" w:space="0"/>
              <w:bottom w:val="single" w:color="000000" w:sz="4" w:space="0"/>
              <w:right w:val="single" w:color="000000" w:sz="4" w:space="0"/>
            </w:tcBorders>
            <w:noWrap w:val="0"/>
            <w:vAlign w:val="center"/>
          </w:tcPr>
          <w:p w14:paraId="2DF0171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112179.29</w:t>
            </w:r>
          </w:p>
        </w:tc>
        <w:tc>
          <w:tcPr>
            <w:tcW w:w="942" w:type="dxa"/>
            <w:tcBorders>
              <w:top w:val="single" w:color="000000" w:sz="4" w:space="0"/>
              <w:left w:val="single" w:color="000000" w:sz="4" w:space="0"/>
              <w:bottom w:val="single" w:color="000000" w:sz="4" w:space="0"/>
              <w:right w:val="single" w:color="000000" w:sz="4" w:space="0"/>
            </w:tcBorders>
            <w:noWrap w:val="0"/>
            <w:vAlign w:val="center"/>
          </w:tcPr>
          <w:p w14:paraId="436C2DC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22309.86</w:t>
            </w:r>
          </w:p>
        </w:tc>
        <w:tc>
          <w:tcPr>
            <w:tcW w:w="1297" w:type="dxa"/>
            <w:tcBorders>
              <w:top w:val="single" w:color="000000" w:sz="4" w:space="0"/>
              <w:left w:val="single" w:color="000000" w:sz="4" w:space="0"/>
              <w:bottom w:val="single" w:color="000000" w:sz="4" w:space="0"/>
              <w:right w:val="single" w:color="000000" w:sz="4" w:space="0"/>
            </w:tcBorders>
            <w:noWrap w:val="0"/>
            <w:vAlign w:val="center"/>
          </w:tcPr>
          <w:p w14:paraId="104EEC6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21420.7</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F842D3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10</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4852E21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96.01%</w:t>
            </w:r>
          </w:p>
        </w:tc>
        <w:tc>
          <w:tcPr>
            <w:tcW w:w="868" w:type="dxa"/>
            <w:tcBorders>
              <w:top w:val="single" w:color="000000" w:sz="4" w:space="0"/>
              <w:left w:val="single" w:color="000000" w:sz="4" w:space="0"/>
              <w:bottom w:val="single" w:color="000000" w:sz="4" w:space="0"/>
              <w:right w:val="single" w:color="000000" w:sz="4" w:space="0"/>
            </w:tcBorders>
            <w:noWrap w:val="0"/>
            <w:vAlign w:val="center"/>
          </w:tcPr>
          <w:p w14:paraId="55588E8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9.6</w:t>
            </w:r>
          </w:p>
        </w:tc>
      </w:tr>
      <w:tr w14:paraId="3B27D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7" w:hRule="atLeast"/>
          <w:jc w:val="center"/>
        </w:trPr>
        <w:tc>
          <w:tcPr>
            <w:tcW w:w="172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DF9956">
            <w:pPr>
              <w:jc w:val="center"/>
              <w:rPr>
                <w:rFonts w:hint="eastAsia" w:ascii="宋体" w:hAnsi="宋体" w:eastAsia="宋体" w:cs="宋体"/>
                <w:b/>
                <w:bCs/>
                <w:i w:val="0"/>
                <w:iCs w:val="0"/>
                <w:color w:val="000000"/>
                <w:sz w:val="18"/>
                <w:szCs w:val="18"/>
                <w:u w:val="none"/>
              </w:rPr>
            </w:pPr>
          </w:p>
        </w:tc>
        <w:tc>
          <w:tcPr>
            <w:tcW w:w="1395" w:type="dxa"/>
            <w:tcBorders>
              <w:top w:val="single" w:color="000000" w:sz="4" w:space="0"/>
              <w:left w:val="single" w:color="000000" w:sz="4" w:space="0"/>
              <w:bottom w:val="single" w:color="000000" w:sz="4" w:space="0"/>
              <w:right w:val="single" w:color="000000" w:sz="4" w:space="0"/>
            </w:tcBorders>
            <w:noWrap w:val="0"/>
            <w:vAlign w:val="center"/>
          </w:tcPr>
          <w:p w14:paraId="0178EFC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其中:上级安排（万元）</w:t>
            </w:r>
          </w:p>
        </w:tc>
        <w:tc>
          <w:tcPr>
            <w:tcW w:w="1542" w:type="dxa"/>
            <w:tcBorders>
              <w:top w:val="single" w:color="000000" w:sz="4" w:space="0"/>
              <w:left w:val="single" w:color="000000" w:sz="4" w:space="0"/>
              <w:bottom w:val="single" w:color="000000" w:sz="4" w:space="0"/>
              <w:right w:val="single" w:color="000000" w:sz="4" w:space="0"/>
            </w:tcBorders>
            <w:noWrap w:val="0"/>
            <w:vAlign w:val="center"/>
          </w:tcPr>
          <w:p w14:paraId="09DC2C9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785</w:t>
            </w:r>
          </w:p>
        </w:tc>
        <w:tc>
          <w:tcPr>
            <w:tcW w:w="942" w:type="dxa"/>
            <w:tcBorders>
              <w:top w:val="single" w:color="000000" w:sz="4" w:space="0"/>
              <w:left w:val="single" w:color="000000" w:sz="4" w:space="0"/>
              <w:bottom w:val="single" w:color="000000" w:sz="4" w:space="0"/>
              <w:right w:val="single" w:color="000000" w:sz="4" w:space="0"/>
            </w:tcBorders>
            <w:noWrap w:val="0"/>
            <w:vAlign w:val="center"/>
          </w:tcPr>
          <w:p w14:paraId="104756C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784.68</w:t>
            </w:r>
          </w:p>
        </w:tc>
        <w:tc>
          <w:tcPr>
            <w:tcW w:w="1297" w:type="dxa"/>
            <w:tcBorders>
              <w:top w:val="single" w:color="000000" w:sz="4" w:space="0"/>
              <w:left w:val="single" w:color="000000" w:sz="4" w:space="0"/>
              <w:bottom w:val="single" w:color="000000" w:sz="4" w:space="0"/>
              <w:right w:val="single" w:color="000000" w:sz="4" w:space="0"/>
            </w:tcBorders>
            <w:noWrap w:val="0"/>
            <w:vAlign w:val="center"/>
          </w:tcPr>
          <w:p w14:paraId="5C7E96A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784.68</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5A0BB3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023970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868" w:type="dxa"/>
            <w:tcBorders>
              <w:top w:val="single" w:color="000000" w:sz="4" w:space="0"/>
              <w:left w:val="single" w:color="000000" w:sz="4" w:space="0"/>
              <w:bottom w:val="single" w:color="000000" w:sz="4" w:space="0"/>
              <w:right w:val="single" w:color="000000" w:sz="4" w:space="0"/>
            </w:tcBorders>
            <w:noWrap w:val="0"/>
            <w:vAlign w:val="center"/>
          </w:tcPr>
          <w:p w14:paraId="411A3B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r>
      <w:tr w14:paraId="6017F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7" w:hRule="atLeast"/>
          <w:jc w:val="center"/>
        </w:trPr>
        <w:tc>
          <w:tcPr>
            <w:tcW w:w="172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5F4101">
            <w:pPr>
              <w:jc w:val="center"/>
              <w:rPr>
                <w:rFonts w:hint="eastAsia" w:ascii="宋体" w:hAnsi="宋体" w:eastAsia="宋体" w:cs="宋体"/>
                <w:b/>
                <w:bCs/>
                <w:i w:val="0"/>
                <w:iCs w:val="0"/>
                <w:color w:val="000000"/>
                <w:sz w:val="18"/>
                <w:szCs w:val="18"/>
                <w:u w:val="none"/>
              </w:rPr>
            </w:pPr>
          </w:p>
        </w:tc>
        <w:tc>
          <w:tcPr>
            <w:tcW w:w="1395" w:type="dxa"/>
            <w:tcBorders>
              <w:top w:val="single" w:color="000000" w:sz="4" w:space="0"/>
              <w:left w:val="single" w:color="000000" w:sz="4" w:space="0"/>
              <w:bottom w:val="single" w:color="000000" w:sz="4" w:space="0"/>
              <w:right w:val="single" w:color="000000" w:sz="4" w:space="0"/>
            </w:tcBorders>
            <w:noWrap w:val="0"/>
            <w:vAlign w:val="center"/>
          </w:tcPr>
          <w:p w14:paraId="42EC215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本级安排（万元）</w:t>
            </w:r>
          </w:p>
        </w:tc>
        <w:tc>
          <w:tcPr>
            <w:tcW w:w="1542" w:type="dxa"/>
            <w:tcBorders>
              <w:top w:val="single" w:color="000000" w:sz="4" w:space="0"/>
              <w:left w:val="single" w:color="000000" w:sz="4" w:space="0"/>
              <w:bottom w:val="single" w:color="000000" w:sz="4" w:space="0"/>
              <w:right w:val="single" w:color="000000" w:sz="4" w:space="0"/>
            </w:tcBorders>
            <w:noWrap w:val="0"/>
            <w:vAlign w:val="center"/>
          </w:tcPr>
          <w:p w14:paraId="53BE484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109347.83</w:t>
            </w:r>
          </w:p>
        </w:tc>
        <w:tc>
          <w:tcPr>
            <w:tcW w:w="942" w:type="dxa"/>
            <w:tcBorders>
              <w:top w:val="single" w:color="000000" w:sz="4" w:space="0"/>
              <w:left w:val="single" w:color="000000" w:sz="4" w:space="0"/>
              <w:bottom w:val="single" w:color="000000" w:sz="4" w:space="0"/>
              <w:right w:val="single" w:color="000000" w:sz="4" w:space="0"/>
            </w:tcBorders>
            <w:noWrap w:val="0"/>
            <w:vAlign w:val="center"/>
          </w:tcPr>
          <w:p w14:paraId="20E0722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19640.26</w:t>
            </w:r>
          </w:p>
        </w:tc>
        <w:tc>
          <w:tcPr>
            <w:tcW w:w="1297" w:type="dxa"/>
            <w:tcBorders>
              <w:top w:val="single" w:color="000000" w:sz="4" w:space="0"/>
              <w:left w:val="single" w:color="000000" w:sz="4" w:space="0"/>
              <w:bottom w:val="single" w:color="000000" w:sz="4" w:space="0"/>
              <w:right w:val="single" w:color="000000" w:sz="4" w:space="0"/>
            </w:tcBorders>
            <w:noWrap w:val="0"/>
            <w:vAlign w:val="center"/>
          </w:tcPr>
          <w:p w14:paraId="6C84B29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19002.39</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2030DF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6692AB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868" w:type="dxa"/>
            <w:tcBorders>
              <w:top w:val="single" w:color="000000" w:sz="4" w:space="0"/>
              <w:left w:val="single" w:color="000000" w:sz="4" w:space="0"/>
              <w:bottom w:val="single" w:color="000000" w:sz="4" w:space="0"/>
              <w:right w:val="single" w:color="000000" w:sz="4" w:space="0"/>
            </w:tcBorders>
            <w:noWrap w:val="0"/>
            <w:vAlign w:val="center"/>
          </w:tcPr>
          <w:p w14:paraId="3008AB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r>
      <w:tr w14:paraId="3ADA7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7" w:hRule="atLeast"/>
          <w:jc w:val="center"/>
        </w:trPr>
        <w:tc>
          <w:tcPr>
            <w:tcW w:w="172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60A89D">
            <w:pPr>
              <w:jc w:val="center"/>
              <w:rPr>
                <w:rFonts w:hint="eastAsia" w:ascii="宋体" w:hAnsi="宋体" w:eastAsia="宋体" w:cs="宋体"/>
                <w:b/>
                <w:bCs/>
                <w:i w:val="0"/>
                <w:iCs w:val="0"/>
                <w:color w:val="000000"/>
                <w:sz w:val="18"/>
                <w:szCs w:val="18"/>
                <w:u w:val="none"/>
              </w:rPr>
            </w:pPr>
          </w:p>
        </w:tc>
        <w:tc>
          <w:tcPr>
            <w:tcW w:w="1395" w:type="dxa"/>
            <w:tcBorders>
              <w:top w:val="single" w:color="000000" w:sz="4" w:space="0"/>
              <w:left w:val="single" w:color="000000" w:sz="4" w:space="0"/>
              <w:bottom w:val="single" w:color="000000" w:sz="4" w:space="0"/>
              <w:right w:val="single" w:color="000000" w:sz="4" w:space="0"/>
            </w:tcBorders>
            <w:noWrap w:val="0"/>
            <w:vAlign w:val="center"/>
          </w:tcPr>
          <w:p w14:paraId="27F78ED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其他资金（万元）</w:t>
            </w:r>
          </w:p>
        </w:tc>
        <w:tc>
          <w:tcPr>
            <w:tcW w:w="1542" w:type="dxa"/>
            <w:tcBorders>
              <w:top w:val="single" w:color="000000" w:sz="4" w:space="0"/>
              <w:left w:val="single" w:color="000000" w:sz="4" w:space="0"/>
              <w:bottom w:val="single" w:color="000000" w:sz="4" w:space="0"/>
              <w:right w:val="single" w:color="000000" w:sz="4" w:space="0"/>
            </w:tcBorders>
            <w:noWrap w:val="0"/>
            <w:vAlign w:val="center"/>
          </w:tcPr>
          <w:p w14:paraId="68566B3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2046.46</w:t>
            </w:r>
          </w:p>
        </w:tc>
        <w:tc>
          <w:tcPr>
            <w:tcW w:w="942" w:type="dxa"/>
            <w:tcBorders>
              <w:top w:val="single" w:color="000000" w:sz="4" w:space="0"/>
              <w:left w:val="single" w:color="000000" w:sz="4" w:space="0"/>
              <w:bottom w:val="single" w:color="000000" w:sz="4" w:space="0"/>
              <w:right w:val="single" w:color="000000" w:sz="4" w:space="0"/>
            </w:tcBorders>
            <w:noWrap w:val="0"/>
            <w:vAlign w:val="center"/>
          </w:tcPr>
          <w:p w14:paraId="0FF3B61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1884.92</w:t>
            </w:r>
          </w:p>
        </w:tc>
        <w:tc>
          <w:tcPr>
            <w:tcW w:w="1297" w:type="dxa"/>
            <w:tcBorders>
              <w:top w:val="single" w:color="000000" w:sz="4" w:space="0"/>
              <w:left w:val="single" w:color="000000" w:sz="4" w:space="0"/>
              <w:bottom w:val="single" w:color="000000" w:sz="4" w:space="0"/>
              <w:right w:val="single" w:color="000000" w:sz="4" w:space="0"/>
            </w:tcBorders>
            <w:noWrap w:val="0"/>
            <w:vAlign w:val="center"/>
          </w:tcPr>
          <w:p w14:paraId="783BFA1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1633.63</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30F3C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5C1F0E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868" w:type="dxa"/>
            <w:tcBorders>
              <w:top w:val="single" w:color="000000" w:sz="4" w:space="0"/>
              <w:left w:val="single" w:color="000000" w:sz="4" w:space="0"/>
              <w:bottom w:val="single" w:color="000000" w:sz="4" w:space="0"/>
              <w:right w:val="single" w:color="000000" w:sz="4" w:space="0"/>
            </w:tcBorders>
            <w:noWrap w:val="0"/>
            <w:vAlign w:val="center"/>
          </w:tcPr>
          <w:p w14:paraId="336920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r>
      <w:tr w14:paraId="3C4E3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9" w:hRule="atLeast"/>
          <w:jc w:val="center"/>
        </w:trPr>
        <w:tc>
          <w:tcPr>
            <w:tcW w:w="1725" w:type="dxa"/>
            <w:vMerge w:val="restart"/>
            <w:tcBorders>
              <w:top w:val="single" w:color="000000" w:sz="4" w:space="0"/>
              <w:left w:val="single" w:color="000000" w:sz="4" w:space="0"/>
              <w:bottom w:val="single" w:color="000000" w:sz="4" w:space="0"/>
              <w:right w:val="single" w:color="000000" w:sz="4" w:space="0"/>
            </w:tcBorders>
            <w:noWrap w:val="0"/>
            <w:vAlign w:val="center"/>
          </w:tcPr>
          <w:p w14:paraId="53C40DA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年度总体目标</w:t>
            </w:r>
          </w:p>
        </w:tc>
        <w:tc>
          <w:tcPr>
            <w:tcW w:w="3879" w:type="dxa"/>
            <w:gridSpan w:val="3"/>
            <w:tcBorders>
              <w:top w:val="single" w:color="000000" w:sz="4" w:space="0"/>
              <w:left w:val="single" w:color="000000" w:sz="4" w:space="0"/>
              <w:bottom w:val="single" w:color="000000" w:sz="4" w:space="0"/>
              <w:right w:val="single" w:color="000000" w:sz="4" w:space="0"/>
            </w:tcBorders>
            <w:noWrap/>
            <w:vAlign w:val="center"/>
          </w:tcPr>
          <w:p w14:paraId="6E69560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预期目标</w:t>
            </w:r>
          </w:p>
        </w:tc>
        <w:tc>
          <w:tcPr>
            <w:tcW w:w="3770" w:type="dxa"/>
            <w:gridSpan w:val="4"/>
            <w:tcBorders>
              <w:top w:val="single" w:color="000000" w:sz="4" w:space="0"/>
              <w:left w:val="single" w:color="000000" w:sz="4" w:space="0"/>
              <w:bottom w:val="single" w:color="000000" w:sz="4" w:space="0"/>
              <w:right w:val="single" w:color="000000" w:sz="4" w:space="0"/>
            </w:tcBorders>
            <w:noWrap/>
            <w:vAlign w:val="center"/>
          </w:tcPr>
          <w:p w14:paraId="3921E80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实际完成情况</w:t>
            </w:r>
          </w:p>
        </w:tc>
      </w:tr>
      <w:tr w14:paraId="3A14B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30" w:hRule="atLeast"/>
          <w:jc w:val="center"/>
        </w:trPr>
        <w:tc>
          <w:tcPr>
            <w:tcW w:w="172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F7B012">
            <w:pPr>
              <w:jc w:val="center"/>
              <w:rPr>
                <w:rFonts w:hint="eastAsia" w:ascii="宋体" w:hAnsi="宋体" w:eastAsia="宋体" w:cs="宋体"/>
                <w:b/>
                <w:bCs/>
                <w:i w:val="0"/>
                <w:iCs w:val="0"/>
                <w:color w:val="000000"/>
                <w:sz w:val="18"/>
                <w:szCs w:val="18"/>
                <w:u w:val="none"/>
              </w:rPr>
            </w:pPr>
          </w:p>
        </w:tc>
        <w:tc>
          <w:tcPr>
            <w:tcW w:w="3879" w:type="dxa"/>
            <w:gridSpan w:val="3"/>
            <w:tcBorders>
              <w:top w:val="single" w:color="000000" w:sz="4" w:space="0"/>
              <w:left w:val="single" w:color="000000" w:sz="4" w:space="0"/>
              <w:bottom w:val="single" w:color="000000" w:sz="4" w:space="0"/>
              <w:right w:val="single" w:color="000000" w:sz="4" w:space="0"/>
            </w:tcBorders>
            <w:noWrap w:val="0"/>
            <w:vAlign w:val="center"/>
          </w:tcPr>
          <w:p w14:paraId="1A1784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范城乡低保政策实施，使低保对象基本生活得到有效保障；解决残疾人特殊生活困难和长期护理困难等实际问题提高残疾人生活质量；加强公办养老机构规范化建设，使其符合养老机构服务安全基本规范等标准；加强和改进生活无着的流浪乞讨人员救助管理工作，切实保障其基本生活和人身安全；满足孤残儿童的照料、护理、康复、心理疏导需求，提高儿童的幸福感、获得感；通过政府购买服务方式对140个慈善组织、社会组织进行孵化，提供内部管理、专家咨询、资源链接、技能培训、项目策划、沟通交流、人才培养等多元化服务，提高孵化组织服务能力水平；支持殡葬服务设施建设、改造，提升殡葬服务能力。</w:t>
            </w:r>
          </w:p>
        </w:tc>
        <w:tc>
          <w:tcPr>
            <w:tcW w:w="3770" w:type="dxa"/>
            <w:gridSpan w:val="4"/>
            <w:tcBorders>
              <w:top w:val="single" w:color="000000" w:sz="4" w:space="0"/>
              <w:left w:val="single" w:color="000000" w:sz="4" w:space="0"/>
              <w:bottom w:val="single" w:color="000000" w:sz="4" w:space="0"/>
              <w:right w:val="single" w:color="000000" w:sz="4" w:space="0"/>
            </w:tcBorders>
            <w:noWrap w:val="0"/>
            <w:vAlign w:val="center"/>
          </w:tcPr>
          <w:p w14:paraId="051AEC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2025年度，通过实施城乡居民低保保障工作，规范城乡低保政策实施，合理确定保障标准，使低保对象基本生活得到有效保障。报请自治区人民政府同意，城乡低保标准在上年基础上分别提高了8.1%和8.8%，城乡最低生活保障标准分别为不低于770元/月、618元/月，进一步切实保障好了低保对象基本生活；通过解决南疆四个地州残疾人特殊生活和长期护理等困难，保障生存发展权益，提高生活质量；全区公办养老机构共147家参加等级评定，晋级130家，晋级率88.44%。县市养老机构70家，达标率85.71%，乡镇级77家，达标率80.52%，进一步加强了公办养老机构规范化建设，使其符合养老机构服务安全基本规范等标准；为生活无着流浪乞讨人员提供临时食宿、疾病救治、协助返回等救助工作，充分发挥救助管理机构“兜底线，救急难”的作用，全力救助生活无着的流浪乞讨等临时遇困人员；满足孤残儿童的照料、护理、康复、心理疏导需求提高儿童的幸福感、获得感，2025年未成年人救助保护工作站购买服务项目共开展活动2402场，开展个案社工2166个，开展小组社工1941个，直接服务未成年人121594人次；通过政府购买服务方式对146个慈善组织、社会组织进行孵化，提供内部管理、专家咨询、资源链接、技能培训、项目策划、沟通交流、人才培养等多元化服务，提高孵化组织服务能力水平；支持3家殡仪馆设施设备改造建设，有效提升殡葬服务能力。</w:t>
            </w:r>
          </w:p>
        </w:tc>
      </w:tr>
      <w:tr w14:paraId="4779A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1" w:hRule="atLeast"/>
          <w:jc w:val="center"/>
        </w:trPr>
        <w:tc>
          <w:tcPr>
            <w:tcW w:w="1725" w:type="dxa"/>
            <w:tcBorders>
              <w:top w:val="single" w:color="000000" w:sz="4" w:space="0"/>
              <w:left w:val="single" w:color="000000" w:sz="4" w:space="0"/>
              <w:bottom w:val="single" w:color="000000" w:sz="4" w:space="0"/>
              <w:right w:val="single" w:color="000000" w:sz="4" w:space="0"/>
            </w:tcBorders>
            <w:noWrap w:val="0"/>
            <w:vAlign w:val="center"/>
          </w:tcPr>
          <w:p w14:paraId="06EC476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一级指标</w:t>
            </w:r>
          </w:p>
        </w:tc>
        <w:tc>
          <w:tcPr>
            <w:tcW w:w="1395" w:type="dxa"/>
            <w:tcBorders>
              <w:top w:val="single" w:color="000000" w:sz="4" w:space="0"/>
              <w:left w:val="single" w:color="000000" w:sz="4" w:space="0"/>
              <w:bottom w:val="single" w:color="000000" w:sz="4" w:space="0"/>
              <w:right w:val="single" w:color="000000" w:sz="4" w:space="0"/>
            </w:tcBorders>
            <w:noWrap w:val="0"/>
            <w:vAlign w:val="center"/>
          </w:tcPr>
          <w:p w14:paraId="74F9E0F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二级指标</w:t>
            </w:r>
          </w:p>
        </w:tc>
        <w:tc>
          <w:tcPr>
            <w:tcW w:w="1542" w:type="dxa"/>
            <w:tcBorders>
              <w:top w:val="single" w:color="000000" w:sz="4" w:space="0"/>
              <w:left w:val="single" w:color="000000" w:sz="4" w:space="0"/>
              <w:bottom w:val="single" w:color="000000" w:sz="4" w:space="0"/>
              <w:right w:val="single" w:color="000000" w:sz="4" w:space="0"/>
            </w:tcBorders>
            <w:noWrap w:val="0"/>
            <w:vAlign w:val="center"/>
          </w:tcPr>
          <w:p w14:paraId="6B1C8E2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三级指标</w:t>
            </w:r>
          </w:p>
        </w:tc>
        <w:tc>
          <w:tcPr>
            <w:tcW w:w="942" w:type="dxa"/>
            <w:tcBorders>
              <w:top w:val="single" w:color="000000" w:sz="4" w:space="0"/>
              <w:left w:val="single" w:color="000000" w:sz="4" w:space="0"/>
              <w:bottom w:val="single" w:color="000000" w:sz="4" w:space="0"/>
              <w:right w:val="single" w:color="000000" w:sz="4" w:space="0"/>
            </w:tcBorders>
            <w:noWrap w:val="0"/>
            <w:vAlign w:val="center"/>
          </w:tcPr>
          <w:p w14:paraId="0FD9613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预期指标值</w:t>
            </w:r>
          </w:p>
        </w:tc>
        <w:tc>
          <w:tcPr>
            <w:tcW w:w="1297" w:type="dxa"/>
            <w:tcBorders>
              <w:top w:val="single" w:color="000000" w:sz="4" w:space="0"/>
              <w:left w:val="single" w:color="000000" w:sz="4" w:space="0"/>
              <w:bottom w:val="single" w:color="000000" w:sz="4" w:space="0"/>
              <w:right w:val="single" w:color="000000" w:sz="4" w:space="0"/>
            </w:tcBorders>
            <w:noWrap w:val="0"/>
            <w:vAlign w:val="center"/>
          </w:tcPr>
          <w:p w14:paraId="6B700CA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指标值设定依据</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C69FDE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分值权重</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29FDBC6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实际完成指标值</w:t>
            </w:r>
          </w:p>
        </w:tc>
        <w:tc>
          <w:tcPr>
            <w:tcW w:w="868" w:type="dxa"/>
            <w:tcBorders>
              <w:top w:val="single" w:color="000000" w:sz="4" w:space="0"/>
              <w:left w:val="single" w:color="000000" w:sz="4" w:space="0"/>
              <w:bottom w:val="single" w:color="000000" w:sz="4" w:space="0"/>
              <w:right w:val="single" w:color="000000" w:sz="4" w:space="0"/>
            </w:tcBorders>
            <w:noWrap w:val="0"/>
            <w:vAlign w:val="center"/>
          </w:tcPr>
          <w:p w14:paraId="50787EC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得分</w:t>
            </w:r>
          </w:p>
        </w:tc>
      </w:tr>
      <w:tr w14:paraId="7591F2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4" w:hRule="atLeast"/>
          <w:jc w:val="center"/>
        </w:trPr>
        <w:tc>
          <w:tcPr>
            <w:tcW w:w="1725" w:type="dxa"/>
            <w:vMerge w:val="restart"/>
            <w:tcBorders>
              <w:top w:val="single" w:color="000000" w:sz="4" w:space="0"/>
              <w:left w:val="single" w:color="000000" w:sz="4" w:space="0"/>
              <w:bottom w:val="single" w:color="000000" w:sz="4" w:space="0"/>
              <w:right w:val="single" w:color="000000" w:sz="4" w:space="0"/>
            </w:tcBorders>
            <w:noWrap w:val="0"/>
            <w:vAlign w:val="center"/>
          </w:tcPr>
          <w:p w14:paraId="78F5F1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履职效能</w:t>
            </w:r>
          </w:p>
        </w:tc>
        <w:tc>
          <w:tcPr>
            <w:tcW w:w="1395" w:type="dxa"/>
            <w:vMerge w:val="restart"/>
            <w:tcBorders>
              <w:top w:val="single" w:color="000000" w:sz="4" w:space="0"/>
              <w:left w:val="single" w:color="000000" w:sz="4" w:space="0"/>
              <w:bottom w:val="single" w:color="000000" w:sz="4" w:space="0"/>
              <w:right w:val="single" w:color="000000" w:sz="4" w:space="0"/>
            </w:tcBorders>
            <w:noWrap w:val="0"/>
            <w:vAlign w:val="center"/>
          </w:tcPr>
          <w:p w14:paraId="6D8C6A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1542" w:type="dxa"/>
            <w:tcBorders>
              <w:top w:val="single" w:color="000000" w:sz="4" w:space="0"/>
              <w:left w:val="single" w:color="000000" w:sz="4" w:space="0"/>
              <w:bottom w:val="single" w:color="000000" w:sz="4" w:space="0"/>
              <w:right w:val="single" w:color="000000" w:sz="4" w:space="0"/>
            </w:tcBorders>
            <w:noWrap w:val="0"/>
            <w:vAlign w:val="center"/>
          </w:tcPr>
          <w:p w14:paraId="4B8F2B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城乡居民低保保障率</w:t>
            </w:r>
          </w:p>
        </w:tc>
        <w:tc>
          <w:tcPr>
            <w:tcW w:w="942" w:type="dxa"/>
            <w:tcBorders>
              <w:top w:val="single" w:color="000000" w:sz="4" w:space="0"/>
              <w:left w:val="single" w:color="000000" w:sz="4" w:space="0"/>
              <w:bottom w:val="single" w:color="000000" w:sz="4" w:space="0"/>
              <w:right w:val="single" w:color="000000" w:sz="4" w:space="0"/>
            </w:tcBorders>
            <w:noWrap w:val="0"/>
            <w:vAlign w:val="center"/>
          </w:tcPr>
          <w:p w14:paraId="63FF9B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应保尽保</w:t>
            </w:r>
          </w:p>
        </w:tc>
        <w:tc>
          <w:tcPr>
            <w:tcW w:w="1297" w:type="dxa"/>
            <w:tcBorders>
              <w:top w:val="single" w:color="000000" w:sz="4" w:space="0"/>
              <w:left w:val="single" w:color="000000" w:sz="4" w:space="0"/>
              <w:bottom w:val="single" w:color="000000" w:sz="4" w:space="0"/>
              <w:right w:val="single" w:color="000000" w:sz="4" w:space="0"/>
            </w:tcBorders>
            <w:noWrap w:val="0"/>
            <w:vAlign w:val="center"/>
          </w:tcPr>
          <w:p w14:paraId="673A1C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新疆维吾尔自治区民政事业发展“十四五”规划</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24576C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6BF082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应保尽保</w:t>
            </w:r>
          </w:p>
        </w:tc>
        <w:tc>
          <w:tcPr>
            <w:tcW w:w="868" w:type="dxa"/>
            <w:tcBorders>
              <w:top w:val="single" w:color="000000" w:sz="4" w:space="0"/>
              <w:left w:val="single" w:color="000000" w:sz="4" w:space="0"/>
              <w:bottom w:val="single" w:color="000000" w:sz="4" w:space="0"/>
              <w:right w:val="single" w:color="000000" w:sz="4" w:space="0"/>
            </w:tcBorders>
            <w:noWrap w:val="0"/>
            <w:vAlign w:val="center"/>
          </w:tcPr>
          <w:p w14:paraId="7C8C6B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r>
      <w:tr w14:paraId="3C3D3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jc w:val="center"/>
        </w:trPr>
        <w:tc>
          <w:tcPr>
            <w:tcW w:w="172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B98E1A">
            <w:pPr>
              <w:jc w:val="center"/>
              <w:rPr>
                <w:rFonts w:hint="eastAsia" w:ascii="宋体" w:hAnsi="宋体" w:eastAsia="宋体" w:cs="宋体"/>
                <w:i w:val="0"/>
                <w:iCs w:val="0"/>
                <w:color w:val="000000"/>
                <w:sz w:val="18"/>
                <w:szCs w:val="18"/>
                <w:u w:val="none"/>
              </w:rPr>
            </w:pPr>
          </w:p>
        </w:tc>
        <w:tc>
          <w:tcPr>
            <w:tcW w:w="139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850B17">
            <w:pPr>
              <w:jc w:val="center"/>
              <w:rPr>
                <w:rFonts w:hint="eastAsia" w:ascii="宋体" w:hAnsi="宋体" w:eastAsia="宋体" w:cs="宋体"/>
                <w:i w:val="0"/>
                <w:iCs w:val="0"/>
                <w:color w:val="000000"/>
                <w:sz w:val="18"/>
                <w:szCs w:val="18"/>
                <w:u w:val="none"/>
              </w:rPr>
            </w:pPr>
          </w:p>
        </w:tc>
        <w:tc>
          <w:tcPr>
            <w:tcW w:w="1542" w:type="dxa"/>
            <w:tcBorders>
              <w:top w:val="single" w:color="000000" w:sz="4" w:space="0"/>
              <w:left w:val="single" w:color="000000" w:sz="4" w:space="0"/>
              <w:bottom w:val="single" w:color="000000" w:sz="4" w:space="0"/>
              <w:right w:val="single" w:color="000000" w:sz="4" w:space="0"/>
            </w:tcBorders>
            <w:noWrap w:val="0"/>
            <w:vAlign w:val="center"/>
          </w:tcPr>
          <w:p w14:paraId="15D569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惠及困难残疾人生活和重度残疾人护理补贴人群覆盖率</w:t>
            </w:r>
          </w:p>
        </w:tc>
        <w:tc>
          <w:tcPr>
            <w:tcW w:w="942" w:type="dxa"/>
            <w:tcBorders>
              <w:top w:val="single" w:color="000000" w:sz="4" w:space="0"/>
              <w:left w:val="single" w:color="000000" w:sz="4" w:space="0"/>
              <w:bottom w:val="single" w:color="000000" w:sz="4" w:space="0"/>
              <w:right w:val="single" w:color="000000" w:sz="4" w:space="0"/>
            </w:tcBorders>
            <w:noWrap w:val="0"/>
            <w:vAlign w:val="center"/>
          </w:tcPr>
          <w:p w14:paraId="39607F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&gt;=98%</w:t>
            </w:r>
          </w:p>
        </w:tc>
        <w:tc>
          <w:tcPr>
            <w:tcW w:w="1297" w:type="dxa"/>
            <w:tcBorders>
              <w:top w:val="single" w:color="000000" w:sz="4" w:space="0"/>
              <w:left w:val="single" w:color="000000" w:sz="4" w:space="0"/>
              <w:bottom w:val="single" w:color="000000" w:sz="4" w:space="0"/>
              <w:right w:val="single" w:color="000000" w:sz="4" w:space="0"/>
            </w:tcBorders>
            <w:noWrap w:val="0"/>
            <w:vAlign w:val="center"/>
          </w:tcPr>
          <w:p w14:paraId="67C111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新疆维吾尔自治区民政事业发展“十四五”规划</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65D2D7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621C5F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868" w:type="dxa"/>
            <w:tcBorders>
              <w:top w:val="single" w:color="000000" w:sz="4" w:space="0"/>
              <w:left w:val="single" w:color="000000" w:sz="4" w:space="0"/>
              <w:bottom w:val="single" w:color="000000" w:sz="4" w:space="0"/>
              <w:right w:val="single" w:color="000000" w:sz="4" w:space="0"/>
            </w:tcBorders>
            <w:noWrap w:val="0"/>
            <w:vAlign w:val="center"/>
          </w:tcPr>
          <w:p w14:paraId="014E0B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r>
      <w:tr w14:paraId="7B838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4" w:hRule="atLeast"/>
          <w:jc w:val="center"/>
        </w:trPr>
        <w:tc>
          <w:tcPr>
            <w:tcW w:w="172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46C956">
            <w:pPr>
              <w:jc w:val="center"/>
              <w:rPr>
                <w:rFonts w:hint="eastAsia" w:ascii="宋体" w:hAnsi="宋体" w:eastAsia="宋体" w:cs="宋体"/>
                <w:i w:val="0"/>
                <w:iCs w:val="0"/>
                <w:color w:val="000000"/>
                <w:sz w:val="18"/>
                <w:szCs w:val="18"/>
                <w:u w:val="none"/>
              </w:rPr>
            </w:pPr>
          </w:p>
        </w:tc>
        <w:tc>
          <w:tcPr>
            <w:tcW w:w="139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D3AFE2">
            <w:pPr>
              <w:jc w:val="center"/>
              <w:rPr>
                <w:rFonts w:hint="eastAsia" w:ascii="宋体" w:hAnsi="宋体" w:eastAsia="宋体" w:cs="宋体"/>
                <w:i w:val="0"/>
                <w:iCs w:val="0"/>
                <w:color w:val="000000"/>
                <w:sz w:val="18"/>
                <w:szCs w:val="18"/>
                <w:u w:val="none"/>
              </w:rPr>
            </w:pPr>
          </w:p>
        </w:tc>
        <w:tc>
          <w:tcPr>
            <w:tcW w:w="1542" w:type="dxa"/>
            <w:tcBorders>
              <w:top w:val="single" w:color="000000" w:sz="4" w:space="0"/>
              <w:left w:val="single" w:color="000000" w:sz="4" w:space="0"/>
              <w:bottom w:val="single" w:color="000000" w:sz="4" w:space="0"/>
              <w:right w:val="single" w:color="000000" w:sz="4" w:space="0"/>
            </w:tcBorders>
            <w:noWrap w:val="0"/>
            <w:vAlign w:val="center"/>
          </w:tcPr>
          <w:p w14:paraId="7E72E5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评定为一级至二级服务等级的乡镇级公办养老机构建有率</w:t>
            </w:r>
          </w:p>
        </w:tc>
        <w:tc>
          <w:tcPr>
            <w:tcW w:w="942" w:type="dxa"/>
            <w:tcBorders>
              <w:top w:val="single" w:color="000000" w:sz="4" w:space="0"/>
              <w:left w:val="single" w:color="000000" w:sz="4" w:space="0"/>
              <w:bottom w:val="single" w:color="000000" w:sz="4" w:space="0"/>
              <w:right w:val="single" w:color="000000" w:sz="4" w:space="0"/>
            </w:tcBorders>
            <w:noWrap w:val="0"/>
            <w:vAlign w:val="center"/>
          </w:tcPr>
          <w:p w14:paraId="383F20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&gt;=80%</w:t>
            </w:r>
          </w:p>
        </w:tc>
        <w:tc>
          <w:tcPr>
            <w:tcW w:w="1297" w:type="dxa"/>
            <w:tcBorders>
              <w:top w:val="single" w:color="000000" w:sz="4" w:space="0"/>
              <w:left w:val="single" w:color="000000" w:sz="4" w:space="0"/>
              <w:bottom w:val="single" w:color="000000" w:sz="4" w:space="0"/>
              <w:right w:val="single" w:color="000000" w:sz="4" w:space="0"/>
            </w:tcBorders>
            <w:noWrap w:val="0"/>
            <w:vAlign w:val="center"/>
          </w:tcPr>
          <w:p w14:paraId="22BA6C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关于加快推进基本养老服务体系建设的实施方案</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6CF7D2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525A92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80.52%</w:t>
            </w:r>
          </w:p>
        </w:tc>
        <w:tc>
          <w:tcPr>
            <w:tcW w:w="868" w:type="dxa"/>
            <w:tcBorders>
              <w:top w:val="single" w:color="000000" w:sz="4" w:space="0"/>
              <w:left w:val="single" w:color="000000" w:sz="4" w:space="0"/>
              <w:bottom w:val="single" w:color="000000" w:sz="4" w:space="0"/>
              <w:right w:val="single" w:color="000000" w:sz="4" w:space="0"/>
            </w:tcBorders>
            <w:noWrap w:val="0"/>
            <w:vAlign w:val="center"/>
          </w:tcPr>
          <w:p w14:paraId="6F07E0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14:paraId="62491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4" w:hRule="atLeast"/>
          <w:jc w:val="center"/>
        </w:trPr>
        <w:tc>
          <w:tcPr>
            <w:tcW w:w="172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21FCC6">
            <w:pPr>
              <w:jc w:val="center"/>
              <w:rPr>
                <w:rFonts w:hint="eastAsia" w:ascii="宋体" w:hAnsi="宋体" w:eastAsia="宋体" w:cs="宋体"/>
                <w:i w:val="0"/>
                <w:iCs w:val="0"/>
                <w:color w:val="000000"/>
                <w:sz w:val="18"/>
                <w:szCs w:val="18"/>
                <w:u w:val="none"/>
              </w:rPr>
            </w:pPr>
          </w:p>
        </w:tc>
        <w:tc>
          <w:tcPr>
            <w:tcW w:w="139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9EE6A7">
            <w:pPr>
              <w:jc w:val="center"/>
              <w:rPr>
                <w:rFonts w:hint="eastAsia" w:ascii="宋体" w:hAnsi="宋体" w:eastAsia="宋体" w:cs="宋体"/>
                <w:i w:val="0"/>
                <w:iCs w:val="0"/>
                <w:color w:val="000000"/>
                <w:sz w:val="18"/>
                <w:szCs w:val="18"/>
                <w:u w:val="none"/>
              </w:rPr>
            </w:pPr>
          </w:p>
        </w:tc>
        <w:tc>
          <w:tcPr>
            <w:tcW w:w="1542" w:type="dxa"/>
            <w:tcBorders>
              <w:top w:val="single" w:color="000000" w:sz="4" w:space="0"/>
              <w:left w:val="single" w:color="000000" w:sz="4" w:space="0"/>
              <w:bottom w:val="single" w:color="000000" w:sz="4" w:space="0"/>
              <w:right w:val="single" w:color="000000" w:sz="4" w:space="0"/>
            </w:tcBorders>
            <w:noWrap w:val="0"/>
            <w:vAlign w:val="center"/>
          </w:tcPr>
          <w:p w14:paraId="065F79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评定为二级至三级服务等级的县级公办养老机构建有率</w:t>
            </w:r>
          </w:p>
        </w:tc>
        <w:tc>
          <w:tcPr>
            <w:tcW w:w="942" w:type="dxa"/>
            <w:tcBorders>
              <w:top w:val="single" w:color="000000" w:sz="4" w:space="0"/>
              <w:left w:val="single" w:color="000000" w:sz="4" w:space="0"/>
              <w:bottom w:val="single" w:color="000000" w:sz="4" w:space="0"/>
              <w:right w:val="single" w:color="000000" w:sz="4" w:space="0"/>
            </w:tcBorders>
            <w:noWrap w:val="0"/>
            <w:vAlign w:val="center"/>
          </w:tcPr>
          <w:p w14:paraId="3E59AB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&gt;=80%</w:t>
            </w:r>
          </w:p>
        </w:tc>
        <w:tc>
          <w:tcPr>
            <w:tcW w:w="1297" w:type="dxa"/>
            <w:tcBorders>
              <w:top w:val="single" w:color="000000" w:sz="4" w:space="0"/>
              <w:left w:val="single" w:color="000000" w:sz="4" w:space="0"/>
              <w:bottom w:val="single" w:color="000000" w:sz="4" w:space="0"/>
              <w:right w:val="single" w:color="000000" w:sz="4" w:space="0"/>
            </w:tcBorders>
            <w:noWrap w:val="0"/>
            <w:vAlign w:val="center"/>
          </w:tcPr>
          <w:p w14:paraId="7499A8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关于加快推进基本养老服务体系建设的实施方案</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66ED77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74254B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85.71%</w:t>
            </w:r>
          </w:p>
        </w:tc>
        <w:tc>
          <w:tcPr>
            <w:tcW w:w="868" w:type="dxa"/>
            <w:tcBorders>
              <w:top w:val="single" w:color="000000" w:sz="4" w:space="0"/>
              <w:left w:val="single" w:color="000000" w:sz="4" w:space="0"/>
              <w:bottom w:val="single" w:color="000000" w:sz="4" w:space="0"/>
              <w:right w:val="single" w:color="000000" w:sz="4" w:space="0"/>
            </w:tcBorders>
            <w:noWrap w:val="0"/>
            <w:vAlign w:val="center"/>
          </w:tcPr>
          <w:p w14:paraId="0D0E70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14:paraId="0225A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4" w:hRule="atLeast"/>
          <w:jc w:val="center"/>
        </w:trPr>
        <w:tc>
          <w:tcPr>
            <w:tcW w:w="172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BD596D">
            <w:pPr>
              <w:jc w:val="center"/>
              <w:rPr>
                <w:rFonts w:hint="eastAsia" w:ascii="宋体" w:hAnsi="宋体" w:eastAsia="宋体" w:cs="宋体"/>
                <w:i w:val="0"/>
                <w:iCs w:val="0"/>
                <w:color w:val="000000"/>
                <w:sz w:val="18"/>
                <w:szCs w:val="18"/>
                <w:u w:val="none"/>
              </w:rPr>
            </w:pPr>
          </w:p>
        </w:tc>
        <w:tc>
          <w:tcPr>
            <w:tcW w:w="139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671B39">
            <w:pPr>
              <w:jc w:val="center"/>
              <w:rPr>
                <w:rFonts w:hint="eastAsia" w:ascii="宋体" w:hAnsi="宋体" w:eastAsia="宋体" w:cs="宋体"/>
                <w:i w:val="0"/>
                <w:iCs w:val="0"/>
                <w:color w:val="000000"/>
                <w:sz w:val="18"/>
                <w:szCs w:val="18"/>
                <w:u w:val="none"/>
              </w:rPr>
            </w:pPr>
          </w:p>
        </w:tc>
        <w:tc>
          <w:tcPr>
            <w:tcW w:w="1542" w:type="dxa"/>
            <w:tcBorders>
              <w:top w:val="single" w:color="000000" w:sz="4" w:space="0"/>
              <w:left w:val="single" w:color="000000" w:sz="4" w:space="0"/>
              <w:bottom w:val="single" w:color="000000" w:sz="4" w:space="0"/>
              <w:right w:val="single" w:color="000000" w:sz="4" w:space="0"/>
            </w:tcBorders>
            <w:noWrap w:val="0"/>
            <w:vAlign w:val="center"/>
          </w:tcPr>
          <w:p w14:paraId="1178BA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流浪乞讨人员救助率</w:t>
            </w:r>
          </w:p>
        </w:tc>
        <w:tc>
          <w:tcPr>
            <w:tcW w:w="942" w:type="dxa"/>
            <w:tcBorders>
              <w:top w:val="single" w:color="000000" w:sz="4" w:space="0"/>
              <w:left w:val="single" w:color="000000" w:sz="4" w:space="0"/>
              <w:bottom w:val="single" w:color="000000" w:sz="4" w:space="0"/>
              <w:right w:val="single" w:color="000000" w:sz="4" w:space="0"/>
            </w:tcBorders>
            <w:noWrap w:val="0"/>
            <w:vAlign w:val="center"/>
          </w:tcPr>
          <w:p w14:paraId="6F3E50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&gt;=95%</w:t>
            </w:r>
          </w:p>
        </w:tc>
        <w:tc>
          <w:tcPr>
            <w:tcW w:w="1297" w:type="dxa"/>
            <w:tcBorders>
              <w:top w:val="single" w:color="000000" w:sz="4" w:space="0"/>
              <w:left w:val="single" w:color="000000" w:sz="4" w:space="0"/>
              <w:bottom w:val="single" w:color="000000" w:sz="4" w:space="0"/>
              <w:right w:val="single" w:color="000000" w:sz="4" w:space="0"/>
            </w:tcBorders>
            <w:noWrap w:val="0"/>
            <w:vAlign w:val="center"/>
          </w:tcPr>
          <w:p w14:paraId="1BAD3C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新疆维吾尔自治区民政事业发展“十四五”规划</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726AAE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1B853E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868" w:type="dxa"/>
            <w:tcBorders>
              <w:top w:val="single" w:color="000000" w:sz="4" w:space="0"/>
              <w:left w:val="single" w:color="000000" w:sz="4" w:space="0"/>
              <w:bottom w:val="single" w:color="000000" w:sz="4" w:space="0"/>
              <w:right w:val="single" w:color="000000" w:sz="4" w:space="0"/>
            </w:tcBorders>
            <w:noWrap w:val="0"/>
            <w:vAlign w:val="center"/>
          </w:tcPr>
          <w:p w14:paraId="1CBD2C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14:paraId="3EEB7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4" w:hRule="atLeast"/>
          <w:jc w:val="center"/>
        </w:trPr>
        <w:tc>
          <w:tcPr>
            <w:tcW w:w="172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FE8A4F">
            <w:pPr>
              <w:jc w:val="center"/>
              <w:rPr>
                <w:rFonts w:hint="eastAsia" w:ascii="宋体" w:hAnsi="宋体" w:eastAsia="宋体" w:cs="宋体"/>
                <w:i w:val="0"/>
                <w:iCs w:val="0"/>
                <w:color w:val="000000"/>
                <w:sz w:val="18"/>
                <w:szCs w:val="18"/>
                <w:u w:val="none"/>
              </w:rPr>
            </w:pPr>
          </w:p>
        </w:tc>
        <w:tc>
          <w:tcPr>
            <w:tcW w:w="139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9CDF63">
            <w:pPr>
              <w:jc w:val="center"/>
              <w:rPr>
                <w:rFonts w:hint="eastAsia" w:ascii="宋体" w:hAnsi="宋体" w:eastAsia="宋体" w:cs="宋体"/>
                <w:i w:val="0"/>
                <w:iCs w:val="0"/>
                <w:color w:val="000000"/>
                <w:sz w:val="18"/>
                <w:szCs w:val="18"/>
                <w:u w:val="none"/>
              </w:rPr>
            </w:pPr>
          </w:p>
        </w:tc>
        <w:tc>
          <w:tcPr>
            <w:tcW w:w="1542" w:type="dxa"/>
            <w:tcBorders>
              <w:top w:val="single" w:color="000000" w:sz="4" w:space="0"/>
              <w:left w:val="single" w:color="000000" w:sz="4" w:space="0"/>
              <w:bottom w:val="single" w:color="000000" w:sz="4" w:space="0"/>
              <w:right w:val="single" w:color="000000" w:sz="4" w:space="0"/>
            </w:tcBorders>
            <w:noWrap w:val="0"/>
            <w:vAlign w:val="center"/>
          </w:tcPr>
          <w:p w14:paraId="1B772C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未成年人救助保护工作站购买服务项目覆盖乡镇（街道）数量</w:t>
            </w:r>
          </w:p>
        </w:tc>
        <w:tc>
          <w:tcPr>
            <w:tcW w:w="942" w:type="dxa"/>
            <w:tcBorders>
              <w:top w:val="single" w:color="000000" w:sz="4" w:space="0"/>
              <w:left w:val="single" w:color="000000" w:sz="4" w:space="0"/>
              <w:bottom w:val="single" w:color="000000" w:sz="4" w:space="0"/>
              <w:right w:val="single" w:color="000000" w:sz="4" w:space="0"/>
            </w:tcBorders>
            <w:noWrap w:val="0"/>
            <w:vAlign w:val="center"/>
          </w:tcPr>
          <w:p w14:paraId="539447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&gt;=113个</w:t>
            </w:r>
          </w:p>
        </w:tc>
        <w:tc>
          <w:tcPr>
            <w:tcW w:w="1297" w:type="dxa"/>
            <w:tcBorders>
              <w:top w:val="single" w:color="000000" w:sz="4" w:space="0"/>
              <w:left w:val="single" w:color="000000" w:sz="4" w:space="0"/>
              <w:bottom w:val="single" w:color="000000" w:sz="4" w:space="0"/>
              <w:right w:val="single" w:color="000000" w:sz="4" w:space="0"/>
            </w:tcBorders>
            <w:noWrap w:val="0"/>
            <w:vAlign w:val="center"/>
          </w:tcPr>
          <w:p w14:paraId="11F892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新疆维吾尔自治区民政事业发展“十四五”规划</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E0F3D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026C00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114个</w:t>
            </w:r>
          </w:p>
        </w:tc>
        <w:tc>
          <w:tcPr>
            <w:tcW w:w="868" w:type="dxa"/>
            <w:tcBorders>
              <w:top w:val="single" w:color="000000" w:sz="4" w:space="0"/>
              <w:left w:val="single" w:color="000000" w:sz="4" w:space="0"/>
              <w:bottom w:val="single" w:color="000000" w:sz="4" w:space="0"/>
              <w:right w:val="single" w:color="000000" w:sz="4" w:space="0"/>
            </w:tcBorders>
            <w:noWrap w:val="0"/>
            <w:vAlign w:val="center"/>
          </w:tcPr>
          <w:p w14:paraId="6AF90D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14:paraId="58CCE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9" w:hRule="atLeast"/>
          <w:jc w:val="center"/>
        </w:trPr>
        <w:tc>
          <w:tcPr>
            <w:tcW w:w="172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A5873E">
            <w:pPr>
              <w:jc w:val="center"/>
              <w:rPr>
                <w:rFonts w:hint="eastAsia" w:ascii="宋体" w:hAnsi="宋体" w:eastAsia="宋体" w:cs="宋体"/>
                <w:i w:val="0"/>
                <w:iCs w:val="0"/>
                <w:color w:val="000000"/>
                <w:sz w:val="18"/>
                <w:szCs w:val="18"/>
                <w:u w:val="none"/>
              </w:rPr>
            </w:pPr>
          </w:p>
        </w:tc>
        <w:tc>
          <w:tcPr>
            <w:tcW w:w="139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2675E0">
            <w:pPr>
              <w:jc w:val="center"/>
              <w:rPr>
                <w:rFonts w:hint="eastAsia" w:ascii="宋体" w:hAnsi="宋体" w:eastAsia="宋体" w:cs="宋体"/>
                <w:i w:val="0"/>
                <w:iCs w:val="0"/>
                <w:color w:val="000000"/>
                <w:sz w:val="18"/>
                <w:szCs w:val="18"/>
                <w:u w:val="none"/>
              </w:rPr>
            </w:pPr>
          </w:p>
        </w:tc>
        <w:tc>
          <w:tcPr>
            <w:tcW w:w="1542" w:type="dxa"/>
            <w:tcBorders>
              <w:top w:val="single" w:color="000000" w:sz="4" w:space="0"/>
              <w:left w:val="single" w:color="000000" w:sz="4" w:space="0"/>
              <w:bottom w:val="single" w:color="000000" w:sz="4" w:space="0"/>
              <w:right w:val="single" w:color="000000" w:sz="4" w:space="0"/>
            </w:tcBorders>
            <w:noWrap w:val="0"/>
            <w:vAlign w:val="center"/>
          </w:tcPr>
          <w:p w14:paraId="7FC684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慈善组织、社会组织孵化数</w:t>
            </w:r>
          </w:p>
        </w:tc>
        <w:tc>
          <w:tcPr>
            <w:tcW w:w="942" w:type="dxa"/>
            <w:tcBorders>
              <w:top w:val="single" w:color="000000" w:sz="4" w:space="0"/>
              <w:left w:val="single" w:color="000000" w:sz="4" w:space="0"/>
              <w:bottom w:val="single" w:color="000000" w:sz="4" w:space="0"/>
              <w:right w:val="single" w:color="000000" w:sz="4" w:space="0"/>
            </w:tcBorders>
            <w:noWrap w:val="0"/>
            <w:vAlign w:val="center"/>
          </w:tcPr>
          <w:p w14:paraId="098F9D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&gt;=140个</w:t>
            </w:r>
          </w:p>
        </w:tc>
        <w:tc>
          <w:tcPr>
            <w:tcW w:w="1297" w:type="dxa"/>
            <w:tcBorders>
              <w:top w:val="single" w:color="000000" w:sz="4" w:space="0"/>
              <w:left w:val="single" w:color="000000" w:sz="4" w:space="0"/>
              <w:bottom w:val="single" w:color="000000" w:sz="4" w:space="0"/>
              <w:right w:val="single" w:color="000000" w:sz="4" w:space="0"/>
            </w:tcBorders>
            <w:noWrap w:val="0"/>
            <w:vAlign w:val="center"/>
          </w:tcPr>
          <w:p w14:paraId="3910D6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新疆维吾尔自治区民政事业发展“十四五”规划</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25B470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78C131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146个</w:t>
            </w:r>
          </w:p>
        </w:tc>
        <w:tc>
          <w:tcPr>
            <w:tcW w:w="868" w:type="dxa"/>
            <w:tcBorders>
              <w:top w:val="single" w:color="000000" w:sz="4" w:space="0"/>
              <w:left w:val="single" w:color="000000" w:sz="4" w:space="0"/>
              <w:bottom w:val="single" w:color="000000" w:sz="4" w:space="0"/>
              <w:right w:val="single" w:color="000000" w:sz="4" w:space="0"/>
            </w:tcBorders>
            <w:noWrap w:val="0"/>
            <w:vAlign w:val="center"/>
          </w:tcPr>
          <w:p w14:paraId="51D8B0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r>
      <w:tr w14:paraId="55894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jc w:val="center"/>
        </w:trPr>
        <w:tc>
          <w:tcPr>
            <w:tcW w:w="172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63FF59">
            <w:pPr>
              <w:jc w:val="center"/>
              <w:rPr>
                <w:rFonts w:hint="eastAsia" w:ascii="宋体" w:hAnsi="宋体" w:eastAsia="宋体" w:cs="宋体"/>
                <w:i w:val="0"/>
                <w:iCs w:val="0"/>
                <w:color w:val="000000"/>
                <w:sz w:val="18"/>
                <w:szCs w:val="18"/>
                <w:u w:val="none"/>
              </w:rPr>
            </w:pPr>
          </w:p>
        </w:tc>
        <w:tc>
          <w:tcPr>
            <w:tcW w:w="139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03255A">
            <w:pPr>
              <w:jc w:val="center"/>
              <w:rPr>
                <w:rFonts w:hint="eastAsia" w:ascii="宋体" w:hAnsi="宋体" w:eastAsia="宋体" w:cs="宋体"/>
                <w:i w:val="0"/>
                <w:iCs w:val="0"/>
                <w:color w:val="000000"/>
                <w:sz w:val="18"/>
                <w:szCs w:val="18"/>
                <w:u w:val="none"/>
              </w:rPr>
            </w:pPr>
          </w:p>
        </w:tc>
        <w:tc>
          <w:tcPr>
            <w:tcW w:w="1542" w:type="dxa"/>
            <w:tcBorders>
              <w:top w:val="single" w:color="000000" w:sz="4" w:space="0"/>
              <w:left w:val="single" w:color="000000" w:sz="4" w:space="0"/>
              <w:bottom w:val="single" w:color="000000" w:sz="4" w:space="0"/>
              <w:right w:val="single" w:color="000000" w:sz="4" w:space="0"/>
            </w:tcBorders>
            <w:noWrap w:val="0"/>
            <w:vAlign w:val="center"/>
          </w:tcPr>
          <w:p w14:paraId="05012E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改造提升殡仪馆数量</w:t>
            </w:r>
          </w:p>
        </w:tc>
        <w:tc>
          <w:tcPr>
            <w:tcW w:w="942" w:type="dxa"/>
            <w:tcBorders>
              <w:top w:val="single" w:color="000000" w:sz="4" w:space="0"/>
              <w:left w:val="single" w:color="000000" w:sz="4" w:space="0"/>
              <w:bottom w:val="single" w:color="000000" w:sz="4" w:space="0"/>
              <w:right w:val="single" w:color="000000" w:sz="4" w:space="0"/>
            </w:tcBorders>
            <w:noWrap w:val="0"/>
            <w:vAlign w:val="center"/>
          </w:tcPr>
          <w:p w14:paraId="3A2157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&gt;=3个</w:t>
            </w:r>
          </w:p>
        </w:tc>
        <w:tc>
          <w:tcPr>
            <w:tcW w:w="1297" w:type="dxa"/>
            <w:tcBorders>
              <w:top w:val="single" w:color="000000" w:sz="4" w:space="0"/>
              <w:left w:val="single" w:color="000000" w:sz="4" w:space="0"/>
              <w:bottom w:val="single" w:color="000000" w:sz="4" w:space="0"/>
              <w:right w:val="single" w:color="000000" w:sz="4" w:space="0"/>
            </w:tcBorders>
            <w:noWrap w:val="0"/>
            <w:vAlign w:val="center"/>
          </w:tcPr>
          <w:p w14:paraId="758214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新疆维吾尔自治区民政事业发展“十四五”规划</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774E2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02A72E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3个</w:t>
            </w:r>
          </w:p>
        </w:tc>
        <w:tc>
          <w:tcPr>
            <w:tcW w:w="868" w:type="dxa"/>
            <w:tcBorders>
              <w:top w:val="single" w:color="000000" w:sz="4" w:space="0"/>
              <w:left w:val="single" w:color="000000" w:sz="4" w:space="0"/>
              <w:bottom w:val="single" w:color="000000" w:sz="4" w:space="0"/>
              <w:right w:val="single" w:color="000000" w:sz="4" w:space="0"/>
            </w:tcBorders>
            <w:noWrap w:val="0"/>
            <w:vAlign w:val="center"/>
          </w:tcPr>
          <w:p w14:paraId="31A1E1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r>
    </w:tbl>
    <w:p w14:paraId="381C2CB2"/>
    <w:p w14:paraId="19F0284F"/>
    <w:sectPr>
      <w:footerReference r:id="rId4" w:type="default"/>
      <w:pgSz w:w="11906" w:h="16838"/>
      <w:pgMar w:top="1440" w:right="1800" w:bottom="1440" w:left="1800"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panose1 w:val="03000509000000000000"/>
    <w:charset w:val="86"/>
    <w:family w:val="script"/>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B0AE6">
    <w:pPr>
      <w:pStyle w:val="3"/>
      <w:tabs>
        <w:tab w:val="clear" w:pos="4153"/>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272B81">
    <w:pPr>
      <w:pStyle w:val="3"/>
      <w:tabs>
        <w:tab w:val="clear" w:pos="4153"/>
      </w:tabs>
      <w:jc w:val="center"/>
      <w:rPr>
        <w:rFonts w:hint="eastAsia" w:ascii="宋体" w:hAnsi="宋体" w:eastAsia="宋体" w:cs="宋体"/>
      </w:rPr>
    </w:pPr>
    <w:r>
      <w:rPr>
        <w:rFonts w:hint="eastAsia" w:ascii="宋体" w:hAnsi="宋体" w:eastAsia="宋体" w:cs="宋体"/>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88B17D4">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188B17D4">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D4005B"/>
    <w:rsid w:val="3E7D6E55"/>
    <w:rsid w:val="6ED400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3">
    <w:name w:val="footer"/>
    <w:basedOn w:val="1"/>
    <w:qFormat/>
    <w:uiPriority w:val="0"/>
    <w:pPr>
      <w:tabs>
        <w:tab w:val="center" w:pos="4153"/>
        <w:tab w:val="right" w:pos="8306"/>
      </w:tabs>
      <w:snapToGrid w:val="0"/>
      <w:jc w:val="left"/>
    </w:pPr>
    <w:rPr>
      <w:sz w:val="18"/>
    </w:rPr>
  </w:style>
  <w:style w:type="paragraph" w:styleId="4">
    <w:name w:val="toc 1"/>
    <w:basedOn w:val="1"/>
    <w:next w:val="1"/>
    <w:uiPriority w:val="0"/>
  </w:style>
  <w:style w:type="paragraph" w:styleId="5">
    <w:name w:val="toc 2"/>
    <w:basedOn w:val="1"/>
    <w:next w:val="1"/>
    <w:uiPriority w:val="0"/>
    <w:pPr>
      <w:ind w:left="420" w:leftChars="200"/>
    </w:pPr>
  </w:style>
  <w:style w:type="character" w:styleId="8">
    <w:name w:val="Strong"/>
    <w:basedOn w:val="7"/>
    <w:qFormat/>
    <w:uiPriority w:val="0"/>
    <w:rPr>
      <w:b/>
      <w:bCs/>
    </w:rPr>
  </w:style>
  <w:style w:type="paragraph" w:styleId="9">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25</Pages>
  <Words>7233</Words>
  <Characters>7649</Characters>
  <Lines>0</Lines>
  <Paragraphs>0</Paragraphs>
  <TotalTime>1</TotalTime>
  <ScaleCrop>false</ScaleCrop>
  <LinksUpToDate>false</LinksUpToDate>
  <CharactersWithSpaces>7675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2026-04-08T10:34:00Z</dcterms:created>
  <dc:creator>玖</dc:creator>
  <cp:lastModifiedBy>WPS_1474810677</cp:lastModifiedBy>
  <dcterms:modified xsi:type="dcterms:W3CDTF">2026-09-03T05:05:08Z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E912C1C6918F4612AA724CFA4B61ABBE_11</vt:lpwstr>
  </property>
  <property fmtid="{D5CDD505-2E9C-101B-9397-08002B2CF9AE}" pid="4" name="KSOTemplateDocerSaveRecord">
    <vt:lpwstr>eyJoZGlkIjoiNThiYTJlOTYyYzMwNDc1MWQ0MmQ0MjM2MDYyN2M3NmYiLCJ1c2VySWQiOiIyNDIxODUzMzcifQ==</vt:lpwstr>
  </property>
</Properties>
</file>