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E529B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240" w:lineRule="auto"/>
        <w:jc w:val="left"/>
        <w:textAlignment w:val="auto"/>
        <w:rPr>
          <w:rFonts w:hint="eastAsia" w:ascii="Times New Roman" w:hAnsi="Times New Roman" w:eastAsia="宋体" w:cs="Times New Roman"/>
          <w:sz w:val="44"/>
          <w:szCs w:val="44"/>
          <w:lang w:eastAsia="zh-CN"/>
        </w:rPr>
      </w:pPr>
    </w:p>
    <w:p w14:paraId="07A4ED1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240" w:lineRule="auto"/>
        <w:jc w:val="center"/>
        <w:textAlignment w:val="auto"/>
        <w:outlineLvl w:val="0"/>
        <w:rPr>
          <w:rFonts w:hint="eastAsia" w:ascii="方正小标宋_GBK" w:hAnsi="方正小标宋_GBK" w:eastAsia="方正小标宋_GBK" w:cs="方正小标宋_GBK"/>
          <w:b w:val="0"/>
          <w:sz w:val="44"/>
          <w:szCs w:val="44"/>
        </w:rPr>
      </w:pPr>
    </w:p>
    <w:p w14:paraId="61FA3D2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240" w:lineRule="auto"/>
        <w:jc w:val="center"/>
        <w:textAlignment w:val="auto"/>
        <w:outlineLvl w:val="0"/>
        <w:rPr>
          <w:rFonts w:hint="eastAsia" w:ascii="方正小标宋_GBK" w:hAnsi="方正小标宋_GBK" w:eastAsia="方正小标宋_GBK" w:cs="方正小标宋_GBK"/>
          <w:b w:val="0"/>
          <w:sz w:val="44"/>
          <w:szCs w:val="44"/>
        </w:rPr>
      </w:pPr>
    </w:p>
    <w:p w14:paraId="1C8F745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240" w:lineRule="auto"/>
        <w:jc w:val="center"/>
        <w:textAlignment w:val="auto"/>
        <w:outlineLvl w:val="0"/>
        <w:rPr>
          <w:rFonts w:hint="eastAsia" w:ascii="方正小标宋_GBK" w:hAnsi="方正小标宋_GBK" w:eastAsia="方正小标宋_GBK" w:cs="方正小标宋_GBK"/>
          <w:b w:val="0"/>
          <w:sz w:val="44"/>
          <w:szCs w:val="44"/>
        </w:rPr>
      </w:pPr>
    </w:p>
    <w:p w14:paraId="38324F2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240" w:lineRule="auto"/>
        <w:jc w:val="center"/>
        <w:textAlignment w:val="auto"/>
        <w:outlineLvl w:val="0"/>
        <w:rPr>
          <w:rFonts w:hint="eastAsia" w:ascii="方正小标宋_GBK" w:hAnsi="方正小标宋_GBK" w:eastAsia="方正小标宋_GBK" w:cs="方正小标宋_GBK"/>
          <w:b w:val="0"/>
          <w:sz w:val="44"/>
          <w:szCs w:val="44"/>
        </w:rPr>
      </w:pPr>
    </w:p>
    <w:p w14:paraId="6F8B1EE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40" w:lineRule="exact"/>
        <w:jc w:val="center"/>
        <w:textAlignment w:val="auto"/>
        <w:outlineLvl w:val="0"/>
        <w:rPr>
          <w:rFonts w:hint="eastAsia" w:ascii="方正小标宋_GBK" w:hAnsi="方正小标宋_GBK" w:eastAsia="方正小标宋_GBK" w:cs="方正小标宋_GBK"/>
          <w:b w:val="0"/>
          <w:sz w:val="44"/>
          <w:szCs w:val="44"/>
        </w:rPr>
      </w:pPr>
    </w:p>
    <w:p w14:paraId="5BE9114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40" w:lineRule="exact"/>
        <w:jc w:val="center"/>
        <w:textAlignment w:val="auto"/>
        <w:outlineLvl w:val="0"/>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b w:val="0"/>
          <w:sz w:val="44"/>
          <w:szCs w:val="44"/>
        </w:rPr>
        <w:t>新疆维吾尔自治区民政厅</w:t>
      </w:r>
    </w:p>
    <w:p w14:paraId="21CF84C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40" w:lineRule="exact"/>
        <w:jc w:val="center"/>
        <w:textAlignment w:val="auto"/>
        <w:outlineLvl w:val="0"/>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b w:val="0"/>
          <w:sz w:val="44"/>
          <w:szCs w:val="44"/>
        </w:rPr>
        <w:t>2025年度部门决算公开说明</w:t>
      </w:r>
    </w:p>
    <w:p w14:paraId="10073DD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default" w:ascii="Times New Roman" w:hAnsi="Times New Roman" w:eastAsia="黑体" w:cs="Times New Roman"/>
          <w:b/>
          <w:sz w:val="32"/>
          <w:szCs w:val="32"/>
        </w:rPr>
        <w:sectPr>
          <w:pgSz w:w="12240" w:h="15840"/>
          <w:pgMar w:top="1440" w:right="1800" w:bottom="1440" w:left="1800" w:header="720" w:footer="720" w:gutter="0"/>
          <w:cols w:space="720" w:num="1"/>
        </w:sectPr>
      </w:pPr>
    </w:p>
    <w:p w14:paraId="7A5A532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 xml:space="preserve">目 </w:t>
      </w:r>
      <w:r>
        <w:rPr>
          <w:rFonts w:hint="eastAsia" w:ascii="方正小标宋_GBK" w:hAnsi="方正小标宋_GBK" w:eastAsia="方正小标宋_GBK" w:cs="方正小标宋_GBK"/>
          <w:b/>
          <w:sz w:val="44"/>
          <w:szCs w:val="44"/>
          <w:lang w:val="en-US" w:eastAsia="zh-CN"/>
        </w:rPr>
        <w:t xml:space="preserve"> </w:t>
      </w:r>
      <w:r>
        <w:rPr>
          <w:rFonts w:hint="eastAsia" w:ascii="方正小标宋_GBK" w:hAnsi="方正小标宋_GBK" w:eastAsia="方正小标宋_GBK" w:cs="方正小标宋_GBK"/>
          <w:b/>
          <w:sz w:val="44"/>
          <w:szCs w:val="44"/>
        </w:rPr>
        <w:t>录</w:t>
      </w:r>
    </w:p>
    <w:p w14:paraId="5D7A132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eastAsia" w:ascii="方正小标宋_GBK" w:hAnsi="方正小标宋_GBK" w:eastAsia="方正小标宋_GBK" w:cs="方正小标宋_GBK"/>
          <w:b/>
          <w:sz w:val="44"/>
          <w:szCs w:val="44"/>
        </w:rPr>
      </w:pPr>
    </w:p>
    <w:p w14:paraId="0261479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sz w:val="32"/>
          <w:szCs w:val="32"/>
        </w:rPr>
        <w:t>第一部分</w:t>
      </w:r>
      <w:r>
        <w:rPr>
          <w:rFonts w:hint="default" w:ascii="Times New Roman" w:hAnsi="Times New Roman" w:eastAsia="方正仿宋_GBK" w:cs="Times New Roman"/>
          <w:b/>
          <w:sz w:val="32"/>
          <w:szCs w:val="32"/>
          <w:lang w:val="en-US" w:eastAsia="zh-CN"/>
        </w:rPr>
        <w:t xml:space="preserve"> </w:t>
      </w:r>
      <w:r>
        <w:rPr>
          <w:rFonts w:hint="default" w:ascii="Times New Roman" w:hAnsi="Times New Roman" w:eastAsia="方正仿宋_GBK" w:cs="Times New Roman"/>
          <w:b/>
          <w:sz w:val="32"/>
          <w:szCs w:val="32"/>
        </w:rPr>
        <w:t>部门概况</w:t>
      </w:r>
    </w:p>
    <w:p w14:paraId="4CBF672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一、主要职能</w:t>
      </w:r>
    </w:p>
    <w:p w14:paraId="759A4D2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二、机构设置</w:t>
      </w:r>
    </w:p>
    <w:p w14:paraId="463B7E3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sz w:val="32"/>
          <w:szCs w:val="32"/>
        </w:rPr>
        <w:t>第二部分 部门决算情况说明</w:t>
      </w:r>
    </w:p>
    <w:p w14:paraId="2966C7E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一、收入支出决算总体情况说明</w:t>
      </w:r>
    </w:p>
    <w:p w14:paraId="0F77C7E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二、收入决算情况说明</w:t>
      </w:r>
    </w:p>
    <w:p w14:paraId="6D69D48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三、支出决算情况说明</w:t>
      </w:r>
    </w:p>
    <w:p w14:paraId="6B6B8FC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四、财政拨款收入支出决算总体情况说明</w:t>
      </w:r>
    </w:p>
    <w:p w14:paraId="7FA4D26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五、一般公共预算财政拨款支出决算情况说明</w:t>
      </w:r>
    </w:p>
    <w:p w14:paraId="136746C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（一）一般公共预算财政拨款支出决算总体情况</w:t>
      </w:r>
    </w:p>
    <w:p w14:paraId="667E216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（二）一般公共预算财政拨款支出决算结构情况</w:t>
      </w:r>
    </w:p>
    <w:p w14:paraId="1314030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（三）一般公共预算财政拨款支出决算具体情况</w:t>
      </w:r>
    </w:p>
    <w:p w14:paraId="70E56EF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六、一般公共预算财政拨款基本支出决算情况说明</w:t>
      </w:r>
    </w:p>
    <w:p w14:paraId="156B8AA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七、政府性基金预算财政拨款收入支出决算情况说明</w:t>
      </w:r>
    </w:p>
    <w:p w14:paraId="09ACC5B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八、国有资本经营预算财政拨款收入支出决算情况说明</w:t>
      </w:r>
    </w:p>
    <w:p w14:paraId="7C825E9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九、财政拨款“三公”经费支出决算情况说明</w:t>
      </w:r>
    </w:p>
    <w:p w14:paraId="6F6158C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十、其他重要事项的情况说明</w:t>
      </w:r>
    </w:p>
    <w:p w14:paraId="124F687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（一）机关运行经费及公用经费支出情况</w:t>
      </w:r>
    </w:p>
    <w:p w14:paraId="2113C0A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（二）政府采购情况</w:t>
      </w:r>
    </w:p>
    <w:p w14:paraId="600FAE7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（三）国有资产占用情况说明</w:t>
      </w:r>
    </w:p>
    <w:p w14:paraId="48E3558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十一、预算绩效的情况说明</w:t>
      </w:r>
    </w:p>
    <w:p w14:paraId="070DAA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十二、其他需说明的事项</w:t>
      </w:r>
    </w:p>
    <w:p w14:paraId="563B30F6">
      <w:pPr>
        <w:keepNext w:val="0"/>
        <w:keepLines w:val="0"/>
        <w:pageBreakBefore w:val="0"/>
        <w:widowControl/>
        <w:tabs>
          <w:tab w:val="left" w:pos="5199"/>
        </w:tabs>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sz w:val="32"/>
          <w:szCs w:val="32"/>
        </w:rPr>
        <w:t>第三部分 专业名词解释</w:t>
      </w:r>
    </w:p>
    <w:p w14:paraId="4D073B6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sz w:val="32"/>
          <w:szCs w:val="32"/>
        </w:rPr>
        <w:t>第四部分 部门决算报表（见附表）</w:t>
      </w:r>
    </w:p>
    <w:p w14:paraId="1E6F46B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一、《收入支出决算总表》</w:t>
      </w:r>
    </w:p>
    <w:p w14:paraId="7797628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二、《收入决算表》</w:t>
      </w:r>
    </w:p>
    <w:p w14:paraId="48A73F1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三、《支出决算表》</w:t>
      </w:r>
    </w:p>
    <w:p w14:paraId="26F8464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四、《财政拨款收入支出决算总表》</w:t>
      </w:r>
    </w:p>
    <w:p w14:paraId="647425A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五、《一般公共预算财政拨款支出决算表》</w:t>
      </w:r>
    </w:p>
    <w:p w14:paraId="3EF7996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六、《一般公共预算财政拨款基本支出决算表》</w:t>
      </w:r>
    </w:p>
    <w:p w14:paraId="1ED2517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七、《政府性基金预算财政拨款收入支出决算表》</w:t>
      </w:r>
    </w:p>
    <w:p w14:paraId="2631EF6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八、《国有资本经营预算财政拨款收入支出决算表》</w:t>
      </w:r>
    </w:p>
    <w:p w14:paraId="600F9A4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九、《财政拨款“三公”经费支出决算表》</w:t>
      </w:r>
    </w:p>
    <w:p w14:paraId="1373B6D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黑体" w:cs="Times New Roman"/>
          <w:b w:val="0"/>
          <w:sz w:val="32"/>
          <w:szCs w:val="32"/>
        </w:rPr>
        <w:sectPr>
          <w:footerReference r:id="rId5" w:type="default"/>
          <w:pgSz w:w="12240" w:h="15840"/>
          <w:pgMar w:top="1440" w:right="1800" w:bottom="1440" w:left="1800" w:header="720" w:footer="720" w:gutter="0"/>
          <w:pgNumType w:start="1"/>
          <w:cols w:space="720" w:num="1"/>
        </w:sectPr>
      </w:pPr>
    </w:p>
    <w:p w14:paraId="7E1A4EC0">
      <w:pPr>
        <w:keepNext w:val="0"/>
        <w:keepLines w:val="0"/>
        <w:pageBreakBefore w:val="0"/>
        <w:widowControl/>
        <w:numPr>
          <w:ilvl w:val="0"/>
          <w:numId w:val="1"/>
        </w:numPr>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_GBK" w:hAnsi="方正小标宋_GBK" w:eastAsia="方正小标宋_GBK" w:cs="方正小标宋_GBK"/>
          <w:b w:val="0"/>
          <w:sz w:val="44"/>
          <w:szCs w:val="44"/>
        </w:rPr>
      </w:pPr>
      <w:r>
        <w:rPr>
          <w:rFonts w:hint="eastAsia" w:ascii="方正小标宋_GBK" w:hAnsi="方正小标宋_GBK" w:eastAsia="方正小标宋_GBK" w:cs="方正小标宋_GBK"/>
          <w:b w:val="0"/>
          <w:sz w:val="44"/>
          <w:szCs w:val="44"/>
          <w:lang w:val="en-US" w:eastAsia="zh-CN"/>
        </w:rPr>
        <w:t xml:space="preserve">   </w:t>
      </w:r>
      <w:r>
        <w:rPr>
          <w:rFonts w:hint="eastAsia" w:ascii="方正小标宋_GBK" w:hAnsi="方正小标宋_GBK" w:eastAsia="方正小标宋_GBK" w:cs="方正小标宋_GBK"/>
          <w:b w:val="0"/>
          <w:sz w:val="44"/>
          <w:szCs w:val="44"/>
        </w:rPr>
        <w:t>部门概况</w:t>
      </w:r>
    </w:p>
    <w:p w14:paraId="062754A8">
      <w:pPr>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560" w:lineRule="exact"/>
        <w:jc w:val="both"/>
        <w:textAlignment w:val="auto"/>
        <w:outlineLvl w:val="0"/>
        <w:rPr>
          <w:rFonts w:hint="eastAsia" w:ascii="方正小标宋_GBK" w:hAnsi="方正小标宋_GBK" w:eastAsia="方正小标宋_GBK" w:cs="方正小标宋_GBK"/>
          <w:b w:val="0"/>
          <w:sz w:val="44"/>
          <w:szCs w:val="44"/>
        </w:rPr>
      </w:pPr>
    </w:p>
    <w:p w14:paraId="6CF1135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一、主要职能</w:t>
      </w:r>
    </w:p>
    <w:p w14:paraId="1C752D6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1.拟订民政事业发展地方性法规政府规章草案、政策、规划、标准并组织实施。</w:t>
      </w:r>
    </w:p>
    <w:p w14:paraId="5989D8F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2.拟订自治区社会团体、基金会、社会服务机构等社会组织登记和监督管理政策措施并组织实施，依法对社会组织进行登记管理和执法监督。</w:t>
      </w:r>
    </w:p>
    <w:p w14:paraId="7A29325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3.拟订自治区社会救助政策、标准，统筹社会救助体系建设，负责城乡居民最低生活保障、特困人员救助供养、临时救助、生活无着流浪乞讨人员救助工作。</w:t>
      </w:r>
    </w:p>
    <w:p w14:paraId="5F9AEC5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4.拟订行政区划、行政区域界线和地名管理政策和标准；组织研究自治区行政区划总体规划思路建议，按照管理权限牵头负责行政区划设立、命名、变更和政府驻地迁移等审核工作；确定、公布行政区划代码，指导行政区域界线勘定和管理工作；指导开展地名管理工作，负责区内重要自然地理实体命名、更名的审核。</w:t>
      </w:r>
    </w:p>
    <w:p w14:paraId="628D978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5.拟订自治区婚姻管理政策并组织实施，推进婚俗改革。</w:t>
      </w:r>
    </w:p>
    <w:p w14:paraId="33F1769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6.拟订自治区殡葬管理政策、服务规范并组织实施，推进殡葬改革。</w:t>
      </w:r>
    </w:p>
    <w:p w14:paraId="40BFAC8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7.拟订自治区残疾人权益保护政策，统筹推进残疾人福利制度建设和康复辅助器具产业发展。</w:t>
      </w:r>
    </w:p>
    <w:p w14:paraId="32BB1554">
      <w:pPr>
        <w:bidi w:val="0"/>
        <w:jc w:val="center"/>
        <w:rPr>
          <w:rFonts w:hint="eastAsia" w:eastAsia="宋体"/>
          <w:lang w:val="en-US" w:eastAsia="zh-CN"/>
        </w:rPr>
      </w:pPr>
    </w:p>
    <w:p w14:paraId="575112F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8.组织拟订并协调落实积极应对人口老龄化的政策措施。指导协调老年人权益保障工作。组织拟订老年人社会参与政策并组织实施。承担自治区老龄工作委员会的具体工作。</w:t>
      </w:r>
    </w:p>
    <w:p w14:paraId="4CB0FE2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9.组织拟订并协调落实促进养老事业发展的政策措施。统筹推进、督促指导、监督管理养老服务工作，拟订养老服务体系建设规划、政策、标准并组织实施，承担老年人福利和特殊困难老年人救助工作。</w:t>
      </w:r>
    </w:p>
    <w:p w14:paraId="3126236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10.拟订自治区儿童福利、孤弃儿童保障、儿童收养、儿童救助保护政策和标准，健全农村留守儿童关爱服务体系和困境儿童保障制度。</w:t>
      </w:r>
    </w:p>
    <w:p w14:paraId="44D9BC2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11.组织拟订促进自治区慈善事业发展政策，指导社会捐助工作，负责福利彩票管理工作。</w:t>
      </w:r>
    </w:p>
    <w:p w14:paraId="257582F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方正仿宋_GBK" w:cs="Times New Roman"/>
          <w:b w:val="0"/>
          <w:sz w:val="32"/>
          <w:szCs w:val="32"/>
        </w:rPr>
        <w:t>12.完成自治区党委、自治区人民政府交办的其他任务。</w:t>
      </w:r>
    </w:p>
    <w:p w14:paraId="4924BEA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二、机构设置</w:t>
      </w:r>
    </w:p>
    <w:p w14:paraId="400D924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从部门决算单位构成看，新疆维吾尔自治区民政厅部门决算包括：新疆维吾尔自治区民政厅（本级）决算及所属单位决算。</w:t>
      </w:r>
    </w:p>
    <w:p w14:paraId="1302EBA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纳入新疆维吾尔自治区民政厅2025年度部门决算编制范围的下属预算单位包括：</w:t>
      </w:r>
    </w:p>
    <w:p w14:paraId="6924022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lang w:val="en-US" w:eastAsia="zh-CN"/>
        </w:rPr>
        <w:t>1.</w:t>
      </w:r>
      <w:r>
        <w:rPr>
          <w:rFonts w:hint="default" w:ascii="Times New Roman" w:hAnsi="Times New Roman" w:eastAsia="方正仿宋_GBK" w:cs="Times New Roman"/>
          <w:b w:val="0"/>
          <w:sz w:val="32"/>
          <w:szCs w:val="32"/>
        </w:rPr>
        <w:t>新疆维吾尔自治区民政厅（本级）</w:t>
      </w:r>
    </w:p>
    <w:p w14:paraId="4D782BF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lang w:val="en-US" w:eastAsia="zh-CN"/>
        </w:rPr>
        <w:t>2.</w:t>
      </w:r>
      <w:r>
        <w:rPr>
          <w:rFonts w:hint="default" w:ascii="Times New Roman" w:hAnsi="Times New Roman" w:eastAsia="方正仿宋_GBK" w:cs="Times New Roman"/>
          <w:b w:val="0"/>
          <w:sz w:val="32"/>
          <w:szCs w:val="32"/>
        </w:rPr>
        <w:t>新疆维吾尔自治区救助管理站（新疆维吾尔自治区未成年人救助保护中心）</w:t>
      </w:r>
    </w:p>
    <w:p w14:paraId="01406A7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lang w:val="en-US" w:eastAsia="zh-CN"/>
        </w:rPr>
        <w:t>3.</w:t>
      </w:r>
      <w:r>
        <w:rPr>
          <w:rFonts w:hint="default" w:ascii="Times New Roman" w:hAnsi="Times New Roman" w:eastAsia="方正仿宋_GBK" w:cs="Times New Roman"/>
          <w:b w:val="0"/>
          <w:sz w:val="32"/>
          <w:szCs w:val="32"/>
        </w:rPr>
        <w:t>新疆维吾尔自治区地名标准化中心</w:t>
      </w:r>
    </w:p>
    <w:p w14:paraId="60E79DA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lang w:val="en-US" w:eastAsia="zh-CN"/>
        </w:rPr>
        <w:t>4.</w:t>
      </w:r>
      <w:r>
        <w:rPr>
          <w:rFonts w:hint="default" w:ascii="Times New Roman" w:hAnsi="Times New Roman" w:eastAsia="方正仿宋_GBK" w:cs="Times New Roman"/>
          <w:b w:val="0"/>
          <w:sz w:val="32"/>
          <w:szCs w:val="32"/>
        </w:rPr>
        <w:t>新疆维吾尔自治区民政事业服务中心（新疆维吾尔自治区低收入家庭经济状况核对中心）</w:t>
      </w:r>
    </w:p>
    <w:p w14:paraId="1F5F69E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lang w:val="en-US" w:eastAsia="zh-CN"/>
        </w:rPr>
        <w:t>5.</w:t>
      </w:r>
      <w:r>
        <w:rPr>
          <w:rFonts w:hint="default" w:ascii="Times New Roman" w:hAnsi="Times New Roman" w:eastAsia="方正仿宋_GBK" w:cs="Times New Roman"/>
          <w:b w:val="0"/>
          <w:sz w:val="32"/>
          <w:szCs w:val="32"/>
        </w:rPr>
        <w:t>新疆维吾尔自治区民政康复中心</w:t>
      </w:r>
    </w:p>
    <w:p w14:paraId="59A1860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lang w:val="en-US" w:eastAsia="zh-CN"/>
        </w:rPr>
        <w:t>6.</w:t>
      </w:r>
      <w:r>
        <w:rPr>
          <w:rFonts w:hint="default" w:ascii="Times New Roman" w:hAnsi="Times New Roman" w:eastAsia="方正仿宋_GBK" w:cs="Times New Roman"/>
          <w:b w:val="0"/>
          <w:sz w:val="32"/>
          <w:szCs w:val="32"/>
        </w:rPr>
        <w:t>新疆静宁医院</w:t>
      </w:r>
    </w:p>
    <w:p w14:paraId="1A0F787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lang w:val="en-US" w:eastAsia="zh-CN"/>
        </w:rPr>
        <w:t>7.</w:t>
      </w:r>
      <w:r>
        <w:rPr>
          <w:rFonts w:hint="default" w:ascii="Times New Roman" w:hAnsi="Times New Roman" w:eastAsia="方正仿宋_GBK" w:cs="Times New Roman"/>
          <w:b w:val="0"/>
          <w:sz w:val="32"/>
          <w:szCs w:val="32"/>
        </w:rPr>
        <w:t>新疆维吾尔自治区社会工作人才资源开发中心</w:t>
      </w:r>
    </w:p>
    <w:p w14:paraId="5CAA840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lang w:val="en-US" w:eastAsia="zh-CN"/>
        </w:rPr>
        <w:t>8.</w:t>
      </w:r>
      <w:r>
        <w:rPr>
          <w:rFonts w:hint="default" w:ascii="Times New Roman" w:hAnsi="Times New Roman" w:eastAsia="方正仿宋_GBK" w:cs="Times New Roman"/>
          <w:b w:val="0"/>
          <w:sz w:val="32"/>
          <w:szCs w:val="32"/>
        </w:rPr>
        <w:t>新疆维吾尔自治区老年大学</w:t>
      </w:r>
    </w:p>
    <w:p w14:paraId="65A9DA2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lang w:val="en-US" w:eastAsia="zh-CN"/>
        </w:rPr>
        <w:t>9.</w:t>
      </w:r>
      <w:r>
        <w:rPr>
          <w:rFonts w:hint="default" w:ascii="Times New Roman" w:hAnsi="Times New Roman" w:eastAsia="方正仿宋_GBK" w:cs="Times New Roman"/>
          <w:b w:val="0"/>
          <w:sz w:val="32"/>
          <w:szCs w:val="32"/>
        </w:rPr>
        <w:t>新疆维吾尔自治区老年康乐报社</w:t>
      </w:r>
    </w:p>
    <w:p w14:paraId="7F3A8E92">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6E6415E7">
      <w:pPr>
        <w:keepNext w:val="0"/>
        <w:keepLines w:val="0"/>
        <w:pageBreakBefore w:val="0"/>
        <w:widowControl/>
        <w:numPr>
          <w:ilvl w:val="0"/>
          <w:numId w:val="2"/>
        </w:numPr>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_GBK" w:hAnsi="方正小标宋_GBK" w:eastAsia="方正小标宋_GBK" w:cs="方正小标宋_GBK"/>
          <w:b w:val="0"/>
          <w:sz w:val="44"/>
          <w:szCs w:val="44"/>
        </w:rPr>
      </w:pPr>
      <w:r>
        <w:rPr>
          <w:rFonts w:hint="eastAsia" w:ascii="方正小标宋_GBK" w:hAnsi="方正小标宋_GBK" w:eastAsia="方正小标宋_GBK" w:cs="方正小标宋_GBK"/>
          <w:b w:val="0"/>
          <w:sz w:val="44"/>
          <w:szCs w:val="44"/>
          <w:lang w:val="en-US" w:eastAsia="zh-CN"/>
        </w:rPr>
        <w:t xml:space="preserve"> </w:t>
      </w:r>
      <w:r>
        <w:rPr>
          <w:rFonts w:hint="eastAsia" w:ascii="方正小标宋_GBK" w:hAnsi="方正小标宋_GBK" w:eastAsia="方正小标宋_GBK" w:cs="方正小标宋_GBK"/>
          <w:b w:val="0"/>
          <w:sz w:val="44"/>
          <w:szCs w:val="44"/>
        </w:rPr>
        <w:t>部门决算情况说明</w:t>
      </w:r>
    </w:p>
    <w:p w14:paraId="4E3B132F">
      <w:pPr>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560" w:lineRule="exact"/>
        <w:jc w:val="both"/>
        <w:textAlignment w:val="auto"/>
        <w:outlineLvl w:val="0"/>
        <w:rPr>
          <w:rFonts w:hint="eastAsia" w:ascii="方正小标宋_GBK" w:hAnsi="方正小标宋_GBK" w:eastAsia="方正小标宋_GBK" w:cs="方正小标宋_GBK"/>
          <w:b w:val="0"/>
          <w:sz w:val="44"/>
          <w:szCs w:val="44"/>
        </w:rPr>
      </w:pPr>
    </w:p>
    <w:p w14:paraId="1DBAED9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一、收入支出决算总体情况说明</w:t>
      </w:r>
    </w:p>
    <w:p w14:paraId="7E1B895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2025年度收入总计22,290.75万元，</w:t>
      </w:r>
      <w:r>
        <w:rPr>
          <w:rFonts w:hint="default" w:ascii="Times New Roman" w:hAnsi="Times New Roman" w:eastAsia="方正仿宋_GBK" w:cs="Times New Roman"/>
          <w:b w:val="0"/>
          <w:sz w:val="32"/>
          <w:szCs w:val="32"/>
        </w:rPr>
        <w:t>其中：本年收入合计21,061.64万元，使用非财政拨款结余（含专用结余）363.09万元，年初结转和结余866.02万元。</w:t>
      </w:r>
    </w:p>
    <w:p w14:paraId="6FA2FA5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2025年度支出总计22,290.75万元，</w:t>
      </w:r>
      <w:r>
        <w:rPr>
          <w:rFonts w:hint="default" w:ascii="Times New Roman" w:hAnsi="Times New Roman" w:eastAsia="方正仿宋_GBK" w:cs="Times New Roman"/>
          <w:b w:val="0"/>
          <w:sz w:val="32"/>
          <w:szCs w:val="32"/>
        </w:rPr>
        <w:t>其中：本年支出合计21,420.70万元，结余分配0.00万元，年末结转和结余870.05万元。</w:t>
      </w:r>
    </w:p>
    <w:p w14:paraId="0E12C8C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收入支出总体与上年相比，</w:t>
      </w:r>
      <w:r>
        <w:rPr>
          <w:rFonts w:hint="default" w:ascii="Times New Roman" w:hAnsi="Times New Roman" w:eastAsia="方正仿宋_GBK" w:cs="Times New Roman"/>
          <w:b w:val="0"/>
          <w:sz w:val="32"/>
          <w:szCs w:val="32"/>
        </w:rPr>
        <w:t>增加5,310.71万元，增长31.28%，主要原因是：一般公共预算、政府性基金项目资金</w:t>
      </w:r>
      <w:r>
        <w:rPr>
          <w:rFonts w:hint="eastAsia"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较上年</w:t>
      </w:r>
      <w:r>
        <w:rPr>
          <w:rFonts w:hint="default" w:ascii="Times New Roman" w:hAnsi="Times New Roman" w:eastAsia="方正仿宋_GBK" w:cs="Times New Roman"/>
          <w:b w:val="0"/>
          <w:sz w:val="32"/>
          <w:szCs w:val="32"/>
          <w:lang w:eastAsia="zh-CN"/>
        </w:rPr>
        <w:t>增加</w:t>
      </w:r>
      <w:r>
        <w:rPr>
          <w:rFonts w:hint="default" w:ascii="Times New Roman" w:hAnsi="Times New Roman" w:eastAsia="方正仿宋_GBK" w:cs="Times New Roman"/>
          <w:b w:val="0"/>
          <w:sz w:val="32"/>
          <w:szCs w:val="32"/>
        </w:rPr>
        <w:t>。</w:t>
      </w:r>
    </w:p>
    <w:p w14:paraId="3DBE542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二、收入决算情况说明</w:t>
      </w:r>
    </w:p>
    <w:p w14:paraId="6E2FAFC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本年收入21,061.64万元，</w:t>
      </w:r>
      <w:r>
        <w:rPr>
          <w:rFonts w:hint="default" w:ascii="Times New Roman" w:hAnsi="Times New Roman" w:eastAsia="方正仿宋_GBK" w:cs="Times New Roman"/>
          <w:b w:val="0"/>
          <w:sz w:val="32"/>
          <w:szCs w:val="32"/>
        </w:rPr>
        <w:t>其中：财政拨款收入19,325.84万元,占91.76%；上级补助收入0.00万元,占0.00%；事业收入985.01万元，占4.68%；经营收入437.92万元,占2.08%；附属单位上缴收入0.00万元，占0.00%；其他收入312.86万元，占1.49%。</w:t>
      </w:r>
    </w:p>
    <w:p w14:paraId="384A817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三、支出决算情况说明</w:t>
      </w:r>
    </w:p>
    <w:p w14:paraId="793D797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本年支出21,420.70万元，</w:t>
      </w:r>
      <w:r>
        <w:rPr>
          <w:rFonts w:hint="default" w:ascii="Times New Roman" w:hAnsi="Times New Roman" w:eastAsia="方正仿宋_GBK" w:cs="Times New Roman"/>
          <w:b w:val="0"/>
          <w:sz w:val="32"/>
          <w:szCs w:val="32"/>
        </w:rPr>
        <w:t>其中：基本支出10,075.46万元，占47.04%；项目支出10,907.32万元，占50.92%；上缴上级支出0.00万元，占0.00%；经营支出437.92万元，占2.04%；对附属单位补助支出0.00万元，占0.00%。</w:t>
      </w:r>
    </w:p>
    <w:p w14:paraId="7BE6BEA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四、财政拨款收入支出决算总体情况说明</w:t>
      </w:r>
    </w:p>
    <w:p w14:paraId="07975BE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2025年度财政拨款收入总计19,406.67万元，</w:t>
      </w:r>
      <w:r>
        <w:rPr>
          <w:rFonts w:hint="default" w:ascii="Times New Roman" w:hAnsi="Times New Roman" w:eastAsia="方正仿宋_GBK" w:cs="Times New Roman"/>
          <w:b w:val="0"/>
          <w:sz w:val="32"/>
          <w:szCs w:val="32"/>
        </w:rPr>
        <w:t>其中：年初财政拨款结转和结余80.83万元，本年财政拨款收入19,325.84万元。</w:t>
      </w:r>
      <w:r>
        <w:rPr>
          <w:rFonts w:hint="default" w:ascii="Times New Roman" w:hAnsi="Times New Roman" w:eastAsia="方正仿宋_GBK" w:cs="Times New Roman"/>
          <w:b/>
          <w:bCs/>
          <w:sz w:val="32"/>
          <w:szCs w:val="32"/>
        </w:rPr>
        <w:t>财政拨款支出总计19,406.67万元，</w:t>
      </w:r>
      <w:r>
        <w:rPr>
          <w:rFonts w:hint="default" w:ascii="Times New Roman" w:hAnsi="Times New Roman" w:eastAsia="方正仿宋_GBK" w:cs="Times New Roman"/>
          <w:b w:val="0"/>
          <w:sz w:val="32"/>
          <w:szCs w:val="32"/>
        </w:rPr>
        <w:t>其中：年末财政拨款结转和结余72.20万元，本年财政拨款支出19,334.47万元。</w:t>
      </w:r>
    </w:p>
    <w:p w14:paraId="49601BB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财政拨款收入支出总体与上年相比，</w:t>
      </w:r>
      <w:r>
        <w:rPr>
          <w:rFonts w:hint="default" w:ascii="Times New Roman" w:hAnsi="Times New Roman" w:eastAsia="方正仿宋_GBK" w:cs="Times New Roman"/>
          <w:b w:val="0"/>
          <w:sz w:val="32"/>
          <w:szCs w:val="32"/>
        </w:rPr>
        <w:t>增加3,969.09万元，增长25.71%，主要原因是：202</w:t>
      </w:r>
      <w:r>
        <w:rPr>
          <w:rFonts w:hint="default" w:ascii="Times New Roman" w:hAnsi="Times New Roman" w:eastAsia="方正仿宋_GBK" w:cs="Times New Roman"/>
          <w:b w:val="0"/>
          <w:sz w:val="32"/>
          <w:szCs w:val="32"/>
          <w:lang w:val="en-US" w:eastAsia="zh-CN"/>
        </w:rPr>
        <w:t>5</w:t>
      </w:r>
      <w:r>
        <w:rPr>
          <w:rFonts w:hint="default" w:ascii="Times New Roman" w:hAnsi="Times New Roman" w:eastAsia="方正仿宋_GBK" w:cs="Times New Roman"/>
          <w:b w:val="0"/>
          <w:sz w:val="32"/>
          <w:szCs w:val="32"/>
        </w:rPr>
        <w:t>年政府性基金项目资金较上年</w:t>
      </w:r>
      <w:r>
        <w:rPr>
          <w:rFonts w:hint="default" w:ascii="Times New Roman" w:hAnsi="Times New Roman" w:eastAsia="方正仿宋_GBK" w:cs="Times New Roman"/>
          <w:b w:val="0"/>
          <w:sz w:val="32"/>
          <w:szCs w:val="32"/>
          <w:lang w:eastAsia="zh-CN"/>
        </w:rPr>
        <w:t>增加</w:t>
      </w:r>
      <w:r>
        <w:rPr>
          <w:rFonts w:hint="default" w:ascii="Times New Roman" w:hAnsi="Times New Roman" w:eastAsia="方正仿宋_GBK" w:cs="Times New Roman"/>
          <w:b w:val="0"/>
          <w:sz w:val="32"/>
          <w:szCs w:val="32"/>
        </w:rPr>
        <w:t>。</w:t>
      </w:r>
      <w:r>
        <w:rPr>
          <w:rFonts w:hint="default" w:ascii="Times New Roman" w:hAnsi="Times New Roman" w:eastAsia="方正仿宋_GBK" w:cs="Times New Roman"/>
          <w:b/>
          <w:bCs/>
          <w:sz w:val="32"/>
          <w:szCs w:val="32"/>
        </w:rPr>
        <w:t>与年初预算相比，</w:t>
      </w:r>
      <w:r>
        <w:rPr>
          <w:rFonts w:hint="default" w:ascii="Times New Roman" w:hAnsi="Times New Roman" w:eastAsia="方正仿宋_GBK" w:cs="Times New Roman"/>
          <w:b w:val="0"/>
          <w:sz w:val="32"/>
          <w:szCs w:val="32"/>
        </w:rPr>
        <w:t>年初预算数17,543.14万元，决算数19,406.67万元，预决算差异率10.62%，主要原因是：一是年中追加职业年金、丧葬抚恤金等预算经费；二是</w:t>
      </w:r>
      <w:r>
        <w:rPr>
          <w:rFonts w:hint="eastAsia" w:ascii="Times New Roman" w:hAnsi="Times New Roman" w:eastAsia="方正仿宋_GBK" w:cs="Times New Roman"/>
          <w:b w:val="0"/>
          <w:sz w:val="32"/>
          <w:szCs w:val="32"/>
          <w:lang w:eastAsia="zh-CN"/>
        </w:rPr>
        <w:t>按照</w:t>
      </w:r>
      <w:r>
        <w:rPr>
          <w:rFonts w:hint="eastAsia" w:ascii="Times New Roman" w:hAnsi="Times New Roman" w:eastAsia="方正仿宋_GBK" w:cs="Times New Roman"/>
          <w:b w:val="0"/>
          <w:sz w:val="32"/>
          <w:szCs w:val="32"/>
          <w:highlight w:val="none"/>
          <w:lang w:val="en-US" w:eastAsia="zh-CN"/>
        </w:rPr>
        <w:t>按照自治区基本</w:t>
      </w:r>
      <w:r>
        <w:rPr>
          <w:rFonts w:hint="default" w:ascii="Times New Roman" w:hAnsi="Times New Roman" w:eastAsia="方正仿宋_GBK" w:cs="Times New Roman"/>
          <w:color w:val="000000"/>
          <w:sz w:val="32"/>
          <w:szCs w:val="32"/>
          <w:highlight w:val="none"/>
          <w:lang w:val="en-US" w:eastAsia="zh-CN"/>
        </w:rPr>
        <w:t>医疗</w:t>
      </w:r>
      <w:r>
        <w:rPr>
          <w:rFonts w:hint="eastAsia" w:ascii="Times New Roman" w:hAnsi="Times New Roman" w:eastAsia="方正仿宋_GBK" w:cs="Times New Roman"/>
          <w:color w:val="000000"/>
          <w:sz w:val="32"/>
          <w:szCs w:val="32"/>
          <w:highlight w:val="none"/>
          <w:lang w:val="en-US" w:eastAsia="zh-CN"/>
        </w:rPr>
        <w:t>保险政策规定，调增单位基准缴费费率，</w:t>
      </w:r>
      <w:r>
        <w:rPr>
          <w:rFonts w:hint="default" w:ascii="Times New Roman" w:hAnsi="Times New Roman" w:eastAsia="方正仿宋_GBK" w:cs="Times New Roman"/>
          <w:color w:val="000000"/>
          <w:sz w:val="32"/>
          <w:szCs w:val="32"/>
          <w:highlight w:val="none"/>
          <w:lang w:val="en-US" w:eastAsia="zh-CN"/>
        </w:rPr>
        <w:t>支出增加</w:t>
      </w:r>
      <w:r>
        <w:rPr>
          <w:rFonts w:hint="default" w:ascii="Times New Roman" w:hAnsi="Times New Roman" w:eastAsia="方正仿宋_GBK" w:cs="Times New Roman"/>
          <w:b w:val="0"/>
          <w:sz w:val="32"/>
          <w:szCs w:val="32"/>
          <w:highlight w:val="none"/>
        </w:rPr>
        <w:t>。</w:t>
      </w:r>
    </w:p>
    <w:p w14:paraId="0CAB303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五、一般公共预算财政拨款支出决算情况说明</w:t>
      </w:r>
    </w:p>
    <w:p w14:paraId="72B3530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rPr>
        <w:t>按照党中央、国务院关于党政机关习惯过紧日子的有关要求，厉行节约办一切事业，严控一般性支出。同时坚持有保有压，优化支出结构，提高资金使用效率，合理保障</w:t>
      </w:r>
      <w:r>
        <w:rPr>
          <w:rFonts w:hint="eastAsia" w:ascii="Times New Roman" w:hAnsi="Times New Roman" w:eastAsia="方正仿宋_GBK" w:cs="Times New Roman"/>
          <w:b w:val="0"/>
          <w:sz w:val="32"/>
          <w:szCs w:val="32"/>
          <w:highlight w:val="none"/>
          <w:lang w:eastAsia="zh-CN"/>
        </w:rPr>
        <w:t>人员工资</w:t>
      </w:r>
      <w:r>
        <w:rPr>
          <w:rFonts w:hint="default" w:ascii="Times New Roman" w:hAnsi="Times New Roman" w:eastAsia="方正仿宋_GBK" w:cs="Times New Roman"/>
          <w:b w:val="0"/>
          <w:sz w:val="32"/>
          <w:szCs w:val="32"/>
          <w:highlight w:val="none"/>
        </w:rPr>
        <w:t>、</w:t>
      </w:r>
      <w:r>
        <w:rPr>
          <w:rFonts w:hint="eastAsia" w:ascii="Times New Roman" w:hAnsi="Times New Roman" w:eastAsia="方正仿宋_GBK" w:cs="Times New Roman"/>
          <w:b w:val="0"/>
          <w:sz w:val="32"/>
          <w:szCs w:val="32"/>
          <w:highlight w:val="none"/>
          <w:lang w:eastAsia="zh-CN"/>
        </w:rPr>
        <w:t>单位运转</w:t>
      </w:r>
      <w:r>
        <w:rPr>
          <w:rFonts w:hint="default" w:ascii="Times New Roman" w:hAnsi="Times New Roman" w:eastAsia="方正仿宋_GBK" w:cs="Times New Roman"/>
          <w:b w:val="0"/>
          <w:sz w:val="32"/>
          <w:szCs w:val="32"/>
          <w:highlight w:val="none"/>
        </w:rPr>
        <w:t>等重点支出，体现在有关支出科目中。</w:t>
      </w:r>
    </w:p>
    <w:p w14:paraId="34B2952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lang w:eastAsia="zh-CN"/>
        </w:rPr>
      </w:pPr>
      <w:r>
        <w:rPr>
          <w:rFonts w:hint="default" w:ascii="Times New Roman" w:hAnsi="Times New Roman" w:eastAsia="方正仿宋_GBK" w:cs="Times New Roman"/>
          <w:b w:val="0"/>
          <w:sz w:val="32"/>
          <w:szCs w:val="32"/>
        </w:rPr>
        <w:t>按照支出功能分类，社会保障和就业支出（类）民政管理事务（款）行政运行（项）的支出占本年财政拨款支出总额的比重最高，2025年度决算数为3,054.21万元，占比15.80%，主要用</w:t>
      </w:r>
      <w:r>
        <w:rPr>
          <w:rFonts w:hint="default" w:ascii="Times New Roman" w:hAnsi="Times New Roman" w:eastAsia="方正仿宋_GBK" w:cs="Times New Roman"/>
          <w:b w:val="0"/>
          <w:sz w:val="32"/>
          <w:szCs w:val="32"/>
          <w:highlight w:val="none"/>
        </w:rPr>
        <w:t>于</w:t>
      </w:r>
      <w:r>
        <w:rPr>
          <w:rFonts w:hint="default" w:ascii="Times New Roman" w:hAnsi="Times New Roman" w:eastAsia="方正仿宋_GBK" w:cs="Times New Roman"/>
          <w:b w:val="0"/>
          <w:sz w:val="32"/>
          <w:szCs w:val="32"/>
          <w:highlight w:val="none"/>
          <w:lang w:eastAsia="zh-CN"/>
        </w:rPr>
        <w:t>在职人员工资发放、社保缴费。</w:t>
      </w:r>
    </w:p>
    <w:p w14:paraId="417E9D2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eastAsia" w:ascii="方正楷体_GBK" w:hAnsi="方正楷体_GBK" w:eastAsia="方正楷体_GBK" w:cs="方正楷体_GBK"/>
          <w:sz w:val="32"/>
          <w:szCs w:val="32"/>
        </w:rPr>
      </w:pPr>
      <w:r>
        <w:rPr>
          <w:rFonts w:hint="eastAsia" w:ascii="方正楷体_GBK" w:hAnsi="方正楷体_GBK" w:eastAsia="方正楷体_GBK" w:cs="方正楷体_GBK"/>
          <w:b w:val="0"/>
          <w:sz w:val="32"/>
          <w:szCs w:val="32"/>
        </w:rPr>
        <w:t>（一）一般公共预算财政拨款支出决算总体情况</w:t>
      </w:r>
    </w:p>
    <w:p w14:paraId="29E6F43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2025年度一般公共预算财政拨款支出13,334.76万元，</w:t>
      </w:r>
      <w:r>
        <w:rPr>
          <w:rFonts w:hint="default" w:ascii="Times New Roman" w:hAnsi="Times New Roman" w:eastAsia="方正仿宋_GBK" w:cs="Times New Roman"/>
          <w:b w:val="0"/>
          <w:sz w:val="32"/>
          <w:szCs w:val="32"/>
        </w:rPr>
        <w:t>占本年支出合计的62.25%。</w:t>
      </w:r>
      <w:r>
        <w:rPr>
          <w:rFonts w:hint="default" w:ascii="Times New Roman" w:hAnsi="Times New Roman" w:eastAsia="方正仿宋_GBK" w:cs="Times New Roman"/>
          <w:b/>
          <w:bCs/>
          <w:sz w:val="32"/>
          <w:szCs w:val="32"/>
        </w:rPr>
        <w:t>与上年相比，</w:t>
      </w:r>
      <w:r>
        <w:rPr>
          <w:rFonts w:hint="default" w:ascii="Times New Roman" w:hAnsi="Times New Roman" w:eastAsia="方正仿宋_GBK" w:cs="Times New Roman"/>
          <w:b w:val="0"/>
          <w:sz w:val="32"/>
          <w:szCs w:val="32"/>
        </w:rPr>
        <w:t>增加2,022.72万元，增长17.88%</w:t>
      </w:r>
      <w:r>
        <w:rPr>
          <w:rFonts w:hint="default" w:ascii="Times New Roman" w:hAnsi="Times New Roman" w:eastAsia="方正仿宋_GBK" w:cs="Times New Roman"/>
          <w:b w:val="0"/>
          <w:sz w:val="32"/>
          <w:szCs w:val="32"/>
          <w:highlight w:val="none"/>
        </w:rPr>
        <w:t>，主要原因是：一是</w:t>
      </w:r>
      <w:r>
        <w:rPr>
          <w:rFonts w:hint="default" w:ascii="Times New Roman" w:hAnsi="Times New Roman" w:eastAsia="方正仿宋_GBK" w:cs="Times New Roman"/>
          <w:b w:val="0"/>
          <w:sz w:val="32"/>
          <w:szCs w:val="32"/>
        </w:rPr>
        <w:t>在职人员职务职级正常晋升，</w:t>
      </w:r>
      <w:r>
        <w:rPr>
          <w:rFonts w:hint="default" w:ascii="Times New Roman" w:hAnsi="Times New Roman" w:eastAsia="方正仿宋_GBK" w:cs="Times New Roman"/>
          <w:b w:val="0"/>
          <w:sz w:val="32"/>
          <w:szCs w:val="32"/>
          <w:lang w:eastAsia="zh-CN"/>
        </w:rPr>
        <w:t>工资、社保缴费等</w:t>
      </w:r>
      <w:r>
        <w:rPr>
          <w:rFonts w:hint="default" w:ascii="Times New Roman" w:hAnsi="Times New Roman" w:eastAsia="方正仿宋_GBK" w:cs="Times New Roman"/>
          <w:b w:val="0"/>
          <w:sz w:val="32"/>
          <w:szCs w:val="32"/>
        </w:rPr>
        <w:t>支出增加；二是年中追加职业年金、丧葬抚恤金等预算经费。</w:t>
      </w:r>
      <w:r>
        <w:rPr>
          <w:rFonts w:hint="default" w:ascii="Times New Roman" w:hAnsi="Times New Roman" w:eastAsia="方正仿宋_GBK" w:cs="Times New Roman"/>
          <w:b/>
          <w:bCs/>
          <w:sz w:val="32"/>
          <w:szCs w:val="32"/>
        </w:rPr>
        <w:t>与年初预算相比，</w:t>
      </w:r>
      <w:r>
        <w:rPr>
          <w:rFonts w:hint="default" w:ascii="Times New Roman" w:hAnsi="Times New Roman" w:eastAsia="方正仿宋_GBK" w:cs="Times New Roman"/>
          <w:b w:val="0"/>
          <w:sz w:val="32"/>
          <w:szCs w:val="32"/>
        </w:rPr>
        <w:t>年初预算数11,357.11万元，决算数13,334.76万元，预决算差异率17.41%，主要原因是：一是年中追加职业年金、丧葬抚恤金等预算经费；二是</w:t>
      </w:r>
      <w:r>
        <w:rPr>
          <w:rFonts w:hint="eastAsia" w:ascii="Times New Roman" w:hAnsi="Times New Roman" w:eastAsia="方正仿宋_GBK" w:cs="Times New Roman"/>
          <w:b w:val="0"/>
          <w:sz w:val="32"/>
          <w:szCs w:val="32"/>
          <w:highlight w:val="none"/>
          <w:lang w:val="en-US" w:eastAsia="zh-CN"/>
        </w:rPr>
        <w:t>按照自治区基本</w:t>
      </w:r>
      <w:r>
        <w:rPr>
          <w:rFonts w:hint="default" w:ascii="Times New Roman" w:hAnsi="Times New Roman" w:eastAsia="方正仿宋_GBK" w:cs="Times New Roman"/>
          <w:color w:val="000000"/>
          <w:sz w:val="32"/>
          <w:szCs w:val="32"/>
          <w:highlight w:val="none"/>
          <w:lang w:val="en-US" w:eastAsia="zh-CN"/>
        </w:rPr>
        <w:t>医疗</w:t>
      </w:r>
      <w:r>
        <w:rPr>
          <w:rFonts w:hint="eastAsia" w:ascii="Times New Roman" w:hAnsi="Times New Roman" w:eastAsia="方正仿宋_GBK" w:cs="Times New Roman"/>
          <w:color w:val="000000"/>
          <w:sz w:val="32"/>
          <w:szCs w:val="32"/>
          <w:highlight w:val="none"/>
          <w:lang w:val="en-US" w:eastAsia="zh-CN"/>
        </w:rPr>
        <w:t>保险政策规定，调增单位基准缴费费率，</w:t>
      </w:r>
      <w:r>
        <w:rPr>
          <w:rFonts w:hint="default" w:ascii="Times New Roman" w:hAnsi="Times New Roman" w:eastAsia="方正仿宋_GBK" w:cs="Times New Roman"/>
          <w:color w:val="000000"/>
          <w:sz w:val="32"/>
          <w:szCs w:val="32"/>
          <w:highlight w:val="none"/>
          <w:lang w:val="en-US" w:eastAsia="zh-CN"/>
        </w:rPr>
        <w:t>支出增加</w:t>
      </w:r>
      <w:r>
        <w:rPr>
          <w:rFonts w:hint="default" w:ascii="Times New Roman" w:hAnsi="Times New Roman" w:eastAsia="方正仿宋_GBK" w:cs="Times New Roman"/>
          <w:b w:val="0"/>
          <w:sz w:val="32"/>
          <w:szCs w:val="32"/>
          <w:highlight w:val="none"/>
        </w:rPr>
        <w:t>。</w:t>
      </w:r>
    </w:p>
    <w:p w14:paraId="5FF1628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方正楷体_GBK" w:hAnsi="方正楷体_GBK" w:eastAsia="方正楷体_GBK" w:cs="方正楷体_GBK"/>
          <w:b w:val="0"/>
          <w:sz w:val="32"/>
          <w:szCs w:val="32"/>
        </w:rPr>
      </w:pPr>
      <w:r>
        <w:rPr>
          <w:rFonts w:hint="default" w:ascii="方正楷体_GBK" w:hAnsi="方正楷体_GBK" w:eastAsia="方正楷体_GBK" w:cs="方正楷体_GBK"/>
          <w:b w:val="0"/>
          <w:sz w:val="32"/>
          <w:szCs w:val="32"/>
        </w:rPr>
        <w:t>（二）一般公共预算财政拨款支出决算结构情况</w:t>
      </w:r>
    </w:p>
    <w:p w14:paraId="5E15072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pacing w:val="-6"/>
          <w:sz w:val="32"/>
          <w:szCs w:val="32"/>
        </w:rPr>
      </w:pPr>
      <w:r>
        <w:rPr>
          <w:rFonts w:hint="default" w:ascii="Times New Roman" w:hAnsi="Times New Roman" w:eastAsia="方正仿宋_GBK" w:cs="Times New Roman"/>
          <w:b w:val="0"/>
          <w:sz w:val="32"/>
          <w:szCs w:val="32"/>
        </w:rPr>
        <w:t>1.</w:t>
      </w:r>
      <w:r>
        <w:rPr>
          <w:rFonts w:hint="default" w:ascii="Times New Roman" w:hAnsi="Times New Roman" w:eastAsia="方正仿宋_GBK" w:cs="Times New Roman"/>
          <w:b w:val="0"/>
          <w:spacing w:val="-6"/>
          <w:sz w:val="32"/>
          <w:szCs w:val="32"/>
        </w:rPr>
        <w:t>文化旅游体育与传媒支出（类）144.66万元，占1.08%。</w:t>
      </w:r>
    </w:p>
    <w:p w14:paraId="1AED9B4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2.</w:t>
      </w:r>
      <w:r>
        <w:rPr>
          <w:rFonts w:hint="default" w:ascii="Times New Roman" w:hAnsi="Times New Roman" w:eastAsia="方正仿宋_GBK" w:cs="Times New Roman"/>
          <w:b w:val="0"/>
          <w:spacing w:val="-6"/>
          <w:sz w:val="32"/>
          <w:szCs w:val="32"/>
        </w:rPr>
        <w:t>社会保障和就业支出（类）11,919.08万元，占89.38%。</w:t>
      </w:r>
    </w:p>
    <w:p w14:paraId="14F2A19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3.卫生健康支出（类）731.43万元，占5.49%。</w:t>
      </w:r>
    </w:p>
    <w:p w14:paraId="1BE2E32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4.住房保障支出（类）539.58万元，占4.05%。</w:t>
      </w:r>
    </w:p>
    <w:p w14:paraId="7E06F54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方正楷体_GBK" w:hAnsi="方正楷体_GBK" w:eastAsia="方正楷体_GBK" w:cs="方正楷体_GBK"/>
          <w:b w:val="0"/>
          <w:sz w:val="32"/>
          <w:szCs w:val="32"/>
        </w:rPr>
      </w:pPr>
      <w:r>
        <w:rPr>
          <w:rFonts w:hint="default" w:ascii="方正楷体_GBK" w:hAnsi="方正楷体_GBK" w:eastAsia="方正楷体_GBK" w:cs="方正楷体_GBK"/>
          <w:b w:val="0"/>
          <w:sz w:val="32"/>
          <w:szCs w:val="32"/>
        </w:rPr>
        <w:t>（三）一般公共预算财政拨款支出决算具体情况</w:t>
      </w:r>
    </w:p>
    <w:p w14:paraId="71E2730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lang w:eastAsia="zh-CN"/>
        </w:rPr>
      </w:pPr>
      <w:r>
        <w:rPr>
          <w:rFonts w:hint="default" w:ascii="Times New Roman" w:hAnsi="Times New Roman" w:eastAsia="方正仿宋_GBK" w:cs="Times New Roman"/>
          <w:b w:val="0"/>
          <w:sz w:val="32"/>
          <w:szCs w:val="32"/>
        </w:rPr>
        <w:t>1</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文化旅游体育与传媒支出（类）新闻出版电影（款）出版发行（项）：支出决算数为144.66万元，比上年决算增加144.66万元，增长100.00%，主要原因是：</w:t>
      </w:r>
      <w:r>
        <w:rPr>
          <w:rFonts w:hint="default" w:ascii="Times New Roman" w:hAnsi="Times New Roman" w:eastAsia="方正仿宋_GBK" w:cs="Times New Roman"/>
          <w:b w:val="0"/>
          <w:sz w:val="32"/>
          <w:szCs w:val="32"/>
          <w:lang w:eastAsia="zh-CN"/>
        </w:rPr>
        <w:t>因机构改革，自治区老年康乐报社由自治区卫健委划转至自治区民政厅，</w:t>
      </w:r>
      <w:r>
        <w:rPr>
          <w:rFonts w:hint="eastAsia" w:ascii="Times New Roman" w:hAnsi="Times New Roman" w:eastAsia="方正仿宋_GBK" w:cs="Times New Roman"/>
          <w:b w:val="0"/>
          <w:sz w:val="32"/>
          <w:szCs w:val="32"/>
          <w:lang w:eastAsia="zh-CN"/>
        </w:rPr>
        <w:t>出版发行科目支出较上年增加</w:t>
      </w:r>
      <w:r>
        <w:rPr>
          <w:rFonts w:hint="default" w:ascii="Times New Roman" w:hAnsi="Times New Roman" w:eastAsia="方正仿宋_GBK" w:cs="Times New Roman"/>
          <w:b w:val="0"/>
          <w:sz w:val="32"/>
          <w:szCs w:val="32"/>
          <w:lang w:eastAsia="zh-CN"/>
        </w:rPr>
        <w:t>。</w:t>
      </w:r>
    </w:p>
    <w:p w14:paraId="0DC8C87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lang w:eastAsia="zh-CN"/>
        </w:rPr>
      </w:pPr>
      <w:r>
        <w:rPr>
          <w:rFonts w:hint="default" w:ascii="Times New Roman" w:hAnsi="Times New Roman" w:eastAsia="方正仿宋_GBK" w:cs="Times New Roman"/>
          <w:b w:val="0"/>
          <w:sz w:val="32"/>
          <w:szCs w:val="32"/>
        </w:rPr>
        <w:t>2</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社会保障和就业支出（类）民政管理事务（款）行政运行（项）：支出决算数为3,054.21万元，比上年决算增加59.60万元，增长1.99%，主要原因是：行政在职人员</w:t>
      </w:r>
      <w:r>
        <w:rPr>
          <w:rFonts w:hint="eastAsia" w:ascii="Times New Roman" w:hAnsi="Times New Roman" w:eastAsia="方正仿宋_GBK" w:cs="Times New Roman"/>
          <w:b w:val="0"/>
          <w:sz w:val="32"/>
          <w:szCs w:val="32"/>
          <w:lang w:eastAsia="zh-CN"/>
        </w:rPr>
        <w:t>增加</w:t>
      </w:r>
      <w:r>
        <w:rPr>
          <w:rFonts w:hint="default" w:ascii="Times New Roman" w:hAnsi="Times New Roman" w:eastAsia="方正仿宋_GBK" w:cs="Times New Roman"/>
          <w:b w:val="0"/>
          <w:sz w:val="32"/>
          <w:szCs w:val="32"/>
        </w:rPr>
        <w:t>，支出</w:t>
      </w:r>
      <w:r>
        <w:rPr>
          <w:rFonts w:hint="eastAsia" w:ascii="Times New Roman" w:hAnsi="Times New Roman" w:eastAsia="方正仿宋_GBK" w:cs="Times New Roman"/>
          <w:b w:val="0"/>
          <w:sz w:val="32"/>
          <w:szCs w:val="32"/>
          <w:lang w:eastAsia="zh-CN"/>
        </w:rPr>
        <w:t>较上年增加</w:t>
      </w:r>
      <w:r>
        <w:rPr>
          <w:rFonts w:hint="default" w:ascii="Times New Roman" w:hAnsi="Times New Roman" w:eastAsia="方正仿宋_GBK" w:cs="Times New Roman"/>
          <w:b w:val="0"/>
          <w:sz w:val="32"/>
          <w:szCs w:val="32"/>
          <w:lang w:eastAsia="zh-CN"/>
        </w:rPr>
        <w:t>。</w:t>
      </w:r>
    </w:p>
    <w:p w14:paraId="5B3D371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3</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社会保障和就业支出（类）民政管理事务（款）机关服务（项）：支出决算数为216.16万元，比上年决算减少102.80万元，下降32.23%，主要原因是：</w:t>
      </w:r>
      <w:r>
        <w:rPr>
          <w:rFonts w:hint="eastAsia" w:ascii="Times New Roman" w:hAnsi="Times New Roman" w:eastAsia="方正仿宋_GBK" w:cs="Times New Roman"/>
          <w:b w:val="0"/>
          <w:sz w:val="32"/>
          <w:szCs w:val="32"/>
          <w:lang w:eastAsia="zh-CN"/>
        </w:rPr>
        <w:t>自治区民政厅机关</w:t>
      </w:r>
      <w:r>
        <w:rPr>
          <w:rFonts w:hint="default" w:ascii="Times New Roman" w:hAnsi="Times New Roman" w:eastAsia="方正仿宋_GBK" w:cs="Times New Roman"/>
          <w:b w:val="0"/>
          <w:sz w:val="32"/>
          <w:szCs w:val="32"/>
          <w:lang w:eastAsia="zh-CN"/>
        </w:rPr>
        <w:t>事业</w:t>
      </w:r>
      <w:r>
        <w:rPr>
          <w:rFonts w:hint="default" w:ascii="Times New Roman" w:hAnsi="Times New Roman" w:eastAsia="方正仿宋_GBK" w:cs="Times New Roman"/>
          <w:b w:val="0"/>
          <w:sz w:val="32"/>
          <w:szCs w:val="32"/>
        </w:rPr>
        <w:t>在职人员减少，支出</w:t>
      </w:r>
      <w:r>
        <w:rPr>
          <w:rFonts w:hint="eastAsia" w:ascii="Times New Roman" w:hAnsi="Times New Roman" w:eastAsia="方正仿宋_GBK" w:cs="Times New Roman"/>
          <w:b w:val="0"/>
          <w:sz w:val="32"/>
          <w:szCs w:val="32"/>
          <w:lang w:eastAsia="zh-CN"/>
        </w:rPr>
        <w:t>较上年</w:t>
      </w:r>
      <w:r>
        <w:rPr>
          <w:rFonts w:hint="default" w:ascii="Times New Roman" w:hAnsi="Times New Roman" w:eastAsia="方正仿宋_GBK" w:cs="Times New Roman"/>
          <w:b w:val="0"/>
          <w:sz w:val="32"/>
          <w:szCs w:val="32"/>
        </w:rPr>
        <w:t>减少。</w:t>
      </w:r>
    </w:p>
    <w:p w14:paraId="4861896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4</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社会保障和就业支出（类）民政管理事务（款）行政区划和地名管理（项）：支出决算数为814.93万元，比上年决算减少43.62万元，下降5.08%</w:t>
      </w:r>
      <w:r>
        <w:rPr>
          <w:rFonts w:hint="default" w:ascii="Times New Roman" w:hAnsi="Times New Roman" w:eastAsia="方正仿宋_GBK" w:cs="Times New Roman"/>
          <w:b w:val="0"/>
          <w:sz w:val="32"/>
          <w:szCs w:val="32"/>
          <w:highlight w:val="none"/>
        </w:rPr>
        <w:t>，主要原因是：行</w:t>
      </w:r>
      <w:r>
        <w:rPr>
          <w:rFonts w:hint="default" w:ascii="Times New Roman" w:hAnsi="Times New Roman" w:eastAsia="方正仿宋_GBK" w:cs="Times New Roman"/>
          <w:b w:val="0"/>
          <w:sz w:val="32"/>
          <w:szCs w:val="32"/>
        </w:rPr>
        <w:t>政区划和地名管理</w:t>
      </w:r>
      <w:r>
        <w:rPr>
          <w:rFonts w:hint="default" w:ascii="Times New Roman" w:hAnsi="Times New Roman" w:eastAsia="方正仿宋_GBK" w:cs="Times New Roman"/>
          <w:b w:val="0"/>
          <w:sz w:val="32"/>
          <w:szCs w:val="32"/>
          <w:lang w:eastAsia="zh-CN"/>
        </w:rPr>
        <w:t>项目</w:t>
      </w:r>
      <w:r>
        <w:rPr>
          <w:rFonts w:hint="eastAsia"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lang w:eastAsia="zh-CN"/>
        </w:rPr>
        <w:t>较上年</w:t>
      </w:r>
      <w:r>
        <w:rPr>
          <w:rFonts w:hint="default" w:ascii="Times New Roman" w:hAnsi="Times New Roman" w:eastAsia="方正仿宋_GBK" w:cs="Times New Roman"/>
          <w:b w:val="0"/>
          <w:sz w:val="32"/>
          <w:szCs w:val="32"/>
        </w:rPr>
        <w:t>增加</w:t>
      </w:r>
    </w:p>
    <w:p w14:paraId="654F692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5</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社会保障和就业支出（类）民政管理事务（款）其他民政管理事务支出（项）：支出决算数为1,415.63万元，比上年决算增加492.65万元，增长53.38%，主要原因是：</w:t>
      </w:r>
      <w:r>
        <w:rPr>
          <w:rFonts w:hint="default" w:ascii="Times New Roman" w:hAnsi="Times New Roman" w:eastAsia="方正仿宋_GBK" w:cs="Times New Roman"/>
          <w:b w:val="0"/>
          <w:sz w:val="32"/>
          <w:szCs w:val="32"/>
          <w:lang w:eastAsia="zh-CN"/>
        </w:rPr>
        <w:t>在职人员增加，支出较上年增加。</w:t>
      </w:r>
    </w:p>
    <w:p w14:paraId="71CAC65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6</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社会保障和就业支出（类）行政事业单位养老支出（款）行政单位离退休（项）：支出决算数为521.27万元，比上年决算增加24.55万元，增长4.94%，主要原因是：退休人员增加，支出</w:t>
      </w:r>
      <w:r>
        <w:rPr>
          <w:rFonts w:hint="default" w:ascii="Times New Roman" w:hAnsi="Times New Roman" w:eastAsia="方正仿宋_GBK" w:cs="Times New Roman"/>
          <w:b w:val="0"/>
          <w:sz w:val="32"/>
          <w:szCs w:val="32"/>
          <w:lang w:eastAsia="zh-CN"/>
        </w:rPr>
        <w:t>较上年</w:t>
      </w:r>
      <w:r>
        <w:rPr>
          <w:rFonts w:hint="default" w:ascii="Times New Roman" w:hAnsi="Times New Roman" w:eastAsia="方正仿宋_GBK" w:cs="Times New Roman"/>
          <w:b w:val="0"/>
          <w:sz w:val="32"/>
          <w:szCs w:val="32"/>
        </w:rPr>
        <w:t>增加。</w:t>
      </w:r>
    </w:p>
    <w:p w14:paraId="33252F7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7</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社会保障和就业支出（类）行政事业单位养老支出（款）事业单位离退休（项）：支出决算数为537.33万元，比上年决算增加147.10万元，增长37.70%，主要原因是：退休人员增加，支出</w:t>
      </w:r>
      <w:r>
        <w:rPr>
          <w:rFonts w:hint="default" w:ascii="Times New Roman" w:hAnsi="Times New Roman" w:eastAsia="方正仿宋_GBK" w:cs="Times New Roman"/>
          <w:b w:val="0"/>
          <w:sz w:val="32"/>
          <w:szCs w:val="32"/>
          <w:lang w:eastAsia="zh-CN"/>
        </w:rPr>
        <w:t>较上年</w:t>
      </w:r>
      <w:r>
        <w:rPr>
          <w:rFonts w:hint="default" w:ascii="Times New Roman" w:hAnsi="Times New Roman" w:eastAsia="方正仿宋_GBK" w:cs="Times New Roman"/>
          <w:b w:val="0"/>
          <w:sz w:val="32"/>
          <w:szCs w:val="32"/>
        </w:rPr>
        <w:t>增加。</w:t>
      </w:r>
    </w:p>
    <w:p w14:paraId="4822434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8</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行政事业单位养老支出（款）机关事业单位基本养老保险缴费支出（项）：支出决算数为676.29万元，比上年决算增加15.79万元，增长2.39%，主要原因是：在职人员职务职级正常晋升，养老保险缴费基数</w:t>
      </w:r>
      <w:r>
        <w:rPr>
          <w:rFonts w:hint="default" w:ascii="Times New Roman" w:hAnsi="Times New Roman" w:eastAsia="方正仿宋_GBK" w:cs="Times New Roman"/>
          <w:b w:val="0"/>
          <w:sz w:val="32"/>
          <w:szCs w:val="32"/>
          <w:lang w:eastAsia="zh-CN"/>
        </w:rPr>
        <w:t>增长</w:t>
      </w:r>
      <w:r>
        <w:rPr>
          <w:rFonts w:hint="default" w:ascii="Times New Roman" w:hAnsi="Times New Roman" w:eastAsia="方正仿宋_GBK" w:cs="Times New Roman"/>
          <w:b w:val="0"/>
          <w:sz w:val="32"/>
          <w:szCs w:val="32"/>
        </w:rPr>
        <w:t>，支出</w:t>
      </w:r>
      <w:r>
        <w:rPr>
          <w:rFonts w:hint="default" w:ascii="Times New Roman" w:hAnsi="Times New Roman" w:eastAsia="方正仿宋_GBK" w:cs="Times New Roman"/>
          <w:b w:val="0"/>
          <w:sz w:val="32"/>
          <w:szCs w:val="32"/>
          <w:lang w:eastAsia="zh-CN"/>
        </w:rPr>
        <w:t>较上年</w:t>
      </w:r>
      <w:r>
        <w:rPr>
          <w:rFonts w:hint="default" w:ascii="Times New Roman" w:hAnsi="Times New Roman" w:eastAsia="方正仿宋_GBK" w:cs="Times New Roman"/>
          <w:b w:val="0"/>
          <w:sz w:val="32"/>
          <w:szCs w:val="32"/>
        </w:rPr>
        <w:t>增加。</w:t>
      </w:r>
    </w:p>
    <w:p w14:paraId="639A09B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rPr>
          <w:rFonts w:hint="default" w:ascii="Times New Roman" w:hAnsi="Times New Roman" w:eastAsia="方正仿宋_GBK" w:cs="Times New Roman"/>
          <w:b w:val="0"/>
          <w:sz w:val="32"/>
          <w:szCs w:val="32"/>
          <w:highlight w:val="yellow"/>
          <w:lang w:val="en-US" w:eastAsia="zh-CN"/>
        </w:rPr>
      </w:pPr>
      <w:r>
        <w:rPr>
          <w:rFonts w:hint="default" w:ascii="Times New Roman" w:hAnsi="Times New Roman" w:eastAsia="方正仿宋_GBK" w:cs="Times New Roman"/>
          <w:b w:val="0"/>
          <w:sz w:val="32"/>
          <w:szCs w:val="32"/>
        </w:rPr>
        <w:t>9</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社会保障和就业支出（类）行政事业单位养老支出（款）机关事业单位职业年金缴费支出（项）：支出决算数为482.25万元，比上年决算增加331.92万元，增长220.79%，主要原因是：</w:t>
      </w:r>
      <w:r>
        <w:rPr>
          <w:rFonts w:hint="eastAsia" w:ascii="Times New Roman" w:hAnsi="Times New Roman" w:eastAsia="方正仿宋_GBK" w:cs="Times New Roman"/>
          <w:b w:val="0"/>
          <w:sz w:val="32"/>
          <w:szCs w:val="32"/>
          <w:highlight w:val="none"/>
          <w:lang w:eastAsia="zh-CN"/>
        </w:rPr>
        <w:t>按照</w:t>
      </w:r>
      <w:r>
        <w:rPr>
          <w:rFonts w:hint="eastAsia" w:ascii="Times New Roman" w:hAnsi="Times New Roman" w:eastAsia="方正仿宋_GBK" w:cs="Times New Roman"/>
          <w:b w:val="0"/>
          <w:sz w:val="32"/>
          <w:szCs w:val="32"/>
          <w:highlight w:val="none"/>
          <w:lang w:val="en-US" w:eastAsia="zh-CN"/>
        </w:rPr>
        <w:t>自治区</w:t>
      </w:r>
      <w:r>
        <w:rPr>
          <w:rFonts w:hint="eastAsia" w:ascii="Times New Roman" w:hAnsi="Times New Roman" w:eastAsia="方正仿宋_GBK" w:cs="Times New Roman"/>
          <w:b w:val="0"/>
          <w:sz w:val="32"/>
          <w:szCs w:val="32"/>
          <w:highlight w:val="none"/>
          <w:lang w:eastAsia="zh-CN"/>
        </w:rPr>
        <w:t>职业年金</w:t>
      </w:r>
      <w:r>
        <w:rPr>
          <w:rFonts w:hint="eastAsia" w:ascii="Times New Roman" w:hAnsi="Times New Roman" w:eastAsia="方正仿宋_GBK" w:cs="Times New Roman"/>
          <w:b w:val="0"/>
          <w:sz w:val="32"/>
          <w:szCs w:val="32"/>
          <w:highlight w:val="none"/>
          <w:lang w:val="en-US" w:eastAsia="zh-CN"/>
        </w:rPr>
        <w:t>缴费有关</w:t>
      </w:r>
      <w:r>
        <w:rPr>
          <w:rFonts w:hint="eastAsia" w:ascii="Times New Roman" w:hAnsi="Times New Roman" w:eastAsia="方正仿宋_GBK" w:cs="Times New Roman"/>
          <w:b w:val="0"/>
          <w:sz w:val="32"/>
          <w:szCs w:val="32"/>
          <w:highlight w:val="none"/>
          <w:lang w:eastAsia="zh-CN"/>
        </w:rPr>
        <w:t>政策</w:t>
      </w:r>
      <w:r>
        <w:rPr>
          <w:rFonts w:hint="eastAsia" w:ascii="Times New Roman" w:hAnsi="Times New Roman" w:eastAsia="方正仿宋_GBK" w:cs="Times New Roman"/>
          <w:b w:val="0"/>
          <w:sz w:val="32"/>
          <w:szCs w:val="32"/>
          <w:highlight w:val="none"/>
          <w:lang w:val="en-US" w:eastAsia="zh-CN"/>
        </w:rPr>
        <w:t>规定，记实在职人员职业年金，</w:t>
      </w:r>
      <w:r>
        <w:rPr>
          <w:rFonts w:hint="default" w:ascii="Times New Roman" w:hAnsi="Times New Roman" w:eastAsia="方正仿宋_GBK" w:cs="Times New Roman"/>
          <w:b w:val="0"/>
          <w:sz w:val="32"/>
          <w:szCs w:val="32"/>
          <w:highlight w:val="none"/>
        </w:rPr>
        <w:t>支出</w:t>
      </w:r>
      <w:r>
        <w:rPr>
          <w:rFonts w:hint="eastAsia" w:ascii="Times New Roman" w:hAnsi="Times New Roman" w:eastAsia="方正仿宋_GBK" w:cs="Times New Roman"/>
          <w:b w:val="0"/>
          <w:sz w:val="32"/>
          <w:szCs w:val="32"/>
          <w:highlight w:val="none"/>
          <w:lang w:eastAsia="zh-CN"/>
        </w:rPr>
        <w:t>较上年</w:t>
      </w:r>
      <w:r>
        <w:rPr>
          <w:rFonts w:hint="default" w:ascii="Times New Roman" w:hAnsi="Times New Roman" w:eastAsia="方正仿宋_GBK" w:cs="Times New Roman"/>
          <w:b w:val="0"/>
          <w:sz w:val="32"/>
          <w:szCs w:val="32"/>
          <w:highlight w:val="none"/>
        </w:rPr>
        <w:t>增加</w:t>
      </w:r>
      <w:r>
        <w:rPr>
          <w:rFonts w:hint="default" w:ascii="Times New Roman" w:hAnsi="Times New Roman" w:eastAsia="方正仿宋_GBK" w:cs="Times New Roman"/>
          <w:b w:val="0"/>
          <w:sz w:val="32"/>
          <w:szCs w:val="32"/>
          <w:highlight w:val="none"/>
          <w:lang w:eastAsia="zh-CN"/>
        </w:rPr>
        <w:t>。</w:t>
      </w:r>
    </w:p>
    <w:p w14:paraId="5BD6C7D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lang w:val="en-US" w:eastAsia="zh-CN"/>
        </w:rPr>
      </w:pPr>
      <w:r>
        <w:rPr>
          <w:rFonts w:hint="default" w:ascii="Times New Roman" w:hAnsi="Times New Roman" w:eastAsia="方正仿宋_GBK" w:cs="Times New Roman"/>
          <w:b w:val="0"/>
          <w:sz w:val="32"/>
          <w:szCs w:val="32"/>
        </w:rPr>
        <w:t>10</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社会保障和就业支出（类）抚恤（款）死亡抚恤（项）：支出决算数为12.81万元，比上年决算增加12.81万元，增长100.00%，主要原因是：</w:t>
      </w:r>
      <w:r>
        <w:rPr>
          <w:rFonts w:hint="default" w:ascii="Times New Roman" w:hAnsi="Times New Roman" w:eastAsia="方正仿宋_GBK" w:cs="Times New Roman"/>
          <w:b w:val="0"/>
          <w:sz w:val="32"/>
          <w:szCs w:val="32"/>
          <w:lang w:val="en-US" w:eastAsia="zh-CN"/>
        </w:rPr>
        <w:t>自治区民政康复中心</w:t>
      </w:r>
      <w:r>
        <w:rPr>
          <w:rFonts w:hint="eastAsia" w:ascii="Times New Roman" w:hAnsi="Times New Roman" w:eastAsia="方正仿宋_GBK" w:cs="Times New Roman"/>
          <w:b w:val="0"/>
          <w:sz w:val="32"/>
          <w:szCs w:val="32"/>
          <w:lang w:val="en-US" w:eastAsia="zh-CN"/>
        </w:rPr>
        <w:t>2025年</w:t>
      </w:r>
      <w:r>
        <w:rPr>
          <w:rFonts w:hint="default" w:ascii="Times New Roman" w:hAnsi="Times New Roman" w:eastAsia="方正仿宋_GBK" w:cs="Times New Roman"/>
          <w:b w:val="0"/>
          <w:sz w:val="32"/>
          <w:szCs w:val="32"/>
        </w:rPr>
        <w:t>去世人员</w:t>
      </w:r>
      <w:r>
        <w:rPr>
          <w:rFonts w:hint="eastAsia" w:ascii="Times New Roman" w:hAnsi="Times New Roman" w:eastAsia="方正仿宋_GBK" w:cs="Times New Roman"/>
          <w:b w:val="0"/>
          <w:sz w:val="32"/>
          <w:szCs w:val="32"/>
          <w:lang w:eastAsia="zh-CN"/>
        </w:rPr>
        <w:t>丧葬费、</w:t>
      </w:r>
      <w:r>
        <w:rPr>
          <w:rFonts w:hint="eastAsia" w:ascii="Times New Roman" w:hAnsi="Times New Roman" w:eastAsia="方正仿宋_GBK" w:cs="Times New Roman"/>
          <w:b w:val="0"/>
          <w:sz w:val="32"/>
          <w:szCs w:val="32"/>
          <w:lang w:val="en-US" w:eastAsia="zh-CN"/>
        </w:rPr>
        <w:t>抚恤金由社会福利事业单位科目调整至此科目列支</w:t>
      </w:r>
      <w:r>
        <w:rPr>
          <w:rFonts w:hint="default" w:ascii="Times New Roman" w:hAnsi="Times New Roman" w:eastAsia="方正仿宋_GBK" w:cs="Times New Roman"/>
          <w:b w:val="0"/>
          <w:sz w:val="32"/>
          <w:szCs w:val="32"/>
        </w:rPr>
        <w:t>，支出</w:t>
      </w:r>
      <w:r>
        <w:rPr>
          <w:rFonts w:hint="eastAsia" w:ascii="Times New Roman" w:hAnsi="Times New Roman" w:eastAsia="方正仿宋_GBK" w:cs="Times New Roman"/>
          <w:b w:val="0"/>
          <w:sz w:val="32"/>
          <w:szCs w:val="32"/>
          <w:lang w:val="en-US" w:eastAsia="zh-CN"/>
        </w:rPr>
        <w:t>较上年</w:t>
      </w:r>
      <w:r>
        <w:rPr>
          <w:rFonts w:hint="default" w:ascii="Times New Roman" w:hAnsi="Times New Roman" w:eastAsia="方正仿宋_GBK" w:cs="Times New Roman"/>
          <w:b w:val="0"/>
          <w:sz w:val="32"/>
          <w:szCs w:val="32"/>
        </w:rPr>
        <w:t>增加</w:t>
      </w:r>
      <w:r>
        <w:rPr>
          <w:rFonts w:hint="default" w:ascii="Times New Roman" w:hAnsi="Times New Roman" w:eastAsia="方正仿宋_GBK" w:cs="Times New Roman"/>
          <w:b w:val="0"/>
          <w:sz w:val="32"/>
          <w:szCs w:val="32"/>
          <w:lang w:val="en-US" w:eastAsia="zh-CN"/>
        </w:rPr>
        <w:t>。</w:t>
      </w:r>
    </w:p>
    <w:p w14:paraId="771CE29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Times New Roman" w:hAnsi="Times New Roman" w:eastAsia="方正仿宋_GBK" w:cs="Times New Roman"/>
          <w:b w:val="0"/>
          <w:sz w:val="32"/>
          <w:szCs w:val="32"/>
          <w:lang w:eastAsia="zh-CN"/>
        </w:rPr>
      </w:pPr>
      <w:r>
        <w:rPr>
          <w:rFonts w:hint="default" w:ascii="Times New Roman" w:hAnsi="Times New Roman" w:eastAsia="方正仿宋_GBK" w:cs="Times New Roman"/>
          <w:b w:val="0"/>
          <w:sz w:val="32"/>
          <w:szCs w:val="32"/>
        </w:rPr>
        <w:t>11</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社会保障和就业支出（类）社会福利（款）社会福利事业单位（项）：支出决算数为1,958.23万元，比上年决算减少139.53万元，下降6.65%</w:t>
      </w:r>
      <w:r>
        <w:rPr>
          <w:rFonts w:hint="default" w:ascii="Times New Roman" w:hAnsi="Times New Roman" w:eastAsia="方正仿宋_GBK" w:cs="Times New Roman"/>
          <w:b w:val="0"/>
          <w:sz w:val="32"/>
          <w:szCs w:val="32"/>
          <w:highlight w:val="none"/>
        </w:rPr>
        <w:t>，主要原因是：</w:t>
      </w:r>
      <w:r>
        <w:rPr>
          <w:rFonts w:hint="eastAsia" w:ascii="Times New Roman" w:hAnsi="Times New Roman" w:eastAsia="方正仿宋_GBK" w:cs="Times New Roman"/>
          <w:b w:val="0"/>
          <w:sz w:val="32"/>
          <w:szCs w:val="32"/>
          <w:highlight w:val="none"/>
          <w:lang w:eastAsia="zh-CN"/>
        </w:rPr>
        <w:t>自治区民政康复中心在职人员减少，支出较上年减少。</w:t>
      </w:r>
    </w:p>
    <w:p w14:paraId="21761CF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12</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社会保障和就业支出（类）临时救助（款）临时救助支出（项）：支出决算数为600.00万元，比上年决算减少100.00万元，下降14.29%，主要原因是：202</w:t>
      </w:r>
      <w:r>
        <w:rPr>
          <w:rFonts w:hint="default" w:ascii="Times New Roman" w:hAnsi="Times New Roman" w:eastAsia="方正仿宋_GBK" w:cs="Times New Roman"/>
          <w:b w:val="0"/>
          <w:sz w:val="32"/>
          <w:szCs w:val="32"/>
          <w:lang w:val="en-US" w:eastAsia="zh-CN"/>
        </w:rPr>
        <w:t>5</w:t>
      </w:r>
      <w:r>
        <w:rPr>
          <w:rFonts w:hint="default" w:ascii="Times New Roman" w:hAnsi="Times New Roman" w:eastAsia="方正仿宋_GBK" w:cs="Times New Roman"/>
          <w:b w:val="0"/>
          <w:sz w:val="32"/>
          <w:szCs w:val="32"/>
        </w:rPr>
        <w:t>年</w:t>
      </w:r>
      <w:r>
        <w:rPr>
          <w:rFonts w:hint="default" w:ascii="Times New Roman" w:hAnsi="Times New Roman" w:eastAsia="方正仿宋_GBK" w:cs="Times New Roman"/>
          <w:b w:val="0"/>
          <w:sz w:val="32"/>
          <w:szCs w:val="32"/>
          <w:lang w:eastAsia="zh-CN"/>
        </w:rPr>
        <w:t>民政康复中心自治区</w:t>
      </w:r>
      <w:r>
        <w:rPr>
          <w:rFonts w:hint="default" w:ascii="Times New Roman" w:hAnsi="Times New Roman" w:eastAsia="方正仿宋_GBK" w:cs="Times New Roman"/>
          <w:b w:val="0"/>
          <w:sz w:val="32"/>
          <w:szCs w:val="32"/>
        </w:rPr>
        <w:t>困难群众救助补助资金</w:t>
      </w:r>
      <w:r>
        <w:rPr>
          <w:rFonts w:hint="default" w:ascii="Times New Roman" w:hAnsi="Times New Roman" w:eastAsia="方正仿宋_GBK" w:cs="Times New Roman"/>
          <w:b w:val="0"/>
          <w:sz w:val="32"/>
          <w:szCs w:val="32"/>
          <w:lang w:eastAsia="zh-CN"/>
        </w:rPr>
        <w:t>支出较上年减少。</w:t>
      </w:r>
    </w:p>
    <w:p w14:paraId="79C174C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lang w:eastAsia="zh-CN"/>
        </w:rPr>
      </w:pPr>
      <w:r>
        <w:rPr>
          <w:rFonts w:hint="default" w:ascii="Times New Roman" w:hAnsi="Times New Roman" w:eastAsia="方正仿宋_GBK" w:cs="Times New Roman"/>
          <w:b w:val="0"/>
          <w:sz w:val="32"/>
          <w:szCs w:val="32"/>
        </w:rPr>
        <w:t>13</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社会保障和就业支出（类）临时救助（款）流浪乞讨人员救助支出（项）：支出决算数为750.00万元，比上年决算增加73.93万元，增长10.94%，主要原因是：</w:t>
      </w:r>
      <w:r>
        <w:rPr>
          <w:rFonts w:hint="default" w:ascii="Times New Roman" w:hAnsi="Times New Roman" w:eastAsia="方正仿宋_GBK" w:cs="Times New Roman"/>
          <w:b w:val="0"/>
          <w:sz w:val="32"/>
          <w:szCs w:val="32"/>
          <w:lang w:val="en-US" w:eastAsia="zh-CN"/>
        </w:rPr>
        <w:t>2025</w:t>
      </w:r>
      <w:r>
        <w:rPr>
          <w:rFonts w:hint="default" w:ascii="Times New Roman" w:hAnsi="Times New Roman" w:eastAsia="方正仿宋_GBK" w:cs="Times New Roman"/>
          <w:b w:val="0"/>
          <w:sz w:val="32"/>
          <w:szCs w:val="32"/>
        </w:rPr>
        <w:t>年</w:t>
      </w:r>
      <w:r>
        <w:rPr>
          <w:rFonts w:hint="default" w:ascii="Times New Roman" w:hAnsi="Times New Roman" w:eastAsia="方正仿宋_GBK" w:cs="Times New Roman"/>
          <w:b w:val="0"/>
          <w:sz w:val="32"/>
          <w:szCs w:val="32"/>
          <w:lang w:eastAsia="zh-CN"/>
        </w:rPr>
        <w:t>救助管理站</w:t>
      </w:r>
      <w:r>
        <w:rPr>
          <w:rFonts w:hint="default" w:ascii="Times New Roman" w:hAnsi="Times New Roman" w:eastAsia="方正仿宋_GBK" w:cs="Times New Roman"/>
          <w:b w:val="0"/>
          <w:sz w:val="32"/>
          <w:szCs w:val="32"/>
        </w:rPr>
        <w:t>流浪乞讨人员救助补助资金项目资金较上年</w:t>
      </w:r>
      <w:r>
        <w:rPr>
          <w:rFonts w:hint="default" w:ascii="Times New Roman" w:hAnsi="Times New Roman" w:eastAsia="方正仿宋_GBK" w:cs="Times New Roman"/>
          <w:b w:val="0"/>
          <w:sz w:val="32"/>
          <w:szCs w:val="32"/>
          <w:lang w:eastAsia="zh-CN"/>
        </w:rPr>
        <w:t>增加</w:t>
      </w:r>
      <w:r>
        <w:rPr>
          <w:rFonts w:hint="eastAsia" w:ascii="Times New Roman" w:hAnsi="Times New Roman" w:eastAsia="方正仿宋_GBK" w:cs="Times New Roman"/>
          <w:b w:val="0"/>
          <w:sz w:val="32"/>
          <w:szCs w:val="32"/>
          <w:lang w:eastAsia="zh-CN"/>
        </w:rPr>
        <w:t>。</w:t>
      </w:r>
    </w:p>
    <w:p w14:paraId="7C07A2D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yellow"/>
        </w:rPr>
      </w:pPr>
      <w:r>
        <w:rPr>
          <w:rFonts w:hint="default" w:ascii="Times New Roman" w:hAnsi="Times New Roman" w:eastAsia="方正仿宋_GBK" w:cs="Times New Roman"/>
          <w:b w:val="0"/>
          <w:sz w:val="32"/>
          <w:szCs w:val="32"/>
        </w:rPr>
        <w:t>14</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卫生健康支出（类）行政事业单位医疗（款）行政单位医疗（项）：支出决算数为165.81万元，比上年决算增加14.52万元，增长9.60%，主要原因是：</w:t>
      </w:r>
      <w:r>
        <w:rPr>
          <w:rFonts w:hint="eastAsia" w:ascii="Times New Roman" w:hAnsi="Times New Roman" w:eastAsia="方正仿宋_GBK" w:cs="Times New Roman"/>
          <w:b w:val="0"/>
          <w:sz w:val="32"/>
          <w:szCs w:val="32"/>
          <w:highlight w:val="none"/>
          <w:lang w:val="en-US" w:eastAsia="zh-CN"/>
        </w:rPr>
        <w:t>按照自治区基本</w:t>
      </w:r>
      <w:r>
        <w:rPr>
          <w:rFonts w:hint="default" w:ascii="Times New Roman" w:hAnsi="Times New Roman" w:eastAsia="方正仿宋_GBK" w:cs="Times New Roman"/>
          <w:color w:val="000000"/>
          <w:sz w:val="32"/>
          <w:szCs w:val="32"/>
          <w:highlight w:val="none"/>
          <w:lang w:val="en-US" w:eastAsia="zh-CN"/>
        </w:rPr>
        <w:t>医疗</w:t>
      </w:r>
      <w:r>
        <w:rPr>
          <w:rFonts w:hint="eastAsia" w:ascii="Times New Roman" w:hAnsi="Times New Roman" w:eastAsia="方正仿宋_GBK" w:cs="Times New Roman"/>
          <w:color w:val="000000"/>
          <w:sz w:val="32"/>
          <w:szCs w:val="32"/>
          <w:highlight w:val="none"/>
          <w:lang w:val="en-US" w:eastAsia="zh-CN"/>
        </w:rPr>
        <w:t>保险政策规定，调增单位基准缴费费率，</w:t>
      </w:r>
      <w:r>
        <w:rPr>
          <w:rFonts w:hint="default" w:ascii="Times New Roman" w:hAnsi="Times New Roman" w:eastAsia="方正仿宋_GBK" w:cs="Times New Roman"/>
          <w:color w:val="000000"/>
          <w:sz w:val="32"/>
          <w:szCs w:val="32"/>
          <w:highlight w:val="none"/>
          <w:lang w:val="en-US" w:eastAsia="zh-CN"/>
        </w:rPr>
        <w:t>支出</w:t>
      </w:r>
      <w:r>
        <w:rPr>
          <w:rFonts w:hint="eastAsia" w:ascii="Times New Roman" w:hAnsi="Times New Roman" w:eastAsia="方正仿宋_GBK" w:cs="Times New Roman"/>
          <w:color w:val="000000"/>
          <w:sz w:val="32"/>
          <w:szCs w:val="32"/>
          <w:highlight w:val="none"/>
          <w:lang w:val="en-US" w:eastAsia="zh-CN"/>
        </w:rPr>
        <w:t>较上年</w:t>
      </w:r>
      <w:r>
        <w:rPr>
          <w:rFonts w:hint="default" w:ascii="Times New Roman" w:hAnsi="Times New Roman" w:eastAsia="方正仿宋_GBK" w:cs="Times New Roman"/>
          <w:color w:val="000000"/>
          <w:sz w:val="32"/>
          <w:szCs w:val="32"/>
          <w:highlight w:val="none"/>
          <w:lang w:val="en-US" w:eastAsia="zh-CN"/>
        </w:rPr>
        <w:t>增加</w:t>
      </w:r>
      <w:r>
        <w:rPr>
          <w:rFonts w:hint="default" w:ascii="Times New Roman" w:hAnsi="Times New Roman" w:eastAsia="方正仿宋_GBK" w:cs="Times New Roman"/>
          <w:b w:val="0"/>
          <w:sz w:val="32"/>
          <w:szCs w:val="32"/>
          <w:highlight w:val="none"/>
        </w:rPr>
        <w:t>。</w:t>
      </w:r>
    </w:p>
    <w:p w14:paraId="5C2C66C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yellow"/>
        </w:rPr>
      </w:pPr>
      <w:r>
        <w:rPr>
          <w:rFonts w:hint="default" w:ascii="Times New Roman" w:hAnsi="Times New Roman" w:eastAsia="方正仿宋_GBK" w:cs="Times New Roman"/>
          <w:b w:val="0"/>
          <w:sz w:val="32"/>
          <w:szCs w:val="32"/>
        </w:rPr>
        <w:t>15</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卫生健康支出（类）行政事业单位医疗（款）事业单位医疗（项）：支出决算数为243.21万元，比上年决算增加78.69万元，增长47.83%，主要原因是：</w:t>
      </w:r>
      <w:r>
        <w:rPr>
          <w:rFonts w:hint="eastAsia" w:ascii="Times New Roman" w:hAnsi="Times New Roman" w:eastAsia="方正仿宋_GBK" w:cs="Times New Roman"/>
          <w:b w:val="0"/>
          <w:sz w:val="32"/>
          <w:szCs w:val="32"/>
          <w:highlight w:val="none"/>
          <w:lang w:val="en-US" w:eastAsia="zh-CN"/>
        </w:rPr>
        <w:t>按照自治区基本</w:t>
      </w:r>
      <w:r>
        <w:rPr>
          <w:rFonts w:hint="default" w:ascii="Times New Roman" w:hAnsi="Times New Roman" w:eastAsia="方正仿宋_GBK" w:cs="Times New Roman"/>
          <w:color w:val="000000"/>
          <w:sz w:val="32"/>
          <w:szCs w:val="32"/>
          <w:highlight w:val="none"/>
          <w:lang w:val="en-US" w:eastAsia="zh-CN"/>
        </w:rPr>
        <w:t>医疗</w:t>
      </w:r>
      <w:r>
        <w:rPr>
          <w:rFonts w:hint="eastAsia" w:ascii="Times New Roman" w:hAnsi="Times New Roman" w:eastAsia="方正仿宋_GBK" w:cs="Times New Roman"/>
          <w:color w:val="000000"/>
          <w:sz w:val="32"/>
          <w:szCs w:val="32"/>
          <w:highlight w:val="none"/>
          <w:lang w:val="en-US" w:eastAsia="zh-CN"/>
        </w:rPr>
        <w:t>保险政策规定，调增单位基准缴费费率，</w:t>
      </w:r>
      <w:r>
        <w:rPr>
          <w:rFonts w:hint="default" w:ascii="Times New Roman" w:hAnsi="Times New Roman" w:eastAsia="方正仿宋_GBK" w:cs="Times New Roman"/>
          <w:color w:val="000000"/>
          <w:sz w:val="32"/>
          <w:szCs w:val="32"/>
          <w:highlight w:val="none"/>
          <w:lang w:val="en-US" w:eastAsia="zh-CN"/>
        </w:rPr>
        <w:t>支出</w:t>
      </w:r>
      <w:r>
        <w:rPr>
          <w:rFonts w:hint="eastAsia" w:ascii="Times New Roman" w:hAnsi="Times New Roman" w:eastAsia="方正仿宋_GBK" w:cs="Times New Roman"/>
          <w:color w:val="000000"/>
          <w:sz w:val="32"/>
          <w:szCs w:val="32"/>
          <w:highlight w:val="none"/>
          <w:lang w:val="en-US" w:eastAsia="zh-CN"/>
        </w:rPr>
        <w:t>较上年</w:t>
      </w:r>
      <w:r>
        <w:rPr>
          <w:rFonts w:hint="default" w:ascii="Times New Roman" w:hAnsi="Times New Roman" w:eastAsia="方正仿宋_GBK" w:cs="Times New Roman"/>
          <w:color w:val="000000"/>
          <w:sz w:val="32"/>
          <w:szCs w:val="32"/>
          <w:highlight w:val="none"/>
          <w:lang w:val="en-US" w:eastAsia="zh-CN"/>
        </w:rPr>
        <w:t>增加</w:t>
      </w:r>
      <w:r>
        <w:rPr>
          <w:rFonts w:hint="default" w:ascii="Times New Roman" w:hAnsi="Times New Roman" w:eastAsia="方正仿宋_GBK" w:cs="Times New Roman"/>
          <w:b w:val="0"/>
          <w:sz w:val="32"/>
          <w:szCs w:val="32"/>
          <w:highlight w:val="none"/>
        </w:rPr>
        <w:t>。</w:t>
      </w:r>
    </w:p>
    <w:p w14:paraId="7FCC5C2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16</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卫生健康支出（类）行政事业单位医疗（款）公务员医疗补助（项）：支出决算数为322.41万元，比上年决算增加89.55万元，增长38.46%，主要原因是：在职人员</w:t>
      </w:r>
      <w:r>
        <w:rPr>
          <w:rFonts w:hint="default" w:ascii="Times New Roman" w:hAnsi="Times New Roman" w:eastAsia="方正仿宋_GBK" w:cs="Times New Roman"/>
          <w:b w:val="0"/>
          <w:sz w:val="32"/>
          <w:szCs w:val="32"/>
          <w:lang w:eastAsia="zh-CN"/>
        </w:rPr>
        <w:t>增加</w:t>
      </w:r>
      <w:r>
        <w:rPr>
          <w:rFonts w:hint="default" w:ascii="Times New Roman" w:hAnsi="Times New Roman" w:eastAsia="方正仿宋_GBK" w:cs="Times New Roman"/>
          <w:b w:val="0"/>
          <w:sz w:val="32"/>
          <w:szCs w:val="32"/>
        </w:rPr>
        <w:t>，</w:t>
      </w:r>
      <w:r>
        <w:rPr>
          <w:rFonts w:hint="default"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较上年</w:t>
      </w:r>
      <w:r>
        <w:rPr>
          <w:rFonts w:hint="default" w:ascii="Times New Roman" w:hAnsi="Times New Roman" w:eastAsia="方正仿宋_GBK" w:cs="Times New Roman"/>
          <w:b w:val="0"/>
          <w:sz w:val="32"/>
          <w:szCs w:val="32"/>
          <w:lang w:eastAsia="zh-CN"/>
        </w:rPr>
        <w:t>增加</w:t>
      </w:r>
      <w:r>
        <w:rPr>
          <w:rFonts w:hint="default" w:ascii="Times New Roman" w:hAnsi="Times New Roman" w:eastAsia="方正仿宋_GBK" w:cs="Times New Roman"/>
          <w:b w:val="0"/>
          <w:sz w:val="32"/>
          <w:szCs w:val="32"/>
        </w:rPr>
        <w:t>。</w:t>
      </w:r>
    </w:p>
    <w:p w14:paraId="3B24910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17</w:t>
      </w:r>
      <w:r>
        <w:rPr>
          <w:rFonts w:hint="eastAsia"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住房保障支出（类）住房改革支出（款）住房公积金（项）：支出决算数为539.58万元，比上年决算增加42.91万元，增长8.64%，主要原因是：在职人员职级正常晋升，缴费基数</w:t>
      </w:r>
      <w:r>
        <w:rPr>
          <w:rFonts w:hint="default" w:ascii="Times New Roman" w:hAnsi="Times New Roman" w:eastAsia="方正仿宋_GBK" w:cs="Times New Roman"/>
          <w:b w:val="0"/>
          <w:sz w:val="32"/>
          <w:szCs w:val="32"/>
          <w:lang w:eastAsia="zh-CN"/>
        </w:rPr>
        <w:t>增长</w:t>
      </w:r>
      <w:r>
        <w:rPr>
          <w:rFonts w:hint="default" w:ascii="Times New Roman" w:hAnsi="Times New Roman" w:eastAsia="方正仿宋_GBK" w:cs="Times New Roman"/>
          <w:b w:val="0"/>
          <w:sz w:val="32"/>
          <w:szCs w:val="32"/>
        </w:rPr>
        <w:t>，支出较上年增加。</w:t>
      </w:r>
    </w:p>
    <w:p w14:paraId="7BFB6B5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六、一般公共预算财政拨款基本支出决算情况说明</w:t>
      </w:r>
    </w:p>
    <w:p w14:paraId="0C8FBD9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2025年度一般公共预算财政拨款基本支出10,009.83万元，其中：</w:t>
      </w:r>
      <w:r>
        <w:rPr>
          <w:rFonts w:hint="default" w:ascii="Times New Roman" w:hAnsi="Times New Roman" w:eastAsia="方正仿宋_GBK" w:cs="Times New Roman"/>
          <w:b/>
          <w:bCs/>
          <w:sz w:val="32"/>
          <w:szCs w:val="32"/>
        </w:rPr>
        <w:t>人员经费8,930.91万元，</w:t>
      </w:r>
      <w:r>
        <w:rPr>
          <w:rFonts w:hint="default" w:ascii="Times New Roman" w:hAnsi="Times New Roman" w:eastAsia="方正仿宋_GBK" w:cs="Times New Roman"/>
          <w:b w:val="0"/>
          <w:sz w:val="32"/>
          <w:szCs w:val="32"/>
        </w:rPr>
        <w:t>包括：基本工资、津贴补贴、奖金、绩效工资、机关事业单位基本养老保险缴费、职业年金缴费、职工基本医疗保险缴费、公务员医疗补助缴费、其他社会保障缴费、住房公积金、其他工资福利支出、离休费、退休费、抚恤金、生活补助、奖励金和其他对个人和家庭的补助。</w:t>
      </w:r>
    </w:p>
    <w:p w14:paraId="53E121F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公用经费1,078.91万元，</w:t>
      </w:r>
      <w:r>
        <w:rPr>
          <w:rFonts w:hint="default" w:ascii="Times New Roman" w:hAnsi="Times New Roman" w:eastAsia="方正仿宋_GBK" w:cs="Times New Roman"/>
          <w:b w:val="0"/>
          <w:sz w:val="32"/>
          <w:szCs w:val="32"/>
        </w:rPr>
        <w:t>包括：办公费、印刷费、手续费、水费、电费、邮电费、取暖费、物业管理费、差旅费、维修（护）费、会议费、培训费、公务接待费、劳务费、委托业务费、工会经费、福利费、公务用车运行维护费、其他交通费用、其他商品和服务支出、办公设备购置和其他资本性支出。</w:t>
      </w:r>
    </w:p>
    <w:p w14:paraId="77E9BC3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七、政府性基金预算财政拨款收入支出决算情况说明</w:t>
      </w:r>
    </w:p>
    <w:p w14:paraId="639911C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按照党中央、国务院关于党政机关习惯过紧日子的有关要求，厉行节约办一切事业</w:t>
      </w:r>
      <w:r>
        <w:rPr>
          <w:rFonts w:hint="default" w:ascii="Times New Roman" w:hAnsi="Times New Roman" w:eastAsia="方正仿宋_GBK" w:cs="Times New Roman"/>
          <w:b w:val="0"/>
          <w:sz w:val="32"/>
          <w:szCs w:val="32"/>
          <w:highlight w:val="none"/>
        </w:rPr>
        <w:t>，严控一般性支出。同时坚持有保有压，优化支出结构，提高资金使用效率，合理保障</w:t>
      </w:r>
      <w:r>
        <w:rPr>
          <w:rFonts w:hint="eastAsia" w:ascii="Times New Roman" w:hAnsi="Times New Roman" w:eastAsia="方正仿宋_GBK" w:cs="Times New Roman"/>
          <w:b w:val="0"/>
          <w:sz w:val="32"/>
          <w:szCs w:val="32"/>
          <w:highlight w:val="none"/>
          <w:lang w:eastAsia="zh-CN"/>
        </w:rPr>
        <w:t>民生保障</w:t>
      </w:r>
      <w:r>
        <w:rPr>
          <w:rFonts w:hint="default" w:ascii="Times New Roman" w:hAnsi="Times New Roman" w:eastAsia="方正仿宋_GBK" w:cs="Times New Roman"/>
          <w:b w:val="0"/>
          <w:sz w:val="32"/>
          <w:szCs w:val="32"/>
          <w:highlight w:val="none"/>
        </w:rPr>
        <w:t>等重点支出，体现在有关支出科目中。</w:t>
      </w:r>
    </w:p>
    <w:p w14:paraId="0373B5C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2025年度政府性基金预算财政拨款收入总计5,999.71万元，</w:t>
      </w:r>
      <w:r>
        <w:rPr>
          <w:rFonts w:hint="default" w:ascii="Times New Roman" w:hAnsi="Times New Roman" w:eastAsia="方正仿宋_GBK" w:cs="Times New Roman"/>
          <w:b w:val="0"/>
          <w:sz w:val="32"/>
          <w:szCs w:val="32"/>
        </w:rPr>
        <w:t>其中：年初结转和结余0.00万元，本年收入5,999.71万元。</w:t>
      </w:r>
      <w:r>
        <w:rPr>
          <w:rFonts w:hint="default" w:ascii="Times New Roman" w:hAnsi="Times New Roman" w:eastAsia="方正仿宋_GBK" w:cs="Times New Roman"/>
          <w:b/>
          <w:bCs/>
          <w:sz w:val="32"/>
          <w:szCs w:val="32"/>
        </w:rPr>
        <w:t>政府性基金预算财政拨款支出总计5,999.71万元，</w:t>
      </w:r>
      <w:r>
        <w:rPr>
          <w:rFonts w:hint="default" w:ascii="Times New Roman" w:hAnsi="Times New Roman" w:eastAsia="方正仿宋_GBK" w:cs="Times New Roman"/>
          <w:b w:val="0"/>
          <w:sz w:val="32"/>
          <w:szCs w:val="32"/>
        </w:rPr>
        <w:t>其中：年末结转和结余0.00万元，本年支出5,999.71万元。</w:t>
      </w:r>
    </w:p>
    <w:p w14:paraId="1485AA7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政府性基金预算财政拨款收入支出总体与上年相比，</w:t>
      </w:r>
      <w:r>
        <w:rPr>
          <w:rFonts w:hint="default" w:ascii="Times New Roman" w:hAnsi="Times New Roman" w:eastAsia="方正仿宋_GBK" w:cs="Times New Roman"/>
          <w:b w:val="0"/>
          <w:sz w:val="32"/>
          <w:szCs w:val="32"/>
        </w:rPr>
        <w:t>增加1,946.90万</w:t>
      </w:r>
      <w:r>
        <w:rPr>
          <w:rFonts w:hint="default" w:ascii="Times New Roman" w:hAnsi="Times New Roman" w:eastAsia="方正仿宋_GBK" w:cs="Times New Roman"/>
          <w:b w:val="0"/>
          <w:sz w:val="32"/>
          <w:szCs w:val="32"/>
          <w:highlight w:val="none"/>
        </w:rPr>
        <w:t>元，增长48.04%，主要原因是：</w:t>
      </w:r>
      <w:r>
        <w:rPr>
          <w:rFonts w:hint="eastAsia" w:ascii="Times New Roman" w:hAnsi="Times New Roman" w:eastAsia="方正仿宋_GBK" w:cs="Times New Roman"/>
          <w:b w:val="0"/>
          <w:sz w:val="32"/>
          <w:szCs w:val="32"/>
          <w:highlight w:val="none"/>
          <w:lang w:val="en-US" w:eastAsia="zh-CN"/>
        </w:rPr>
        <w:t>2025年政府性基金项目资金支出较上年增加</w:t>
      </w:r>
      <w:r>
        <w:rPr>
          <w:rFonts w:hint="default" w:ascii="Times New Roman" w:hAnsi="Times New Roman" w:eastAsia="方正仿宋_GBK" w:cs="Times New Roman"/>
          <w:b w:val="0"/>
          <w:sz w:val="32"/>
          <w:szCs w:val="32"/>
          <w:highlight w:val="none"/>
        </w:rPr>
        <w:t>。与年初预算相比，年初预算数6,186.03万元，决算数5,999.71万元，预决算差异</w:t>
      </w:r>
      <w:r>
        <w:rPr>
          <w:rFonts w:hint="default" w:ascii="Times New Roman" w:hAnsi="Times New Roman" w:eastAsia="方正仿宋_GBK" w:cs="Times New Roman"/>
          <w:b w:val="0"/>
          <w:sz w:val="32"/>
          <w:szCs w:val="32"/>
        </w:rPr>
        <w:t>率-3.01%，</w:t>
      </w:r>
      <w:r>
        <w:rPr>
          <w:rFonts w:hint="default" w:ascii="Times New Roman" w:hAnsi="Times New Roman" w:eastAsia="方正仿宋_GBK" w:cs="Times New Roman"/>
          <w:b w:val="0"/>
          <w:sz w:val="32"/>
          <w:szCs w:val="32"/>
          <w:highlight w:val="none"/>
        </w:rPr>
        <w:t>主要原因是：</w:t>
      </w:r>
      <w:r>
        <w:rPr>
          <w:rFonts w:hint="eastAsia" w:ascii="Times New Roman" w:hAnsi="Times New Roman" w:eastAsia="方正仿宋_GBK" w:cs="Times New Roman"/>
          <w:b w:val="0"/>
          <w:sz w:val="32"/>
          <w:szCs w:val="32"/>
          <w:highlight w:val="none"/>
          <w:lang w:eastAsia="zh-CN"/>
        </w:rPr>
        <w:t>自治区财政年中</w:t>
      </w:r>
      <w:r>
        <w:rPr>
          <w:rFonts w:hint="default" w:ascii="Times New Roman" w:hAnsi="Times New Roman" w:eastAsia="方正仿宋_GBK" w:cs="Times New Roman"/>
          <w:b w:val="0"/>
          <w:sz w:val="32"/>
          <w:szCs w:val="32"/>
          <w:highlight w:val="none"/>
        </w:rPr>
        <w:t>追加政府性基金预算财政拨款，</w:t>
      </w:r>
      <w:r>
        <w:rPr>
          <w:rFonts w:hint="default" w:ascii="Times New Roman" w:hAnsi="Times New Roman" w:eastAsia="方正仿宋_GBK" w:cs="Times New Roman"/>
          <w:b w:val="0"/>
          <w:sz w:val="32"/>
          <w:szCs w:val="32"/>
          <w:highlight w:val="none"/>
          <w:lang w:eastAsia="zh-CN"/>
        </w:rPr>
        <w:t>用于</w:t>
      </w:r>
      <w:r>
        <w:rPr>
          <w:rFonts w:hint="default" w:ascii="Times New Roman" w:hAnsi="Times New Roman" w:eastAsia="方正仿宋_GBK" w:cs="Times New Roman"/>
          <w:b w:val="0"/>
          <w:sz w:val="32"/>
          <w:szCs w:val="32"/>
          <w:highlight w:val="none"/>
        </w:rPr>
        <w:t>残疾人康复辅具机构技术改造</w:t>
      </w:r>
      <w:r>
        <w:rPr>
          <w:rFonts w:hint="default" w:ascii="Times New Roman" w:hAnsi="Times New Roman" w:eastAsia="方正仿宋_GBK" w:cs="Times New Roman"/>
          <w:b w:val="0"/>
          <w:sz w:val="32"/>
          <w:szCs w:val="32"/>
          <w:highlight w:val="none"/>
          <w:lang w:eastAsia="zh-CN"/>
        </w:rPr>
        <w:t>项目</w:t>
      </w:r>
      <w:r>
        <w:rPr>
          <w:rFonts w:hint="default" w:ascii="Times New Roman" w:hAnsi="Times New Roman" w:eastAsia="方正仿宋_GBK" w:cs="Times New Roman"/>
          <w:b w:val="0"/>
          <w:sz w:val="32"/>
          <w:szCs w:val="32"/>
        </w:rPr>
        <w:t>。</w:t>
      </w:r>
    </w:p>
    <w:p w14:paraId="7EAC74A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政府性基金预算财政拨款本年支出5,999.71万元。具体情况如下：</w:t>
      </w:r>
    </w:p>
    <w:p w14:paraId="76B3739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eastAsia" w:ascii="Times New Roman" w:hAnsi="Times New Roman" w:eastAsia="方正仿宋_GBK" w:cs="Times New Roman"/>
          <w:b w:val="0"/>
          <w:sz w:val="32"/>
          <w:szCs w:val="32"/>
          <w:lang w:val="en-US" w:eastAsia="zh-CN"/>
        </w:rPr>
        <w:t>1.</w:t>
      </w:r>
      <w:r>
        <w:rPr>
          <w:rFonts w:hint="default" w:ascii="Times New Roman" w:hAnsi="Times New Roman" w:eastAsia="方正仿宋_GBK" w:cs="Times New Roman"/>
          <w:b w:val="0"/>
          <w:sz w:val="32"/>
          <w:szCs w:val="32"/>
        </w:rPr>
        <w:t>其他支出（类）彩票公益金安排的支出（款）用于社会福利的彩票公益金支出（项）：支出决算数为5,999.71万元，比上年决算增</w:t>
      </w:r>
      <w:r>
        <w:rPr>
          <w:rFonts w:hint="default" w:ascii="Times New Roman" w:hAnsi="Times New Roman" w:eastAsia="方正仿宋_GBK" w:cs="Times New Roman"/>
          <w:b w:val="0"/>
          <w:sz w:val="32"/>
          <w:szCs w:val="32"/>
          <w:highlight w:val="none"/>
        </w:rPr>
        <w:t>加1,946.90万元，增长48.04%，主要原因是：</w:t>
      </w:r>
      <w:r>
        <w:rPr>
          <w:rFonts w:hint="eastAsia" w:ascii="Times New Roman" w:hAnsi="Times New Roman" w:eastAsia="方正仿宋_GBK" w:cs="Times New Roman"/>
          <w:b w:val="0"/>
          <w:sz w:val="32"/>
          <w:szCs w:val="32"/>
          <w:highlight w:val="none"/>
          <w:lang w:val="en-US" w:eastAsia="zh-CN"/>
        </w:rPr>
        <w:t>政府性基金项目资金支出较上年增加</w:t>
      </w:r>
      <w:r>
        <w:rPr>
          <w:rFonts w:hint="default" w:ascii="Times New Roman" w:hAnsi="Times New Roman" w:eastAsia="方正仿宋_GBK" w:cs="Times New Roman"/>
          <w:b w:val="0"/>
          <w:sz w:val="32"/>
          <w:szCs w:val="32"/>
          <w:highlight w:val="none"/>
        </w:rPr>
        <w:t>。</w:t>
      </w:r>
    </w:p>
    <w:p w14:paraId="40644E2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八、国有资本经营预算财政拨款收入支出决算情况说明</w:t>
      </w:r>
    </w:p>
    <w:p w14:paraId="6C8AF93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本部门本年度无国有资本经营预算财政拨款收入、支出及结转和结余，国有资本经营预算财政拨款收入支出决算表为空表。</w:t>
      </w:r>
    </w:p>
    <w:p w14:paraId="46DE8AA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九、财政拨款“三公”经费支出决算情况说明</w:t>
      </w:r>
    </w:p>
    <w:p w14:paraId="222913D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2025年度财政拨款“三公”经费支出63.25万元，</w:t>
      </w:r>
      <w:r>
        <w:rPr>
          <w:rFonts w:hint="default" w:ascii="Times New Roman" w:hAnsi="Times New Roman" w:eastAsia="方正仿宋_GBK" w:cs="Times New Roman"/>
          <w:b w:val="0"/>
          <w:sz w:val="32"/>
          <w:szCs w:val="32"/>
        </w:rPr>
        <w:t>比上年增加3.46万元，增长5.79%，主要原因是：按照“三公”经费预算编制要求，严格按预算执行，公务用车购置及运行维护费</w:t>
      </w:r>
      <w:r>
        <w:rPr>
          <w:rFonts w:hint="eastAsia"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较上年增加。其中：因公出国（境）费用支出0.00万元,占0.00%，与上年相比无变化，主要原因是：</w:t>
      </w:r>
      <w:r>
        <w:rPr>
          <w:rFonts w:hint="default" w:ascii="Times New Roman" w:hAnsi="Times New Roman" w:eastAsia="方正仿宋_GBK" w:cs="Times New Roman"/>
          <w:b w:val="0"/>
          <w:sz w:val="32"/>
          <w:szCs w:val="32"/>
          <w:lang w:val="en-US" w:eastAsia="zh-CN"/>
        </w:rPr>
        <w:t>202</w:t>
      </w:r>
      <w:r>
        <w:rPr>
          <w:rFonts w:hint="eastAsia" w:ascii="Times New Roman" w:hAnsi="Times New Roman" w:eastAsia="方正仿宋_GBK" w:cs="Times New Roman"/>
          <w:b w:val="0"/>
          <w:sz w:val="32"/>
          <w:szCs w:val="32"/>
          <w:lang w:val="en-US" w:eastAsia="zh-CN"/>
        </w:rPr>
        <w:t>5</w:t>
      </w:r>
      <w:r>
        <w:rPr>
          <w:rFonts w:hint="default" w:ascii="Times New Roman" w:hAnsi="Times New Roman" w:eastAsia="方正仿宋_GBK" w:cs="Times New Roman"/>
          <w:b w:val="0"/>
          <w:sz w:val="32"/>
          <w:szCs w:val="32"/>
          <w:lang w:val="en-US" w:eastAsia="zh-CN"/>
        </w:rPr>
        <w:t>年</w:t>
      </w:r>
      <w:r>
        <w:rPr>
          <w:rFonts w:hint="default" w:ascii="Times New Roman" w:hAnsi="Times New Roman" w:eastAsia="方正仿宋_GBK" w:cs="Times New Roman"/>
          <w:b w:val="0"/>
          <w:sz w:val="32"/>
          <w:szCs w:val="32"/>
          <w:lang w:eastAsia="zh-CN"/>
        </w:rPr>
        <w:t>未开展</w:t>
      </w:r>
      <w:r>
        <w:rPr>
          <w:rFonts w:hint="default" w:ascii="Times New Roman" w:hAnsi="Times New Roman" w:eastAsia="方正仿宋_GBK" w:cs="Times New Roman"/>
          <w:b w:val="0"/>
          <w:sz w:val="32"/>
          <w:szCs w:val="32"/>
        </w:rPr>
        <w:t>因公出国（境）活动；公务用车购置及运行维护费支出61.93万元，占97.91%，比上年增加4.10万元，增长7.09%，主要原因是：</w:t>
      </w:r>
      <w:r>
        <w:rPr>
          <w:rFonts w:hint="default" w:ascii="Times New Roman" w:hAnsi="Times New Roman" w:eastAsia="方正仿宋_GBK" w:cs="Times New Roman"/>
          <w:b w:val="0"/>
          <w:sz w:val="32"/>
          <w:szCs w:val="32"/>
          <w:lang w:eastAsia="zh-CN"/>
        </w:rPr>
        <w:t>因机构改革，自治区</w:t>
      </w:r>
      <w:r>
        <w:rPr>
          <w:rFonts w:hint="eastAsia" w:ascii="Times New Roman" w:hAnsi="Times New Roman" w:eastAsia="方正仿宋_GBK" w:cs="Times New Roman"/>
          <w:b w:val="0"/>
          <w:sz w:val="32"/>
          <w:szCs w:val="32"/>
          <w:lang w:eastAsia="zh-CN"/>
        </w:rPr>
        <w:t>老年大学和自治区</w:t>
      </w:r>
      <w:r>
        <w:rPr>
          <w:rFonts w:hint="default" w:ascii="Times New Roman" w:hAnsi="Times New Roman" w:eastAsia="方正仿宋_GBK" w:cs="Times New Roman"/>
          <w:b w:val="0"/>
          <w:sz w:val="32"/>
          <w:szCs w:val="32"/>
          <w:lang w:eastAsia="zh-CN"/>
        </w:rPr>
        <w:t>老年康乐报社由自治区卫健委划转至自治区民政厅</w:t>
      </w:r>
      <w:r>
        <w:rPr>
          <w:rFonts w:hint="eastAsia" w:ascii="Times New Roman" w:hAnsi="Times New Roman" w:eastAsia="方正仿宋_GBK" w:cs="Times New Roman"/>
          <w:b w:val="0"/>
          <w:sz w:val="32"/>
          <w:szCs w:val="32"/>
          <w:lang w:eastAsia="zh-CN"/>
        </w:rPr>
        <w:t>，总体支出较上年增加</w:t>
      </w:r>
      <w:r>
        <w:rPr>
          <w:rFonts w:hint="default" w:ascii="Times New Roman" w:hAnsi="Times New Roman" w:eastAsia="方正仿宋_GBK" w:cs="Times New Roman"/>
          <w:b w:val="0"/>
          <w:sz w:val="32"/>
          <w:szCs w:val="32"/>
        </w:rPr>
        <w:t>；公务接待费支出1.32万元，占2.09%，比上年减少0.64万元，下降32.65%，主要原因是：</w:t>
      </w:r>
      <w:r>
        <w:rPr>
          <w:rFonts w:hint="eastAsia" w:ascii="Times New Roman" w:hAnsi="Times New Roman" w:eastAsia="方正仿宋_GBK" w:cs="Times New Roman"/>
          <w:snapToGrid/>
          <w:spacing w:val="0"/>
          <w:kern w:val="2"/>
          <w:sz w:val="32"/>
          <w:szCs w:val="32"/>
          <w:highlight w:val="none"/>
          <w:lang w:val="en-US" w:eastAsia="zh-CN" w:bidi="ar-SA"/>
        </w:rPr>
        <w:t>厉行节约</w:t>
      </w:r>
      <w:r>
        <w:rPr>
          <w:rFonts w:hint="default" w:ascii="Times New Roman" w:hAnsi="Times New Roman" w:eastAsia="方正仿宋_GBK" w:cs="Times New Roman"/>
          <w:snapToGrid/>
          <w:spacing w:val="0"/>
          <w:kern w:val="2"/>
          <w:sz w:val="32"/>
          <w:szCs w:val="32"/>
          <w:highlight w:val="none"/>
          <w:lang w:val="en-US" w:eastAsia="zh-CN" w:bidi="ar-SA"/>
        </w:rPr>
        <w:t>，严格审批，压缩公务接待支出</w:t>
      </w:r>
      <w:r>
        <w:rPr>
          <w:rFonts w:hint="eastAsia" w:ascii="Times New Roman" w:hAnsi="Times New Roman" w:eastAsia="方正仿宋_GBK" w:cs="Times New Roman"/>
          <w:snapToGrid/>
          <w:spacing w:val="0"/>
          <w:kern w:val="2"/>
          <w:sz w:val="32"/>
          <w:szCs w:val="32"/>
          <w:highlight w:val="none"/>
          <w:lang w:val="en-US" w:eastAsia="zh-CN" w:bidi="ar-SA"/>
        </w:rPr>
        <w:t>。</w:t>
      </w:r>
    </w:p>
    <w:p w14:paraId="1B85EAD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具体情况如下：</w:t>
      </w:r>
    </w:p>
    <w:p w14:paraId="6953C0C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因公出国（境）费用0.00万元，开支内容包括。部门全年安排的因公出国（境）团组0个，因公出国（境）0人次。</w:t>
      </w:r>
    </w:p>
    <w:p w14:paraId="0BFF42A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公务用车购置及运行维护费61.93万元，其中：公务用车购置费0.00万元，公务用车运行维护费61.93万元。公务用车运行维护费开支内容包括。公务用车购置数0辆，公务用车保有量32辆。国有资产占用情况中固定资产车辆92辆，与公务用车保有量差异原因是：国有资产占用情况中固定资产车辆存在历史遗留问题待报废车辆。</w:t>
      </w:r>
    </w:p>
    <w:p w14:paraId="5D4CC15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公务接待费1.32万元，开支内容包括接待兄弟省份民政厅等单位前来交流调研费用。部门全年安排的国内公务接待13批次，101人次。</w:t>
      </w:r>
    </w:p>
    <w:p w14:paraId="5933BC0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bCs/>
          <w:sz w:val="32"/>
          <w:szCs w:val="32"/>
        </w:rPr>
        <w:t>与全年预算相比，</w:t>
      </w:r>
      <w:r>
        <w:rPr>
          <w:rFonts w:hint="default" w:ascii="Times New Roman" w:hAnsi="Times New Roman" w:eastAsia="方正仿宋_GBK" w:cs="Times New Roman"/>
          <w:b w:val="0"/>
          <w:sz w:val="32"/>
          <w:szCs w:val="32"/>
        </w:rPr>
        <w:t>财政拨款“三公”经费支出全年预算数64.24万元，决算数63.25万元，预决算差异率-1.54%，主要原因是：</w:t>
      </w:r>
      <w:r>
        <w:rPr>
          <w:rFonts w:hint="default" w:ascii="Times New Roman" w:hAnsi="Times New Roman" w:eastAsia="方正仿宋_GBK" w:cs="Times New Roman"/>
          <w:b w:val="0"/>
          <w:sz w:val="32"/>
          <w:szCs w:val="32"/>
          <w:lang w:eastAsia="zh-CN"/>
        </w:rPr>
        <w:t>严格落实中央八项规定和</w:t>
      </w:r>
      <w:r>
        <w:rPr>
          <w:rFonts w:hint="eastAsia" w:ascii="Times New Roman" w:hAnsi="Times New Roman" w:eastAsia="方正仿宋_GBK" w:cs="Times New Roman"/>
          <w:b w:val="0"/>
          <w:sz w:val="32"/>
          <w:szCs w:val="32"/>
          <w:lang w:eastAsia="zh-CN"/>
        </w:rPr>
        <w:t>习惯</w:t>
      </w:r>
      <w:r>
        <w:rPr>
          <w:rFonts w:hint="default" w:ascii="Times New Roman" w:hAnsi="Times New Roman" w:eastAsia="方正仿宋_GBK" w:cs="Times New Roman"/>
          <w:b w:val="0"/>
          <w:sz w:val="32"/>
          <w:szCs w:val="32"/>
          <w:lang w:eastAsia="zh-CN"/>
        </w:rPr>
        <w:t>过紧日子要求，厉行节约，压减“三公”经费</w:t>
      </w:r>
      <w:r>
        <w:rPr>
          <w:rFonts w:hint="eastAsia"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。其中：因公出国（境）费用全年预算数0.00万元，决算数0.00万元，预决算差异率0.00%，主要原因是：</w:t>
      </w:r>
      <w:r>
        <w:rPr>
          <w:rFonts w:hint="default" w:ascii="Times New Roman" w:hAnsi="Times New Roman" w:eastAsia="方正仿宋_GBK" w:cs="Times New Roman"/>
          <w:b w:val="0"/>
          <w:sz w:val="32"/>
          <w:szCs w:val="32"/>
          <w:lang w:eastAsia="zh-CN"/>
        </w:rPr>
        <w:t>我部门无因公出国（境）支出</w:t>
      </w:r>
      <w:r>
        <w:rPr>
          <w:rFonts w:hint="default" w:ascii="Times New Roman" w:hAnsi="Times New Roman" w:eastAsia="方正仿宋_GBK" w:cs="Times New Roman"/>
          <w:b w:val="0"/>
          <w:sz w:val="32"/>
          <w:szCs w:val="32"/>
        </w:rPr>
        <w:t>；公务用车购置费全年预算数0.00万元，决算数0.00万元，预决算差异率0.00%，主要原因是：我部门无公务用车购置支出；公务用车运行维护费全年预算数62.04万元，决算数61.93万元，预决算差异率-0.18%，主要原因是：</w:t>
      </w:r>
      <w:r>
        <w:rPr>
          <w:rFonts w:hint="default" w:ascii="Times New Roman" w:hAnsi="Times New Roman" w:eastAsia="方正仿宋_GBK" w:cs="Times New Roman"/>
          <w:b w:val="0"/>
          <w:sz w:val="32"/>
          <w:szCs w:val="32"/>
          <w:lang w:eastAsia="zh-CN"/>
        </w:rPr>
        <w:t>严格落实中央八项规定和</w:t>
      </w:r>
      <w:r>
        <w:rPr>
          <w:rFonts w:hint="eastAsia" w:ascii="Times New Roman" w:hAnsi="Times New Roman" w:eastAsia="方正仿宋_GBK" w:cs="Times New Roman"/>
          <w:b w:val="0"/>
          <w:sz w:val="32"/>
          <w:szCs w:val="32"/>
          <w:lang w:eastAsia="zh-CN"/>
        </w:rPr>
        <w:t>习惯</w:t>
      </w:r>
      <w:r>
        <w:rPr>
          <w:rFonts w:hint="default" w:ascii="Times New Roman" w:hAnsi="Times New Roman" w:eastAsia="方正仿宋_GBK" w:cs="Times New Roman"/>
          <w:b w:val="0"/>
          <w:sz w:val="32"/>
          <w:szCs w:val="32"/>
          <w:lang w:eastAsia="zh-CN"/>
        </w:rPr>
        <w:t>过紧日子要求，厉行节约，压减</w:t>
      </w:r>
      <w:r>
        <w:rPr>
          <w:rFonts w:hint="default" w:ascii="Times New Roman" w:hAnsi="Times New Roman" w:eastAsia="方正仿宋_GBK" w:cs="Times New Roman"/>
          <w:b w:val="0"/>
          <w:sz w:val="32"/>
          <w:szCs w:val="32"/>
        </w:rPr>
        <w:t>公务用车运行维护费</w:t>
      </w:r>
      <w:r>
        <w:rPr>
          <w:rFonts w:hint="eastAsia"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；公务接待费全年预算数2.20万元，决算数1.32万元，预决算差异率-40.00%，主要原因是：</w:t>
      </w:r>
      <w:r>
        <w:rPr>
          <w:rFonts w:hint="default" w:ascii="Times New Roman" w:hAnsi="Times New Roman" w:eastAsia="方正仿宋_GBK" w:cs="Times New Roman"/>
          <w:b w:val="0"/>
          <w:sz w:val="32"/>
          <w:szCs w:val="32"/>
          <w:lang w:eastAsia="zh-CN"/>
        </w:rPr>
        <w:t>严格落实中央八项规定和</w:t>
      </w:r>
      <w:r>
        <w:rPr>
          <w:rFonts w:hint="eastAsia" w:ascii="Times New Roman" w:hAnsi="Times New Roman" w:eastAsia="方正仿宋_GBK" w:cs="Times New Roman"/>
          <w:b w:val="0"/>
          <w:sz w:val="32"/>
          <w:szCs w:val="32"/>
          <w:lang w:eastAsia="zh-CN"/>
        </w:rPr>
        <w:t>习惯</w:t>
      </w:r>
      <w:r>
        <w:rPr>
          <w:rFonts w:hint="default" w:ascii="Times New Roman" w:hAnsi="Times New Roman" w:eastAsia="方正仿宋_GBK" w:cs="Times New Roman"/>
          <w:b w:val="0"/>
          <w:sz w:val="32"/>
          <w:szCs w:val="32"/>
          <w:lang w:eastAsia="zh-CN"/>
        </w:rPr>
        <w:t>过紧日子要求，厉行节约</w:t>
      </w:r>
      <w:r>
        <w:rPr>
          <w:rFonts w:hint="eastAsia"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lang w:eastAsia="zh-CN"/>
        </w:rPr>
        <w:t>压减</w:t>
      </w:r>
      <w:r>
        <w:rPr>
          <w:rFonts w:hint="default" w:ascii="Times New Roman" w:hAnsi="Times New Roman" w:eastAsia="方正仿宋_GBK" w:cs="Times New Roman"/>
          <w:b w:val="0"/>
          <w:sz w:val="32"/>
          <w:szCs w:val="32"/>
        </w:rPr>
        <w:t>公务接待费</w:t>
      </w:r>
      <w:r>
        <w:rPr>
          <w:rFonts w:hint="eastAsia"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rPr>
        <w:t>。</w:t>
      </w:r>
    </w:p>
    <w:p w14:paraId="490E192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十、其他重要事项的情况说明</w:t>
      </w:r>
    </w:p>
    <w:p w14:paraId="1D59598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方正楷体_GBK" w:hAnsi="方正楷体_GBK" w:eastAsia="方正楷体_GBK" w:cs="方正楷体_GBK"/>
          <w:b w:val="0"/>
          <w:sz w:val="32"/>
          <w:szCs w:val="32"/>
        </w:rPr>
      </w:pPr>
      <w:r>
        <w:rPr>
          <w:rFonts w:hint="default" w:ascii="方正楷体_GBK" w:hAnsi="方正楷体_GBK" w:eastAsia="方正楷体_GBK" w:cs="方正楷体_GBK"/>
          <w:b w:val="0"/>
          <w:sz w:val="32"/>
          <w:szCs w:val="32"/>
        </w:rPr>
        <w:t>（一）机关运行经费及公用经费支出情况</w:t>
      </w:r>
    </w:p>
    <w:p w14:paraId="40AB9E1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2025年度新疆维吾尔自治区民政厅（行政单位和参照公务员法管理事业单位）机关运行经费支出620.84万元，比上年增加19.39万元，增长3.22%，</w:t>
      </w:r>
      <w:r>
        <w:rPr>
          <w:rFonts w:hint="default" w:ascii="Times New Roman" w:hAnsi="Times New Roman" w:eastAsia="方正仿宋_GBK" w:cs="Times New Roman"/>
          <w:b w:val="0"/>
          <w:sz w:val="32"/>
          <w:szCs w:val="32"/>
          <w:highlight w:val="none"/>
        </w:rPr>
        <w:t>主要原因是：</w:t>
      </w:r>
      <w:r>
        <w:rPr>
          <w:rFonts w:hint="eastAsia" w:ascii="Times New Roman" w:hAnsi="Times New Roman" w:eastAsia="方正仿宋_GBK" w:cs="Times New Roman"/>
          <w:b w:val="0"/>
          <w:sz w:val="32"/>
          <w:szCs w:val="32"/>
          <w:highlight w:val="none"/>
          <w:lang w:val="en-US" w:eastAsia="zh-CN"/>
        </w:rPr>
        <w:t>2025年取暖费缴费标准提高，取暖费支出较上年增加</w:t>
      </w:r>
      <w:r>
        <w:rPr>
          <w:rFonts w:hint="default" w:ascii="Times New Roman" w:hAnsi="Times New Roman" w:eastAsia="方正仿宋_GBK" w:cs="Times New Roman"/>
          <w:b w:val="0"/>
          <w:sz w:val="32"/>
          <w:szCs w:val="32"/>
          <w:highlight w:val="none"/>
        </w:rPr>
        <w:t>。</w:t>
      </w:r>
    </w:p>
    <w:p w14:paraId="656A409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2025年度新疆维吾尔自治区民政厅（事业单位）公用经费支出458.07万元，191.08万元，增长71.57%，主要原因是：</w:t>
      </w:r>
      <w:r>
        <w:rPr>
          <w:rFonts w:hint="eastAsia" w:ascii="Times New Roman" w:hAnsi="Times New Roman" w:eastAsia="方正仿宋_GBK" w:cs="Times New Roman"/>
          <w:b w:val="0"/>
          <w:sz w:val="32"/>
          <w:szCs w:val="32"/>
          <w:highlight w:val="none"/>
          <w:lang w:val="en-US" w:eastAsia="zh-CN"/>
        </w:rPr>
        <w:t>2025年取暖费缴费标准提高，</w:t>
      </w:r>
      <w:r>
        <w:rPr>
          <w:rFonts w:hint="eastAsia" w:ascii="Times New Roman" w:hAnsi="Times New Roman" w:eastAsia="方正仿宋_GBK" w:cs="Times New Roman"/>
          <w:b w:val="0"/>
          <w:sz w:val="32"/>
          <w:szCs w:val="32"/>
          <w:lang w:eastAsia="zh-CN"/>
        </w:rPr>
        <w:t>支出</w:t>
      </w:r>
      <w:r>
        <w:rPr>
          <w:rFonts w:hint="default" w:ascii="Times New Roman" w:hAnsi="Times New Roman" w:eastAsia="方正仿宋_GBK" w:cs="Times New Roman"/>
          <w:b w:val="0"/>
          <w:sz w:val="32"/>
          <w:szCs w:val="32"/>
          <w:lang w:eastAsia="zh-CN"/>
        </w:rPr>
        <w:t>较上年增加</w:t>
      </w:r>
      <w:r>
        <w:rPr>
          <w:rFonts w:hint="default" w:ascii="Times New Roman" w:hAnsi="Times New Roman" w:eastAsia="方正仿宋_GBK" w:cs="Times New Roman"/>
          <w:b w:val="0"/>
          <w:sz w:val="32"/>
          <w:szCs w:val="32"/>
        </w:rPr>
        <w:t>。</w:t>
      </w:r>
    </w:p>
    <w:p w14:paraId="662DB52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方正楷体_GBK" w:hAnsi="方正楷体_GBK" w:eastAsia="方正楷体_GBK" w:cs="方正楷体_GBK"/>
          <w:b w:val="0"/>
          <w:sz w:val="32"/>
          <w:szCs w:val="32"/>
        </w:rPr>
      </w:pPr>
      <w:r>
        <w:rPr>
          <w:rFonts w:hint="default" w:ascii="方正楷体_GBK" w:hAnsi="方正楷体_GBK" w:eastAsia="方正楷体_GBK" w:cs="方正楷体_GBK"/>
          <w:b w:val="0"/>
          <w:sz w:val="32"/>
          <w:szCs w:val="32"/>
        </w:rPr>
        <w:t>（二）政府采购情况</w:t>
      </w:r>
    </w:p>
    <w:p w14:paraId="1A466CE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2025年度政府采购支出总额6,036.66万元，其中：政府采购货物支出628.49万元、政府采购工程支出98.84万元、政府采购服务支出5,309.32万元。</w:t>
      </w:r>
    </w:p>
    <w:p w14:paraId="638DC46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授予中小企业合同金额2,403.46万元，占政府采购支出总额的39.81%，其中：授予小微企业合同金额1,912.86万元，占政府采购支出总额的31.69%。</w:t>
      </w:r>
    </w:p>
    <w:p w14:paraId="4C036EF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方正楷体_GBK" w:hAnsi="方正楷体_GBK" w:eastAsia="方正楷体_GBK" w:cs="方正楷体_GBK"/>
          <w:b w:val="0"/>
          <w:sz w:val="32"/>
          <w:szCs w:val="32"/>
        </w:rPr>
      </w:pPr>
      <w:r>
        <w:rPr>
          <w:rFonts w:hint="default" w:ascii="方正楷体_GBK" w:hAnsi="方正楷体_GBK" w:eastAsia="方正楷体_GBK" w:cs="方正楷体_GBK"/>
          <w:b w:val="0"/>
          <w:sz w:val="32"/>
          <w:szCs w:val="32"/>
        </w:rPr>
        <w:t>（三）国有资产占用情况说明</w:t>
      </w:r>
    </w:p>
    <w:p w14:paraId="2AF318C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截至2025年12月31日，房屋212,911.56平方米，价值47,218.87万元。车辆92辆，价值1,653.88万元，其中：副部（省）级及以上领导用车0辆、主要负责人用车6辆、机要通信用车0辆、应急保障用车0辆、执法执勤用车0辆、特种专业技术用车5辆、离退休干部服务用车2辆、其他用车79辆，其他用车主要是：保障专项业务开展和办公运行的公务用车及业务用车;单价100万元（含）以上设备（不含车辆）8台（套）。</w:t>
      </w:r>
    </w:p>
    <w:p w14:paraId="0CC4192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十一、预算绩效的情况说明</w:t>
      </w:r>
    </w:p>
    <w:p w14:paraId="6492150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Times New Roman" w:hAnsi="Times New Roman" w:eastAsia="方正仿宋_GBK" w:cs="Times New Roman"/>
          <w:b w:val="0"/>
          <w:sz w:val="32"/>
          <w:szCs w:val="32"/>
        </w:rPr>
      </w:pPr>
      <w:r>
        <w:rPr>
          <w:rFonts w:hint="eastAsia" w:ascii="Times New Roman" w:hAnsi="Times New Roman" w:eastAsia="方正仿宋_GBK" w:cs="Times New Roman"/>
          <w:b w:val="0"/>
          <w:sz w:val="32"/>
          <w:szCs w:val="32"/>
        </w:rPr>
        <w:t>根据预算绩效管理要求，本部门2025年度预算绩效管理形成整体支出绩效自评表1个，全年预算总额22309.86万元，实际执行总额21420.7万元；预算绩效评价项目</w:t>
      </w:r>
      <w:r>
        <w:rPr>
          <w:rFonts w:hint="eastAsia" w:ascii="Times New Roman" w:hAnsi="Times New Roman" w:eastAsia="方正仿宋_GBK" w:cs="Times New Roman"/>
          <w:b w:val="0"/>
          <w:sz w:val="32"/>
          <w:szCs w:val="32"/>
          <w:lang w:val="en-US" w:eastAsia="zh-CN"/>
        </w:rPr>
        <w:t>21</w:t>
      </w:r>
      <w:r>
        <w:rPr>
          <w:rFonts w:hint="eastAsia" w:ascii="Times New Roman" w:hAnsi="Times New Roman" w:eastAsia="方正仿宋_GBK" w:cs="Times New Roman"/>
          <w:b w:val="0"/>
          <w:sz w:val="32"/>
          <w:szCs w:val="32"/>
        </w:rPr>
        <w:t>个，全年预算数</w:t>
      </w:r>
      <w:r>
        <w:rPr>
          <w:rFonts w:hint="eastAsia" w:ascii="Times New Roman" w:hAnsi="Times New Roman" w:eastAsia="方正仿宋_GBK" w:cs="Times New Roman"/>
          <w:b w:val="0"/>
          <w:sz w:val="32"/>
          <w:szCs w:val="32"/>
          <w:lang w:val="en-US" w:eastAsia="zh-CN"/>
        </w:rPr>
        <w:t>11360.72</w:t>
      </w:r>
      <w:r>
        <w:rPr>
          <w:rFonts w:hint="eastAsia" w:ascii="Times New Roman" w:hAnsi="Times New Roman" w:eastAsia="方正仿宋_GBK" w:cs="Times New Roman"/>
          <w:b w:val="0"/>
          <w:sz w:val="32"/>
          <w:szCs w:val="32"/>
        </w:rPr>
        <w:t>万元，全年执行数</w:t>
      </w:r>
      <w:r>
        <w:rPr>
          <w:rFonts w:hint="eastAsia" w:ascii="Times New Roman" w:hAnsi="Times New Roman" w:eastAsia="方正仿宋_GBK" w:cs="Times New Roman"/>
          <w:b w:val="0"/>
          <w:sz w:val="32"/>
          <w:szCs w:val="32"/>
          <w:lang w:val="en-US" w:eastAsia="zh-CN"/>
        </w:rPr>
        <w:t>10560.56万元。</w:t>
      </w:r>
      <w:r>
        <w:rPr>
          <w:rFonts w:hint="eastAsia" w:ascii="Times New Roman" w:hAnsi="Times New Roman" w:eastAsia="方正仿宋_GBK" w:cs="Times New Roman"/>
          <w:b w:val="0"/>
          <w:sz w:val="32"/>
          <w:szCs w:val="32"/>
        </w:rPr>
        <w:t>预算绩效管理取得的成效：</w:t>
      </w:r>
      <w:r>
        <w:rPr>
          <w:rFonts w:hint="eastAsia" w:ascii="Times New Roman" w:hAnsi="Times New Roman" w:eastAsia="方正仿宋_GBK" w:cs="Times New Roman"/>
          <w:b w:val="0"/>
          <w:sz w:val="32"/>
          <w:szCs w:val="32"/>
          <w:lang w:eastAsia="zh-CN"/>
        </w:rPr>
        <w:t>在工作中，</w:t>
      </w:r>
      <w:r>
        <w:rPr>
          <w:rFonts w:hint="eastAsia" w:ascii="Times New Roman" w:hAnsi="Times New Roman" w:eastAsia="方正仿宋_GBK" w:cs="Times New Roman"/>
          <w:b w:val="0"/>
          <w:sz w:val="32"/>
          <w:szCs w:val="32"/>
        </w:rPr>
        <w:t>采取线上监测与线下督导结合，</w:t>
      </w:r>
      <w:r>
        <w:rPr>
          <w:rFonts w:hint="eastAsia" w:ascii="Times New Roman" w:hAnsi="Times New Roman" w:eastAsia="方正仿宋_GBK" w:cs="Times New Roman"/>
          <w:b w:val="0"/>
          <w:sz w:val="32"/>
          <w:szCs w:val="32"/>
          <w:lang w:eastAsia="zh-CN"/>
        </w:rPr>
        <w:t>印发</w:t>
      </w:r>
      <w:r>
        <w:rPr>
          <w:rFonts w:hint="eastAsia" w:ascii="Times New Roman" w:hAnsi="Times New Roman" w:eastAsia="方正仿宋_GBK" w:cs="Times New Roman"/>
          <w:b w:val="0"/>
          <w:sz w:val="32"/>
          <w:szCs w:val="32"/>
        </w:rPr>
        <w:t>工作动态、工作提醒和督办函，提升监管能力；完善内部管理制度，出台相关执行方案和经费采购等办法，健全内控体系；协同内部审计与财会监督，对照相关规定开展自查整改，推动问题销号。发现的问题及原因：</w:t>
      </w:r>
      <w:r>
        <w:rPr>
          <w:rFonts w:hint="eastAsia" w:ascii="Times New Roman" w:hAnsi="Times New Roman" w:eastAsia="方正仿宋_GBK" w:cs="Times New Roman"/>
          <w:b w:val="0"/>
          <w:sz w:val="32"/>
          <w:szCs w:val="32"/>
          <w:lang w:eastAsia="zh-CN"/>
        </w:rPr>
        <w:t>在工作中，</w:t>
      </w:r>
      <w:r>
        <w:rPr>
          <w:rFonts w:hint="eastAsia" w:ascii="Times New Roman" w:hAnsi="Times New Roman" w:eastAsia="方正仿宋_GBK" w:cs="Times New Roman"/>
          <w:b w:val="0"/>
          <w:sz w:val="32"/>
          <w:szCs w:val="32"/>
        </w:rPr>
        <w:t>对绩效管理认识不够深入，重投入轻管理，审核把关不严；基础工作不扎实，绩效监控和自评不规范，目标设定不科学，人员变动影响衔接；项目推进缓慢，前期谋划不足，督导不力，施工期短影响进度；监督贯通协调能力不足，措施不够坚决。下一步改进措施：推动全过程管理转型，加强宣传培训；将评价结果与预算编制挂钩，按等级应用，削减低效项目，制定一体化实施方案；建立资金动态管理机制，列出时间表加强预警督办；强化审计财会等监督贯通，落实跟踪调度，及时预警纠正，确保资金安全有效。具体附整体支出绩效自评表、项目支出绩效自评表及项目支出绩效评价报告。</w:t>
      </w:r>
      <w:bookmarkStart w:id="0" w:name="_GoBack"/>
      <w:bookmarkEnd w:id="0"/>
    </w:p>
    <w:p w14:paraId="507332D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十二、其他需说明的事项</w:t>
      </w:r>
    </w:p>
    <w:p w14:paraId="674602B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pPr>
      <w:r>
        <w:rPr>
          <w:rFonts w:hint="eastAsia" w:ascii="Times New Roman" w:hAnsi="Times New Roman" w:eastAsia="方正仿宋_GBK" w:cs="Times New Roman"/>
          <w:b w:val="0"/>
          <w:sz w:val="32"/>
          <w:szCs w:val="32"/>
          <w:lang w:val="en" w:eastAsia="zh-CN"/>
        </w:rPr>
        <w:t>我部门部分项目无单独绩效自评表，涉及全年预算数3815.8万元、全年执行数3595.64万元。</w:t>
      </w:r>
    </w:p>
    <w:p w14:paraId="13887E9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仿宋_GB2312" w:cs="Times New Roman"/>
          <w:sz w:val="32"/>
          <w:szCs w:val="32"/>
        </w:rPr>
      </w:pPr>
    </w:p>
    <w:p w14:paraId="666015A9">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362C7902">
      <w:pPr>
        <w:keepNext w:val="0"/>
        <w:keepLines w:val="0"/>
        <w:pageBreakBefore w:val="0"/>
        <w:widowControl/>
        <w:numPr>
          <w:ilvl w:val="0"/>
          <w:numId w:val="2"/>
        </w:numPr>
        <w:kinsoku/>
        <w:wordWrap/>
        <w:overflowPunct/>
        <w:topLinePunct w:val="0"/>
        <w:autoSpaceDE/>
        <w:autoSpaceDN/>
        <w:bidi w:val="0"/>
        <w:adjustRightInd/>
        <w:snapToGrid/>
        <w:spacing w:before="0" w:beforeLines="0" w:beforeAutospacing="0" w:after="0" w:afterLines="0" w:afterAutospacing="0" w:line="560" w:lineRule="exact"/>
        <w:ind w:left="0" w:leftChars="0" w:firstLine="0" w:firstLineChars="0"/>
        <w:jc w:val="center"/>
        <w:textAlignment w:val="auto"/>
        <w:outlineLvl w:val="0"/>
        <w:rPr>
          <w:rFonts w:hint="eastAsia" w:ascii="方正小标宋_GBK" w:hAnsi="方正小标宋_GBK" w:eastAsia="方正小标宋_GBK" w:cs="方正小标宋_GBK"/>
          <w:b w:val="0"/>
          <w:sz w:val="44"/>
          <w:szCs w:val="44"/>
        </w:rPr>
      </w:pPr>
      <w:r>
        <w:rPr>
          <w:rFonts w:hint="eastAsia" w:ascii="方正小标宋_GBK" w:hAnsi="方正小标宋_GBK" w:eastAsia="方正小标宋_GBK" w:cs="方正小标宋_GBK"/>
          <w:b w:val="0"/>
          <w:sz w:val="44"/>
          <w:szCs w:val="44"/>
          <w:lang w:val="en-US" w:eastAsia="zh-CN"/>
        </w:rPr>
        <w:t xml:space="preserve"> </w:t>
      </w:r>
      <w:r>
        <w:rPr>
          <w:rFonts w:hint="eastAsia" w:ascii="方正小标宋_GBK" w:hAnsi="方正小标宋_GBK" w:eastAsia="方正小标宋_GBK" w:cs="方正小标宋_GBK"/>
          <w:b w:val="0"/>
          <w:sz w:val="44"/>
          <w:szCs w:val="44"/>
        </w:rPr>
        <w:t>专业名词解释</w:t>
      </w:r>
    </w:p>
    <w:p w14:paraId="6FD0DC01">
      <w:pPr>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leftChars="0"/>
        <w:jc w:val="both"/>
        <w:textAlignment w:val="auto"/>
        <w:outlineLvl w:val="0"/>
        <w:rPr>
          <w:rFonts w:hint="eastAsia" w:ascii="方正小标宋_GBK" w:hAnsi="方正小标宋_GBK" w:eastAsia="方正小标宋_GBK" w:cs="方正小标宋_GBK"/>
          <w:b w:val="0"/>
          <w:sz w:val="44"/>
          <w:szCs w:val="44"/>
        </w:rPr>
      </w:pPr>
    </w:p>
    <w:p w14:paraId="6B59B66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eastAsia" w:ascii="黑体" w:hAnsi="黑体" w:eastAsia="黑体" w:cs="黑体"/>
          <w:b w:val="0"/>
          <w:bCs w:val="0"/>
          <w:sz w:val="32"/>
          <w:szCs w:val="32"/>
        </w:rPr>
        <w:t>一、财政拨款收入：</w:t>
      </w:r>
      <w:r>
        <w:rPr>
          <w:rFonts w:hint="default" w:ascii="Times New Roman" w:hAnsi="Times New Roman" w:eastAsia="方正仿宋_GBK" w:cs="Times New Roman"/>
          <w:b w:val="0"/>
          <w:sz w:val="32"/>
          <w:szCs w:val="32"/>
        </w:rPr>
        <w:t>指单位本年度从同级财政部门取得的财政拨款，包括一般公共预算财政拨款、政府性基金预算财政拨款和国有资本经营预算财政拨款。</w:t>
      </w:r>
    </w:p>
    <w:p w14:paraId="53AD305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二、上级补助收入：</w:t>
      </w:r>
      <w:r>
        <w:rPr>
          <w:rFonts w:hint="default" w:ascii="Times New Roman" w:hAnsi="Times New Roman" w:eastAsia="方正仿宋_GBK" w:cs="Times New Roman"/>
          <w:b w:val="0"/>
          <w:sz w:val="32"/>
          <w:szCs w:val="32"/>
        </w:rPr>
        <w:t>指事业单位从主管部门和上级单位取得的非财政补助收入。</w:t>
      </w:r>
    </w:p>
    <w:p w14:paraId="02BA0B9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三、事业收入：</w:t>
      </w:r>
      <w:r>
        <w:rPr>
          <w:rFonts w:hint="default" w:ascii="Times New Roman" w:hAnsi="Times New Roman" w:eastAsia="方正仿宋_GBK" w:cs="Times New Roman"/>
          <w:b w:val="0"/>
          <w:sz w:val="32"/>
          <w:szCs w:val="32"/>
        </w:rPr>
        <w:t>指事业单位开展专业业务活动及其辅助活动取得的收入。</w:t>
      </w:r>
    </w:p>
    <w:p w14:paraId="1292BB4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四、经营收入：</w:t>
      </w:r>
      <w:r>
        <w:rPr>
          <w:rFonts w:hint="default" w:ascii="Times New Roman" w:hAnsi="Times New Roman" w:eastAsia="方正仿宋_GBK" w:cs="Times New Roman"/>
          <w:b w:val="0"/>
          <w:sz w:val="32"/>
          <w:szCs w:val="32"/>
        </w:rPr>
        <w:t>指事业单位在专业业务活动及其辅助活动之外开展非独立核算经营活动取得的收入。</w:t>
      </w:r>
    </w:p>
    <w:p w14:paraId="77740D8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五、附属单位上缴收入：</w:t>
      </w:r>
      <w:r>
        <w:rPr>
          <w:rFonts w:hint="default" w:ascii="Times New Roman" w:hAnsi="Times New Roman" w:eastAsia="方正仿宋_GBK" w:cs="Times New Roman"/>
          <w:b w:val="0"/>
          <w:sz w:val="32"/>
          <w:szCs w:val="32"/>
        </w:rPr>
        <w:t>指事业单位附属独立核算单位按照有关规定上缴的收入。</w:t>
      </w:r>
    </w:p>
    <w:p w14:paraId="214EF51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六、其他收入：</w:t>
      </w:r>
      <w:r>
        <w:rPr>
          <w:rFonts w:hint="default" w:ascii="Times New Roman" w:hAnsi="Times New Roman" w:eastAsia="方正仿宋_GBK" w:cs="Times New Roman"/>
          <w:b w:val="0"/>
          <w:sz w:val="32"/>
          <w:szCs w:val="32"/>
        </w:rPr>
        <w:t>指单位取得的除上述“财政拨款收入”“上级补助收入”“事业收入”“经营收入”“附属单位上缴收入”以外的各项收入。</w:t>
      </w:r>
    </w:p>
    <w:p w14:paraId="35AB18D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七、年初结转和结余：</w:t>
      </w:r>
      <w:r>
        <w:rPr>
          <w:rFonts w:hint="default" w:ascii="Times New Roman" w:hAnsi="Times New Roman" w:eastAsia="方正仿宋_GBK" w:cs="Times New Roman"/>
          <w:b w:val="0"/>
          <w:sz w:val="32"/>
          <w:szCs w:val="32"/>
        </w:rPr>
        <w:t>指单位上年结转本年使用的基本支出结转、项目支出结转和结余、经营结余。</w:t>
      </w:r>
    </w:p>
    <w:p w14:paraId="6021170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八、使用非财政拨款结余（含专用结余）：</w:t>
      </w:r>
      <w:r>
        <w:rPr>
          <w:rFonts w:hint="default" w:ascii="Times New Roman" w:hAnsi="Times New Roman" w:eastAsia="方正仿宋_GBK" w:cs="Times New Roman"/>
          <w:b w:val="0"/>
          <w:sz w:val="32"/>
          <w:szCs w:val="32"/>
        </w:rPr>
        <w:t>指单位按照预算管理要求使用非财政拨款结余弥补收支差额的金额，以及使用专用结余安排支出的金额。</w:t>
      </w:r>
    </w:p>
    <w:p w14:paraId="6EB8F2A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九、结余分配：</w:t>
      </w:r>
      <w:r>
        <w:rPr>
          <w:rFonts w:hint="default" w:ascii="Times New Roman" w:hAnsi="Times New Roman" w:eastAsia="方正仿宋_GBK" w:cs="Times New Roman"/>
          <w:b w:val="0"/>
          <w:sz w:val="32"/>
          <w:szCs w:val="32"/>
        </w:rPr>
        <w:t>指单位缴纳企业所得税以及从非财政拨款结余或经营结余中提取各类结余的情况。</w:t>
      </w:r>
    </w:p>
    <w:p w14:paraId="7DEC166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十、年末结转和结余：</w:t>
      </w:r>
      <w:r>
        <w:rPr>
          <w:rFonts w:hint="default" w:ascii="Times New Roman" w:hAnsi="Times New Roman" w:eastAsia="方正仿宋_GBK" w:cs="Times New Roman"/>
          <w:b w:val="0"/>
          <w:sz w:val="32"/>
          <w:szCs w:val="32"/>
        </w:rPr>
        <w:t>指单位结转下年的基本支出结转、项目支出结转和结余、经营结余。</w:t>
      </w:r>
    </w:p>
    <w:p w14:paraId="5494DA3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十一、基本支出：</w:t>
      </w:r>
      <w:r>
        <w:rPr>
          <w:rFonts w:hint="default" w:ascii="Times New Roman" w:hAnsi="Times New Roman" w:eastAsia="方正仿宋_GBK" w:cs="Times New Roman"/>
          <w:b w:val="0"/>
          <w:sz w:val="32"/>
          <w:szCs w:val="32"/>
        </w:rPr>
        <w:t>指单位为保障机构正常运转、完成日常工作任务而发生的各项支出。</w:t>
      </w:r>
    </w:p>
    <w:p w14:paraId="2D829B4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十二、项目支出：</w:t>
      </w:r>
      <w:r>
        <w:rPr>
          <w:rFonts w:hint="default" w:ascii="Times New Roman" w:hAnsi="Times New Roman" w:eastAsia="方正仿宋_GBK" w:cs="Times New Roman"/>
          <w:b w:val="0"/>
          <w:sz w:val="32"/>
          <w:szCs w:val="32"/>
        </w:rPr>
        <w:t>指单位为完成特定的行政工作任务或事业发展目标，在基本支出之外发生的各项支出。</w:t>
      </w:r>
    </w:p>
    <w:p w14:paraId="13B2E1B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十三、上缴上级支出：</w:t>
      </w:r>
      <w:r>
        <w:rPr>
          <w:rFonts w:hint="default" w:ascii="Times New Roman" w:hAnsi="Times New Roman" w:eastAsia="方正仿宋_GBK" w:cs="Times New Roman"/>
          <w:b w:val="0"/>
          <w:sz w:val="32"/>
          <w:szCs w:val="32"/>
        </w:rPr>
        <w:t>指事业单位按照财政部门和主管部门的规定上缴上级单位的支出。</w:t>
      </w:r>
    </w:p>
    <w:p w14:paraId="1B13F24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十四、经营支出：</w:t>
      </w:r>
      <w:r>
        <w:rPr>
          <w:rFonts w:hint="default" w:ascii="Times New Roman" w:hAnsi="Times New Roman" w:eastAsia="方正仿宋_GBK" w:cs="Times New Roman"/>
          <w:b w:val="0"/>
          <w:sz w:val="32"/>
          <w:szCs w:val="32"/>
        </w:rPr>
        <w:t>指事业单位在专业活动及辅助活动之外开展非独立核算经营活动发生的支出。</w:t>
      </w:r>
    </w:p>
    <w:p w14:paraId="6677851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十五、对附属单位补助支出：</w:t>
      </w:r>
      <w:r>
        <w:rPr>
          <w:rFonts w:hint="default" w:ascii="Times New Roman" w:hAnsi="Times New Roman" w:eastAsia="方正仿宋_GBK" w:cs="Times New Roman"/>
          <w:b w:val="0"/>
          <w:sz w:val="32"/>
          <w:szCs w:val="32"/>
        </w:rPr>
        <w:t>指事业单位用财政补助收入之外的收入对附属单位补助发生的支出。</w:t>
      </w:r>
    </w:p>
    <w:p w14:paraId="3496CF5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十六、“三公”经费：</w:t>
      </w:r>
      <w:r>
        <w:rPr>
          <w:rFonts w:hint="default" w:ascii="Times New Roman" w:hAnsi="Times New Roman" w:eastAsia="方正仿宋_GBK" w:cs="Times New Roman"/>
          <w:b w:val="0"/>
          <w:sz w:val="32"/>
          <w:szCs w:val="32"/>
        </w:rPr>
        <w:t>指单位使用财政拨款安排的因公出国（境）费用、公务用车购置及运行维护费和公务接待费。其中，因公出国（境）费用反映单位公务出国（境）的国际旅费、国外城市间交通费、住宿费、伙食费、培训费、公杂费等支出；公务用车购置费反映公务用车购置支出（含车辆购置税、牌照费）；公务用车运行维护费反映单位按规定保留的公务用车燃料费、新能源汽车充电费、维修费、过路过桥费、保险费、安全奖励费用等支出；公务接待费反映单位按规定开支的各类公务接待（含外宾接待）费用。</w:t>
      </w:r>
    </w:p>
    <w:p w14:paraId="1CA2EC1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黑体" w:hAnsi="黑体" w:eastAsia="黑体" w:cs="黑体"/>
          <w:b w:val="0"/>
          <w:bCs w:val="0"/>
          <w:sz w:val="32"/>
          <w:szCs w:val="32"/>
        </w:rPr>
        <w:t>十七、机关运行经费：</w:t>
      </w:r>
      <w:r>
        <w:rPr>
          <w:rFonts w:hint="default" w:ascii="Times New Roman" w:hAnsi="Times New Roman" w:eastAsia="方正仿宋_GBK" w:cs="Times New Roman"/>
          <w:b w:val="0"/>
          <w:sz w:val="32"/>
          <w:szCs w:val="32"/>
        </w:rPr>
        <w:t>指行政单位和参照公务员法管理的事业单位财政拨款基本支出中的公用经费支出。</w:t>
      </w:r>
    </w:p>
    <w:p w14:paraId="4DCB76DA">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61593760">
      <w:pPr>
        <w:keepNext w:val="0"/>
        <w:keepLines w:val="0"/>
        <w:pageBreakBefore w:val="0"/>
        <w:widowControl/>
        <w:numPr>
          <w:ilvl w:val="0"/>
          <w:numId w:val="2"/>
        </w:numPr>
        <w:kinsoku/>
        <w:wordWrap/>
        <w:overflowPunct/>
        <w:topLinePunct w:val="0"/>
        <w:autoSpaceDE/>
        <w:autoSpaceDN/>
        <w:bidi w:val="0"/>
        <w:adjustRightInd/>
        <w:snapToGrid/>
        <w:spacing w:before="0" w:beforeLines="0" w:beforeAutospacing="0" w:after="0" w:afterLines="0" w:afterAutospacing="0" w:line="560" w:lineRule="exact"/>
        <w:ind w:left="0" w:leftChars="0" w:firstLine="0" w:firstLineChars="0"/>
        <w:jc w:val="center"/>
        <w:textAlignment w:val="auto"/>
        <w:outlineLvl w:val="0"/>
        <w:rPr>
          <w:rFonts w:hint="eastAsia" w:ascii="方正小标宋_GBK" w:hAnsi="方正小标宋_GBK" w:eastAsia="方正小标宋_GBK" w:cs="方正小标宋_GBK"/>
          <w:b w:val="0"/>
          <w:sz w:val="44"/>
          <w:szCs w:val="44"/>
        </w:rPr>
      </w:pPr>
      <w:r>
        <w:rPr>
          <w:rFonts w:hint="eastAsia" w:ascii="方正小标宋_GBK" w:hAnsi="方正小标宋_GBK" w:eastAsia="方正小标宋_GBK" w:cs="方正小标宋_GBK"/>
          <w:b w:val="0"/>
          <w:sz w:val="44"/>
          <w:szCs w:val="44"/>
          <w:lang w:val="en-US" w:eastAsia="zh-CN"/>
        </w:rPr>
        <w:t xml:space="preserve"> </w:t>
      </w:r>
      <w:r>
        <w:rPr>
          <w:rFonts w:hint="eastAsia" w:ascii="方正小标宋_GBK" w:hAnsi="方正小标宋_GBK" w:eastAsia="方正小标宋_GBK" w:cs="方正小标宋_GBK"/>
          <w:b w:val="0"/>
          <w:sz w:val="44"/>
          <w:szCs w:val="44"/>
        </w:rPr>
        <w:t>部门决算报表（见附表）</w:t>
      </w:r>
    </w:p>
    <w:p w14:paraId="294F5B7D">
      <w:pPr>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560" w:lineRule="exact"/>
        <w:ind w:leftChars="0"/>
        <w:jc w:val="both"/>
        <w:textAlignment w:val="auto"/>
        <w:outlineLvl w:val="0"/>
        <w:rPr>
          <w:rFonts w:hint="eastAsia" w:ascii="方正小标宋_GBK" w:hAnsi="方正小标宋_GBK" w:eastAsia="方正小标宋_GBK" w:cs="方正小标宋_GBK"/>
          <w:b w:val="0"/>
          <w:sz w:val="44"/>
          <w:szCs w:val="44"/>
        </w:rPr>
      </w:pPr>
    </w:p>
    <w:p w14:paraId="00093EE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一、《收入支出决算总表》</w:t>
      </w:r>
    </w:p>
    <w:p w14:paraId="25B0946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二、《收入决算表》</w:t>
      </w:r>
    </w:p>
    <w:p w14:paraId="33C59B2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三、《支出决算表》</w:t>
      </w:r>
    </w:p>
    <w:p w14:paraId="472F61C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四、《财政拨款收入支出决算总表》</w:t>
      </w:r>
    </w:p>
    <w:p w14:paraId="566AE16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五、《一般公共预算财政拨款支出决算表》</w:t>
      </w:r>
    </w:p>
    <w:p w14:paraId="136A5AB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六、《一般公共预算财政拨款基本支出决算表》</w:t>
      </w:r>
    </w:p>
    <w:p w14:paraId="6D2E13E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七、《政府性基金预算财政拨款收入支出决算表》</w:t>
      </w:r>
    </w:p>
    <w:p w14:paraId="7BED36C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八、《国有资本经营预算财政拨款收入支出决算表》</w:t>
      </w:r>
    </w:p>
    <w:p w14:paraId="0E772F1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rPr>
      </w:pPr>
      <w:r>
        <w:rPr>
          <w:rFonts w:hint="default" w:ascii="Times New Roman" w:hAnsi="Times New Roman" w:eastAsia="方正仿宋_GBK" w:cs="Times New Roman"/>
          <w:b w:val="0"/>
          <w:sz w:val="32"/>
          <w:szCs w:val="32"/>
        </w:rPr>
        <w:t>九、《财政拨款“三公”经费支出决算表》</w:t>
      </w:r>
    </w:p>
    <w:sectPr>
      <w:footerReference r:id="rId6" w:type="default"/>
      <w:pgSz w:w="12240" w:h="15840"/>
      <w:pgMar w:top="1440" w:right="1800" w:bottom="1440" w:left="1800" w:header="720" w:footer="720"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30304000000000000"/>
    <w:charset w:val="86"/>
    <w:family w:val="auto"/>
    <w:pitch w:val="default"/>
    <w:sig w:usb0="E7FFAEFF" w:usb1="F9FFFFFF" w:usb2="000FFDFF" w:usb3="00000000" w:csb0="603F01FF" w:csb1="FFFF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Times New Roman"/>
    <w:panose1 w:val="020F0502020204030204"/>
    <w:charset w:val="86"/>
    <w:family w:val="swiss"/>
    <w:pitch w:val="default"/>
    <w:sig w:usb0="00000000" w:usb1="00000000" w:usb2="00000001" w:usb3="00000000" w:csb0="0000019F" w:csb1="00000000"/>
  </w:font>
  <w:font w:name="Calibri">
    <w:altName w:val="Times New Roman"/>
    <w:panose1 w:val="020F0502020204030204"/>
    <w:charset w:val="86"/>
    <w:family w:val="swiss"/>
    <w:pitch w:val="default"/>
    <w:sig w:usb0="00000000" w:usb1="00000000" w:usb2="00000001" w:usb3="00000000" w:csb0="0000019F" w:csb1="00000000"/>
  </w:font>
  <w:font w:name="Calibri">
    <w:altName w:val="Times New Roman"/>
    <w:panose1 w:val="00000000000000000000"/>
    <w:charset w:val="00"/>
    <w:family w:val="auto"/>
    <w:pitch w:val="default"/>
    <w:sig w:usb0="00000000" w:usb1="00000000" w:usb2="00000000" w:usb3="00000000" w:csb0="00000000" w:csb1="00000000"/>
  </w:font>
  <w:font w:name="Cambria">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70B1E">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13621">
    <w:pPr>
      <w:pStyle w:val="8"/>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15694014">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B68912"/>
    <w:multiLevelType w:val="singleLevel"/>
    <w:tmpl w:val="FBB68912"/>
    <w:lvl w:ilvl="0" w:tentative="0">
      <w:start w:val="2"/>
      <w:numFmt w:val="chineseCounting"/>
      <w:suff w:val="space"/>
      <w:lvlText w:val="第%1部分"/>
      <w:lvlJc w:val="left"/>
      <w:rPr>
        <w:rFonts w:hint="eastAsia"/>
      </w:rPr>
    </w:lvl>
  </w:abstractNum>
  <w:abstractNum w:abstractNumId="1">
    <w:nsid w:val="FFF9C30F"/>
    <w:multiLevelType w:val="singleLevel"/>
    <w:tmpl w:val="FFF9C30F"/>
    <w:lvl w:ilvl="0" w:tentative="0">
      <w:start w:val="1"/>
      <w:numFmt w:val="chineseCounting"/>
      <w:suff w:val="space"/>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documentProtection w:enforcement="0"/>
  <w:hdrShapeDefaults>
    <o:shapelayout v:ext="edit">
      <o:idmap v:ext="edit" data="3,4"/>
    </o:shapelayout>
  </w:hdrShapeDefaults>
  <w:footnotePr>
    <w:footnote w:id="0"/>
    <w:footnote w:id="1"/>
  </w:footnotePr>
  <w:endnotePr>
    <w:endnote w:id="0"/>
    <w:endnote w:id="1"/>
  </w:endnotePr>
  <w:compat>
    <w:useFELayout/>
    <w:compatSetting w:name="compatibilityMode" w:uri="http://schemas.microsoft.com/office/word" w:val="12"/>
    <w:compatSetting w:name="overrideTableStyleFontSizeAndJustification" w:uri="http://schemas.microsoft.com/office/word" w:val="1"/>
  </w:compat>
  <w:rsids>
    <w:rsidRoot w:val="00000000"/>
    <w:rsid w:val="024FD241"/>
    <w:rsid w:val="0F7B3E92"/>
    <w:rsid w:val="14F64FE1"/>
    <w:rsid w:val="17FFE8AB"/>
    <w:rsid w:val="1BF2B715"/>
    <w:rsid w:val="1EF7A207"/>
    <w:rsid w:val="1F59284E"/>
    <w:rsid w:val="1FF85E80"/>
    <w:rsid w:val="2BDF42C7"/>
    <w:rsid w:val="2BFF6F3F"/>
    <w:rsid w:val="2D6FB732"/>
    <w:rsid w:val="2D9CD43D"/>
    <w:rsid w:val="2DFB3948"/>
    <w:rsid w:val="2F730F03"/>
    <w:rsid w:val="2F9DE665"/>
    <w:rsid w:val="2F9FCE4E"/>
    <w:rsid w:val="2FFCCF5E"/>
    <w:rsid w:val="364C652C"/>
    <w:rsid w:val="36D36AB8"/>
    <w:rsid w:val="37FB3234"/>
    <w:rsid w:val="37FBA537"/>
    <w:rsid w:val="3A7FDE74"/>
    <w:rsid w:val="3BBF1D52"/>
    <w:rsid w:val="3BFBC98A"/>
    <w:rsid w:val="3D3E0ACF"/>
    <w:rsid w:val="3D775AC9"/>
    <w:rsid w:val="3D7D478B"/>
    <w:rsid w:val="3F7BC434"/>
    <w:rsid w:val="3FD968F7"/>
    <w:rsid w:val="3FF73B63"/>
    <w:rsid w:val="3FF7E966"/>
    <w:rsid w:val="3FFF1642"/>
    <w:rsid w:val="4C6DC35F"/>
    <w:rsid w:val="4FBFBAC7"/>
    <w:rsid w:val="55FFB026"/>
    <w:rsid w:val="566F7F8D"/>
    <w:rsid w:val="57FE82FA"/>
    <w:rsid w:val="57FF18F2"/>
    <w:rsid w:val="5B72D96A"/>
    <w:rsid w:val="5BBE8ECE"/>
    <w:rsid w:val="5BBEA96F"/>
    <w:rsid w:val="5BFF55C9"/>
    <w:rsid w:val="5CBBA41A"/>
    <w:rsid w:val="5CDDDE6A"/>
    <w:rsid w:val="5CFB3C5F"/>
    <w:rsid w:val="5D7BC8DB"/>
    <w:rsid w:val="5DFEBA60"/>
    <w:rsid w:val="5ECD4837"/>
    <w:rsid w:val="5EDFC125"/>
    <w:rsid w:val="5FDE2682"/>
    <w:rsid w:val="5FFBF223"/>
    <w:rsid w:val="5FFFA85B"/>
    <w:rsid w:val="628F3CB4"/>
    <w:rsid w:val="65D1FE6E"/>
    <w:rsid w:val="65E7A286"/>
    <w:rsid w:val="65EFF106"/>
    <w:rsid w:val="67BE5F44"/>
    <w:rsid w:val="67D7C200"/>
    <w:rsid w:val="67EF5A34"/>
    <w:rsid w:val="68A7909A"/>
    <w:rsid w:val="6B23965E"/>
    <w:rsid w:val="6B758278"/>
    <w:rsid w:val="6DDF2265"/>
    <w:rsid w:val="6DFD27E0"/>
    <w:rsid w:val="6EBE642E"/>
    <w:rsid w:val="6EE3D608"/>
    <w:rsid w:val="6EEDDFB3"/>
    <w:rsid w:val="6EF7E17B"/>
    <w:rsid w:val="6EF909AF"/>
    <w:rsid w:val="6F74AF01"/>
    <w:rsid w:val="6F96B92D"/>
    <w:rsid w:val="6FF493BE"/>
    <w:rsid w:val="6FFF04E5"/>
    <w:rsid w:val="735EF046"/>
    <w:rsid w:val="73CEC53D"/>
    <w:rsid w:val="73EDFC67"/>
    <w:rsid w:val="7556C001"/>
    <w:rsid w:val="757220DB"/>
    <w:rsid w:val="7575B08B"/>
    <w:rsid w:val="75766270"/>
    <w:rsid w:val="763AD67B"/>
    <w:rsid w:val="76C3546B"/>
    <w:rsid w:val="76EB60B2"/>
    <w:rsid w:val="776FD1FC"/>
    <w:rsid w:val="776FE232"/>
    <w:rsid w:val="77AE0A27"/>
    <w:rsid w:val="77BED7A0"/>
    <w:rsid w:val="77DE0406"/>
    <w:rsid w:val="77DF255E"/>
    <w:rsid w:val="77FB9C3F"/>
    <w:rsid w:val="79BDB403"/>
    <w:rsid w:val="79C34023"/>
    <w:rsid w:val="79CBA916"/>
    <w:rsid w:val="79F78375"/>
    <w:rsid w:val="79FD827C"/>
    <w:rsid w:val="79FE5892"/>
    <w:rsid w:val="79FF480F"/>
    <w:rsid w:val="7A7ADE34"/>
    <w:rsid w:val="7ABBA5D1"/>
    <w:rsid w:val="7AEBD102"/>
    <w:rsid w:val="7B4FFD65"/>
    <w:rsid w:val="7B5BF43B"/>
    <w:rsid w:val="7B7B73DC"/>
    <w:rsid w:val="7B7F3036"/>
    <w:rsid w:val="7BA61D6D"/>
    <w:rsid w:val="7BAFC784"/>
    <w:rsid w:val="7BDF0C33"/>
    <w:rsid w:val="7BFB2BEC"/>
    <w:rsid w:val="7BFD314E"/>
    <w:rsid w:val="7BFF0AC3"/>
    <w:rsid w:val="7D373B56"/>
    <w:rsid w:val="7D535918"/>
    <w:rsid w:val="7DAC9C1E"/>
    <w:rsid w:val="7DB81767"/>
    <w:rsid w:val="7DCAEF59"/>
    <w:rsid w:val="7DF6A692"/>
    <w:rsid w:val="7E762684"/>
    <w:rsid w:val="7E7750A5"/>
    <w:rsid w:val="7E777D0E"/>
    <w:rsid w:val="7E7B243E"/>
    <w:rsid w:val="7ECEA37F"/>
    <w:rsid w:val="7ED7FCC5"/>
    <w:rsid w:val="7EE7C528"/>
    <w:rsid w:val="7EF99FB4"/>
    <w:rsid w:val="7F27AD06"/>
    <w:rsid w:val="7F3F8B7E"/>
    <w:rsid w:val="7F573D7F"/>
    <w:rsid w:val="7F5CBC22"/>
    <w:rsid w:val="7F6F15AC"/>
    <w:rsid w:val="7F759435"/>
    <w:rsid w:val="7F7BD448"/>
    <w:rsid w:val="7F7BE48E"/>
    <w:rsid w:val="7F7D9F62"/>
    <w:rsid w:val="7F7E29BF"/>
    <w:rsid w:val="7F9F5FC1"/>
    <w:rsid w:val="7FB681B5"/>
    <w:rsid w:val="7FBD718E"/>
    <w:rsid w:val="7FBE7DAC"/>
    <w:rsid w:val="7FD7FC7F"/>
    <w:rsid w:val="7FDF2FA7"/>
    <w:rsid w:val="7FE98520"/>
    <w:rsid w:val="7FEA0EFE"/>
    <w:rsid w:val="7FEF472E"/>
    <w:rsid w:val="7FF1AE5F"/>
    <w:rsid w:val="7FFB2FC2"/>
    <w:rsid w:val="7FFCD874"/>
    <w:rsid w:val="7FFD6F93"/>
    <w:rsid w:val="7FFF39C7"/>
    <w:rsid w:val="86E5E5D0"/>
    <w:rsid w:val="975F7EC3"/>
    <w:rsid w:val="9B9D7CBF"/>
    <w:rsid w:val="9CFF710D"/>
    <w:rsid w:val="9DBE5355"/>
    <w:rsid w:val="9EB37CFF"/>
    <w:rsid w:val="9ED57A6E"/>
    <w:rsid w:val="9F5D36FA"/>
    <w:rsid w:val="9F7F8AD8"/>
    <w:rsid w:val="9F90CF2D"/>
    <w:rsid w:val="9FFF5FBA"/>
    <w:rsid w:val="A73BFEAB"/>
    <w:rsid w:val="A7EBED2B"/>
    <w:rsid w:val="A7F73BC4"/>
    <w:rsid w:val="ACBF87A8"/>
    <w:rsid w:val="ADF739E5"/>
    <w:rsid w:val="AFDD204F"/>
    <w:rsid w:val="B5CF980C"/>
    <w:rsid w:val="B6F6A57E"/>
    <w:rsid w:val="B7F76BFB"/>
    <w:rsid w:val="B7FA30DD"/>
    <w:rsid w:val="B8F798D4"/>
    <w:rsid w:val="B9FF6409"/>
    <w:rsid w:val="BBFECE9A"/>
    <w:rsid w:val="BBFF1B4F"/>
    <w:rsid w:val="BCB1607D"/>
    <w:rsid w:val="BCFF5FF6"/>
    <w:rsid w:val="BDDFDD97"/>
    <w:rsid w:val="BDF7A8D8"/>
    <w:rsid w:val="BDFE499F"/>
    <w:rsid w:val="BEADA8D3"/>
    <w:rsid w:val="BEEFDAAA"/>
    <w:rsid w:val="BEFFA62F"/>
    <w:rsid w:val="BEFFD8DE"/>
    <w:rsid w:val="BF758D51"/>
    <w:rsid w:val="BF7F2A97"/>
    <w:rsid w:val="BFDA627E"/>
    <w:rsid w:val="BFDB35B8"/>
    <w:rsid w:val="BFEB2841"/>
    <w:rsid w:val="BFEF4D89"/>
    <w:rsid w:val="BFF37372"/>
    <w:rsid w:val="C25D783B"/>
    <w:rsid w:val="C3715EA7"/>
    <w:rsid w:val="C8FDF7D4"/>
    <w:rsid w:val="C9FFE0E8"/>
    <w:rsid w:val="CA679B2A"/>
    <w:rsid w:val="CABBEFAD"/>
    <w:rsid w:val="CBF61385"/>
    <w:rsid w:val="CF7B7FAF"/>
    <w:rsid w:val="CFF73637"/>
    <w:rsid w:val="D3EFE446"/>
    <w:rsid w:val="D5D94BBF"/>
    <w:rsid w:val="D6BF4B60"/>
    <w:rsid w:val="D70E03ED"/>
    <w:rsid w:val="D736BE94"/>
    <w:rsid w:val="D7FB8B08"/>
    <w:rsid w:val="DBFB2D78"/>
    <w:rsid w:val="DD1F993F"/>
    <w:rsid w:val="DD371377"/>
    <w:rsid w:val="DD77CE74"/>
    <w:rsid w:val="DD9F2D2D"/>
    <w:rsid w:val="DDD75B5B"/>
    <w:rsid w:val="DDEFFB62"/>
    <w:rsid w:val="DEB68AC8"/>
    <w:rsid w:val="DECBC118"/>
    <w:rsid w:val="DED7635F"/>
    <w:rsid w:val="DEF36D6C"/>
    <w:rsid w:val="DF4E3947"/>
    <w:rsid w:val="DF6BCDA0"/>
    <w:rsid w:val="DF717DAF"/>
    <w:rsid w:val="DF77A036"/>
    <w:rsid w:val="DF7EB6D9"/>
    <w:rsid w:val="DFB95692"/>
    <w:rsid w:val="DFBFDA80"/>
    <w:rsid w:val="DFEFF24C"/>
    <w:rsid w:val="DFFD395B"/>
    <w:rsid w:val="E1FF80F1"/>
    <w:rsid w:val="E3EBBA0D"/>
    <w:rsid w:val="E3F7B0EB"/>
    <w:rsid w:val="E4FD319B"/>
    <w:rsid w:val="E52C355C"/>
    <w:rsid w:val="E56DE505"/>
    <w:rsid w:val="E6F70061"/>
    <w:rsid w:val="E6F9705D"/>
    <w:rsid w:val="E73B325B"/>
    <w:rsid w:val="E7BB3153"/>
    <w:rsid w:val="E7E760B6"/>
    <w:rsid w:val="E7FBEFB3"/>
    <w:rsid w:val="EB3BCD77"/>
    <w:rsid w:val="EB3F9574"/>
    <w:rsid w:val="EB5733D5"/>
    <w:rsid w:val="EBAF617C"/>
    <w:rsid w:val="EBF2E905"/>
    <w:rsid w:val="EBF78614"/>
    <w:rsid w:val="EC2E1C36"/>
    <w:rsid w:val="ECDF6E0F"/>
    <w:rsid w:val="EDF7D896"/>
    <w:rsid w:val="EEBB9540"/>
    <w:rsid w:val="EED19539"/>
    <w:rsid w:val="EEF4E47E"/>
    <w:rsid w:val="EEF5C7C4"/>
    <w:rsid w:val="EF3E1871"/>
    <w:rsid w:val="EF673EE8"/>
    <w:rsid w:val="EF7A71DF"/>
    <w:rsid w:val="EF7E61FD"/>
    <w:rsid w:val="EFDC0B23"/>
    <w:rsid w:val="EFE7D231"/>
    <w:rsid w:val="EFFBAFC6"/>
    <w:rsid w:val="EFFE0D3D"/>
    <w:rsid w:val="EFFE4DC8"/>
    <w:rsid w:val="EFFF6DED"/>
    <w:rsid w:val="F1AF9469"/>
    <w:rsid w:val="F1DB3921"/>
    <w:rsid w:val="F3F6590D"/>
    <w:rsid w:val="F55C2242"/>
    <w:rsid w:val="F55FD95C"/>
    <w:rsid w:val="F5F789A6"/>
    <w:rsid w:val="F5FDC473"/>
    <w:rsid w:val="F6C7F7D8"/>
    <w:rsid w:val="F6DBD465"/>
    <w:rsid w:val="F6EB697B"/>
    <w:rsid w:val="F6EFF5E6"/>
    <w:rsid w:val="F6F70A7B"/>
    <w:rsid w:val="F6F76312"/>
    <w:rsid w:val="F6FF9B0C"/>
    <w:rsid w:val="F7715229"/>
    <w:rsid w:val="F7C75ED1"/>
    <w:rsid w:val="F7EF9483"/>
    <w:rsid w:val="F7FF633A"/>
    <w:rsid w:val="F995C66F"/>
    <w:rsid w:val="F9EF100C"/>
    <w:rsid w:val="F9FD018B"/>
    <w:rsid w:val="FA1BF889"/>
    <w:rsid w:val="FA6C7451"/>
    <w:rsid w:val="FAD72E02"/>
    <w:rsid w:val="FAFFB7AD"/>
    <w:rsid w:val="FB7D8E60"/>
    <w:rsid w:val="FB7E7CE5"/>
    <w:rsid w:val="FB8EF7A4"/>
    <w:rsid w:val="FB998D63"/>
    <w:rsid w:val="FB9FAD9F"/>
    <w:rsid w:val="FBFD9414"/>
    <w:rsid w:val="FBFE78C2"/>
    <w:rsid w:val="FC6B6498"/>
    <w:rsid w:val="FCD8D365"/>
    <w:rsid w:val="FCEBE295"/>
    <w:rsid w:val="FCFFA2D4"/>
    <w:rsid w:val="FCFFD044"/>
    <w:rsid w:val="FCFFDAD9"/>
    <w:rsid w:val="FD677B35"/>
    <w:rsid w:val="FD7F5A03"/>
    <w:rsid w:val="FD977FB1"/>
    <w:rsid w:val="FD9F9193"/>
    <w:rsid w:val="FDBB4819"/>
    <w:rsid w:val="FDCFC1A0"/>
    <w:rsid w:val="FDDD3FD9"/>
    <w:rsid w:val="FDEF78F5"/>
    <w:rsid w:val="FDF10D93"/>
    <w:rsid w:val="FDF26EA4"/>
    <w:rsid w:val="FDFC1B7A"/>
    <w:rsid w:val="FDFE4914"/>
    <w:rsid w:val="FE5B1B19"/>
    <w:rsid w:val="FEBDE8A6"/>
    <w:rsid w:val="FEBFFADC"/>
    <w:rsid w:val="FEC5D603"/>
    <w:rsid w:val="FECE3D3A"/>
    <w:rsid w:val="FEDECDB1"/>
    <w:rsid w:val="FEDF4FF2"/>
    <w:rsid w:val="FEEE9FE5"/>
    <w:rsid w:val="FEFEA7F0"/>
    <w:rsid w:val="FEFF16BF"/>
    <w:rsid w:val="FEFF5495"/>
    <w:rsid w:val="FEFF82FF"/>
    <w:rsid w:val="FF76C17A"/>
    <w:rsid w:val="FF774767"/>
    <w:rsid w:val="FF7F9A82"/>
    <w:rsid w:val="FFBB389E"/>
    <w:rsid w:val="FFCF1150"/>
    <w:rsid w:val="FFEDE501"/>
    <w:rsid w:val="FFEE4264"/>
    <w:rsid w:val="FFEE951B"/>
    <w:rsid w:val="FFEF0E91"/>
    <w:rsid w:val="FFEF8AD7"/>
    <w:rsid w:val="FFEF9CA8"/>
    <w:rsid w:val="FFF14FAF"/>
    <w:rsid w:val="FFF4D3C9"/>
    <w:rsid w:val="FFFB3C09"/>
    <w:rsid w:val="FFFD3004"/>
    <w:rsid w:val="FFFEA705"/>
    <w:rsid w:val="FFFED7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8"/>
    <w:qFormat/>
    <w:uiPriority w:val="9"/>
    <w:pPr>
      <w:keepNext/>
      <w:keepLines/>
      <w:spacing w:before="48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19"/>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4">
    <w:name w:val="heading 3"/>
    <w:basedOn w:val="1"/>
    <w:next w:val="1"/>
    <w:link w:val="20"/>
    <w:unhideWhenUsed/>
    <w:qFormat/>
    <w:uiPriority w:val="9"/>
    <w:pPr>
      <w:keepNext/>
      <w:keepLines/>
      <w:spacing w:before="200"/>
      <w:outlineLvl w:val="2"/>
    </w:pPr>
    <w:rPr>
      <w:rFonts w:asciiTheme="majorHAnsi" w:hAnsiTheme="majorHAnsi" w:eastAsiaTheme="majorEastAsia" w:cstheme="majorBidi"/>
      <w:b/>
      <w:bCs/>
      <w:color w:val="4F81BD" w:themeColor="accent1"/>
    </w:rPr>
  </w:style>
  <w:style w:type="paragraph" w:styleId="5">
    <w:name w:val="heading 4"/>
    <w:basedOn w:val="1"/>
    <w:next w:val="1"/>
    <w:link w:val="21"/>
    <w:unhideWhenUsed/>
    <w:qFormat/>
    <w:uiPriority w:val="9"/>
    <w:pPr>
      <w:keepNext/>
      <w:keepLines/>
      <w:spacing w:before="200"/>
      <w:outlineLvl w:val="3"/>
    </w:pPr>
    <w:rPr>
      <w:rFonts w:asciiTheme="majorHAnsi" w:hAnsiTheme="majorHAnsi" w:eastAsiaTheme="majorEastAsia" w:cstheme="majorBidi"/>
      <w:b/>
      <w:bCs/>
      <w:i/>
      <w:iCs/>
      <w:color w:val="4F81BD" w:themeColor="accent1"/>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rPr>
  </w:style>
  <w:style w:type="paragraph" w:styleId="8">
    <w:name w:val="footer"/>
    <w:basedOn w:val="1"/>
    <w:semiHidden/>
    <w:unhideWhenUsed/>
    <w:qFormat/>
    <w:uiPriority w:val="99"/>
    <w:pPr>
      <w:tabs>
        <w:tab w:val="center" w:pos="4153"/>
        <w:tab w:val="right" w:pos="8306"/>
      </w:tabs>
      <w:snapToGrid w:val="0"/>
      <w:jc w:val="left"/>
    </w:pPr>
    <w:rPr>
      <w:sz w:val="18"/>
    </w:rPr>
  </w:style>
  <w:style w:type="paragraph" w:styleId="9">
    <w:name w:val="header"/>
    <w:basedOn w:val="1"/>
    <w:link w:val="17"/>
    <w:unhideWhenUsed/>
    <w:qFormat/>
    <w:uiPriority w:val="99"/>
    <w:pPr>
      <w:tabs>
        <w:tab w:val="center" w:pos="4680"/>
        <w:tab w:val="right" w:pos="9360"/>
      </w:tabs>
    </w:pPr>
  </w:style>
  <w:style w:type="paragraph" w:styleId="10">
    <w:name w:val="Subtitle"/>
    <w:basedOn w:val="1"/>
    <w:next w:val="1"/>
    <w:link w:val="22"/>
    <w:qFormat/>
    <w:uiPriority w:val="11"/>
    <w:pPr>
      <w:ind w:left="86"/>
    </w:pPr>
    <w:rPr>
      <w:rFonts w:asciiTheme="majorHAnsi" w:hAnsiTheme="majorHAnsi" w:eastAsiaTheme="majorEastAsia" w:cstheme="majorBidi"/>
      <w:i/>
      <w:iCs/>
      <w:color w:val="4F81BD" w:themeColor="accent1"/>
      <w:spacing w:val="15"/>
      <w:sz w:val="24"/>
      <w:szCs w:val="24"/>
    </w:rPr>
  </w:style>
  <w:style w:type="paragraph" w:styleId="11">
    <w:name w:val="Title"/>
    <w:basedOn w:val="1"/>
    <w:next w:val="1"/>
    <w:link w:val="23"/>
    <w:qFormat/>
    <w:uiPriority w:val="10"/>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table" w:styleId="13">
    <w:name w:val="Table Grid"/>
    <w:basedOn w:val="12"/>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5">
    <w:name w:val="Emphasis"/>
    <w:basedOn w:val="14"/>
    <w:qFormat/>
    <w:uiPriority w:val="20"/>
    <w:rPr>
      <w:i/>
      <w:iCs/>
    </w:rPr>
  </w:style>
  <w:style w:type="character" w:styleId="16">
    <w:name w:val="Hyperlink"/>
    <w:basedOn w:val="14"/>
    <w:unhideWhenUsed/>
    <w:qFormat/>
    <w:uiPriority w:val="99"/>
    <w:rPr>
      <w:color w:val="0000FF" w:themeColor="hyperlink"/>
      <w:u w:val="single"/>
    </w:rPr>
  </w:style>
  <w:style w:type="character" w:customStyle="1" w:styleId="17">
    <w:name w:val="Header Char"/>
    <w:basedOn w:val="14"/>
    <w:link w:val="9"/>
    <w:qFormat/>
    <w:uiPriority w:val="99"/>
  </w:style>
  <w:style w:type="character" w:customStyle="1" w:styleId="18">
    <w:name w:val="Heading 1 Char"/>
    <w:basedOn w:val="14"/>
    <w:link w:val="2"/>
    <w:qFormat/>
    <w:uiPriority w:val="9"/>
    <w:rPr>
      <w:rFonts w:asciiTheme="majorHAnsi" w:hAnsiTheme="majorHAnsi" w:eastAsiaTheme="majorEastAsia" w:cstheme="majorBidi"/>
      <w:b/>
      <w:bCs/>
      <w:color w:val="366091" w:themeColor="accent1" w:themeShade="BF"/>
      <w:sz w:val="28"/>
      <w:szCs w:val="28"/>
    </w:rPr>
  </w:style>
  <w:style w:type="character" w:customStyle="1" w:styleId="19">
    <w:name w:val="Heading 2 Char"/>
    <w:basedOn w:val="14"/>
    <w:link w:val="3"/>
    <w:qFormat/>
    <w:uiPriority w:val="9"/>
    <w:rPr>
      <w:rFonts w:asciiTheme="majorHAnsi" w:hAnsiTheme="majorHAnsi" w:eastAsiaTheme="majorEastAsia" w:cstheme="majorBidi"/>
      <w:b/>
      <w:bCs/>
      <w:color w:val="4F81BD" w:themeColor="accent1"/>
      <w:sz w:val="26"/>
      <w:szCs w:val="26"/>
    </w:rPr>
  </w:style>
  <w:style w:type="character" w:customStyle="1" w:styleId="20">
    <w:name w:val="Heading 3 Char"/>
    <w:basedOn w:val="14"/>
    <w:link w:val="4"/>
    <w:qFormat/>
    <w:uiPriority w:val="9"/>
    <w:rPr>
      <w:rFonts w:asciiTheme="majorHAnsi" w:hAnsiTheme="majorHAnsi" w:eastAsiaTheme="majorEastAsia" w:cstheme="majorBidi"/>
      <w:b/>
      <w:bCs/>
      <w:color w:val="4F81BD" w:themeColor="accent1"/>
    </w:rPr>
  </w:style>
  <w:style w:type="character" w:customStyle="1" w:styleId="21">
    <w:name w:val="Heading 4 Char"/>
    <w:basedOn w:val="14"/>
    <w:link w:val="5"/>
    <w:qFormat/>
    <w:uiPriority w:val="9"/>
    <w:rPr>
      <w:rFonts w:asciiTheme="majorHAnsi" w:hAnsiTheme="majorHAnsi" w:eastAsiaTheme="majorEastAsia" w:cstheme="majorBidi"/>
      <w:b/>
      <w:bCs/>
      <w:i/>
      <w:iCs/>
      <w:color w:val="4F81BD" w:themeColor="accent1"/>
    </w:rPr>
  </w:style>
  <w:style w:type="character" w:customStyle="1" w:styleId="22">
    <w:name w:val="Subtitle Char"/>
    <w:basedOn w:val="14"/>
    <w:link w:val="10"/>
    <w:qFormat/>
    <w:uiPriority w:val="11"/>
    <w:rPr>
      <w:rFonts w:asciiTheme="majorHAnsi" w:hAnsiTheme="majorHAnsi" w:eastAsiaTheme="majorEastAsia" w:cstheme="majorBidi"/>
      <w:i/>
      <w:iCs/>
      <w:color w:val="4F81BD" w:themeColor="accent1"/>
      <w:spacing w:val="15"/>
      <w:sz w:val="24"/>
      <w:szCs w:val="24"/>
    </w:rPr>
  </w:style>
  <w:style w:type="character" w:customStyle="1" w:styleId="23">
    <w:name w:val="Title Char"/>
    <w:basedOn w:val="14"/>
    <w:link w:val="11"/>
    <w:qFormat/>
    <w:uiPriority w:val="10"/>
    <w:rPr>
      <w:rFonts w:asciiTheme="majorHAnsi" w:hAnsiTheme="majorHAnsi" w:eastAsiaTheme="majorEastAsia" w:cstheme="majorBidi"/>
      <w:color w:val="17365D" w:themeColor="text2" w:themeShade="BF"/>
      <w:spacing w:val="5"/>
      <w:kern w:val="28"/>
      <w:sz w:val="52"/>
      <w:szCs w:val="5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21</Pages>
  <TotalTime>8</TotalTime>
  <ScaleCrop>false</ScaleCrop>
  <LinksUpToDate>false</LinksUpToDate>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2026-08-20T16:06:00Z</dcterms:created>
  <dc:creator>user</dc:creator>
  <cp:lastModifiedBy>user</cp:lastModifiedBy>
  <dcterms:modified xsi:type="dcterms:W3CDTF">2026-08-24T21:55:58Z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AECA267342031168FF12846A702B8F63_42</vt:lpwstr>
  </property>
</Properties>
</file>