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2896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宋体" w:cs="Times New Roman"/>
          <w:sz w:val="32"/>
          <w:szCs w:val="32"/>
        </w:rPr>
      </w:pPr>
    </w:p>
    <w:p w14:paraId="092477E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宋体" w:cs="Times New Roman"/>
          <w:sz w:val="44"/>
          <w:szCs w:val="44"/>
        </w:rPr>
      </w:pPr>
    </w:p>
    <w:p w14:paraId="2BF8875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宋体" w:cs="Times New Roman"/>
          <w:sz w:val="44"/>
          <w:szCs w:val="44"/>
        </w:rPr>
      </w:pPr>
    </w:p>
    <w:p w14:paraId="7C439B1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default" w:ascii="Times New Roman" w:hAnsi="Times New Roman" w:eastAsia="宋体" w:cs="Times New Roman"/>
          <w:sz w:val="44"/>
          <w:szCs w:val="44"/>
        </w:rPr>
      </w:pPr>
    </w:p>
    <w:p w14:paraId="19551F9F">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default" w:ascii="Times New Roman" w:hAnsi="Times New Roman" w:eastAsia="方正小标宋_GBK" w:cs="Times New Roman"/>
          <w:kern w:val="2"/>
          <w:sz w:val="44"/>
          <w:szCs w:val="44"/>
          <w:highlight w:val="none"/>
          <w:lang w:eastAsia="zh-CN"/>
        </w:rPr>
      </w:pPr>
      <w:r>
        <w:rPr>
          <w:rFonts w:hint="default" w:ascii="Times New Roman" w:hAnsi="Times New Roman" w:eastAsia="方正小标宋_GBK" w:cs="Times New Roman"/>
          <w:kern w:val="2"/>
          <w:sz w:val="44"/>
          <w:szCs w:val="44"/>
          <w:highlight w:val="none"/>
          <w:lang w:eastAsia="zh-CN"/>
        </w:rPr>
        <w:t>新疆静宁医院2025年度部门决算</w:t>
      </w:r>
    </w:p>
    <w:p w14:paraId="55615B1B">
      <w:pPr>
        <w:keepNext w:val="0"/>
        <w:keepLines w:val="0"/>
        <w:pageBreakBefore w:val="0"/>
        <w:widowControl w:val="0"/>
        <w:kinsoku/>
        <w:wordWrap/>
        <w:overflowPunct/>
        <w:topLinePunct w:val="0"/>
        <w:autoSpaceDE/>
        <w:autoSpaceDN/>
        <w:bidi w:val="0"/>
        <w:adjustRightInd/>
        <w:snapToGrid/>
        <w:spacing w:after="0" w:line="700" w:lineRule="exact"/>
        <w:jc w:val="center"/>
        <w:textAlignment w:val="auto"/>
        <w:rPr>
          <w:rFonts w:hint="default" w:ascii="Times New Roman" w:hAnsi="Times New Roman" w:eastAsia="方正小标宋_GBK" w:cs="Times New Roman"/>
          <w:kern w:val="2"/>
          <w:sz w:val="44"/>
          <w:szCs w:val="44"/>
          <w:highlight w:val="none"/>
          <w:lang w:eastAsia="zh-CN"/>
        </w:rPr>
      </w:pPr>
      <w:r>
        <w:rPr>
          <w:rFonts w:hint="default" w:ascii="Times New Roman" w:hAnsi="Times New Roman" w:eastAsia="方正小标宋_GBK" w:cs="Times New Roman"/>
          <w:kern w:val="2"/>
          <w:sz w:val="44"/>
          <w:szCs w:val="44"/>
          <w:highlight w:val="none"/>
          <w:lang w:eastAsia="zh-CN"/>
        </w:rPr>
        <w:t>公开说明</w:t>
      </w:r>
    </w:p>
    <w:p w14:paraId="20A86599">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Times New Roman" w:hAnsi="Times New Roman" w:cs="Times New Roman"/>
        </w:rPr>
      </w:pPr>
      <w:r>
        <w:rPr>
          <w:rFonts w:hint="default" w:ascii="Times New Roman" w:hAnsi="Times New Roman" w:cs="Times New Roman"/>
          <w:b w:val="0"/>
          <w:sz w:val="0"/>
          <w:szCs w:val="0"/>
        </w:rPr>
        <w:br w:type="page"/>
      </w:r>
    </w:p>
    <w:p w14:paraId="5D96D00C">
      <w:pPr>
        <w:keepNext w:val="0"/>
        <w:keepLines w:val="0"/>
        <w:pageBreakBefore w:val="0"/>
        <w:widowControl w:val="0"/>
        <w:kinsoku/>
        <w:wordWrap/>
        <w:overflowPunct/>
        <w:topLinePunct w:val="0"/>
        <w:autoSpaceDE/>
        <w:autoSpaceDN/>
        <w:bidi w:val="0"/>
        <w:adjustRightInd/>
        <w:snapToGrid/>
        <w:spacing w:after="0" w:line="560" w:lineRule="exact"/>
        <w:ind w:left="0" w:leftChars="0"/>
        <w:jc w:val="center"/>
        <w:textAlignment w:val="auto"/>
        <w:rPr>
          <w:rFonts w:hint="default" w:ascii="Times New Roman" w:hAnsi="Times New Roman" w:eastAsia="方正小标宋_GBK" w:cs="Times New Roman"/>
          <w:b w:val="0"/>
          <w:bCs/>
          <w:kern w:val="0"/>
          <w:sz w:val="44"/>
          <w:szCs w:val="44"/>
          <w:highlight w:val="none"/>
          <w:lang w:eastAsia="zh-CN"/>
        </w:rPr>
      </w:pPr>
      <w:r>
        <w:rPr>
          <w:rFonts w:hint="default" w:ascii="Times New Roman" w:hAnsi="Times New Roman" w:eastAsia="方正小标宋_GBK" w:cs="Times New Roman"/>
          <w:b w:val="0"/>
          <w:bCs/>
          <w:kern w:val="0"/>
          <w:sz w:val="44"/>
          <w:szCs w:val="44"/>
          <w:highlight w:val="none"/>
          <w:lang w:eastAsia="zh-CN"/>
        </w:rPr>
        <w:t>目 录</w:t>
      </w:r>
    </w:p>
    <w:p w14:paraId="4505632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both"/>
        <w:textAlignment w:val="auto"/>
        <w:rPr>
          <w:rFonts w:hint="default" w:ascii="Times New Roman" w:hAnsi="Times New Roman" w:eastAsia="方正仿宋_GBK" w:cs="Times New Roman"/>
          <w:b/>
          <w:bCs/>
          <w:kern w:val="2"/>
          <w:sz w:val="32"/>
          <w:szCs w:val="32"/>
          <w:highlight w:val="none"/>
          <w:lang w:val="en-US" w:eastAsia="zh-CN" w:bidi="ar-SA"/>
        </w:rPr>
      </w:pPr>
      <w:r>
        <w:rPr>
          <w:rFonts w:hint="default" w:ascii="Times New Roman" w:hAnsi="Times New Roman" w:eastAsia="方正仿宋_GBK" w:cs="Times New Roman"/>
          <w:b/>
          <w:bCs/>
          <w:kern w:val="2"/>
          <w:sz w:val="32"/>
          <w:szCs w:val="32"/>
          <w:highlight w:val="none"/>
          <w:lang w:val="en-US" w:eastAsia="zh-CN" w:bidi="ar-SA"/>
        </w:rPr>
        <w:t>第一部分 单位概况</w:t>
      </w:r>
    </w:p>
    <w:p w14:paraId="4988C03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一、主要职能</w:t>
      </w:r>
    </w:p>
    <w:p w14:paraId="3866069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二、机构设置</w:t>
      </w:r>
    </w:p>
    <w:p w14:paraId="277E7C9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both"/>
        <w:textAlignment w:val="auto"/>
        <w:rPr>
          <w:rFonts w:hint="default" w:ascii="Times New Roman" w:hAnsi="Times New Roman" w:eastAsia="方正仿宋_GBK" w:cs="Times New Roman"/>
          <w:b/>
          <w:bCs/>
          <w:kern w:val="2"/>
          <w:sz w:val="32"/>
          <w:szCs w:val="32"/>
          <w:highlight w:val="none"/>
          <w:lang w:val="en-US" w:eastAsia="zh-CN" w:bidi="ar-SA"/>
        </w:rPr>
      </w:pPr>
      <w:r>
        <w:rPr>
          <w:rFonts w:hint="default" w:ascii="Times New Roman" w:hAnsi="Times New Roman" w:eastAsia="方正仿宋_GBK" w:cs="Times New Roman"/>
          <w:b/>
          <w:bCs/>
          <w:kern w:val="2"/>
          <w:sz w:val="32"/>
          <w:szCs w:val="32"/>
          <w:highlight w:val="none"/>
          <w:lang w:val="en-US" w:eastAsia="zh-CN" w:bidi="ar-SA"/>
        </w:rPr>
        <w:t>第二部分 部门决算情况说明</w:t>
      </w:r>
    </w:p>
    <w:p w14:paraId="6A9EB9E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一、收入支出决算总体情况说明</w:t>
      </w:r>
    </w:p>
    <w:p w14:paraId="5D4FA95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二、收入决算情况说明</w:t>
      </w:r>
    </w:p>
    <w:p w14:paraId="2A2BC42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三、支出决算情况说明</w:t>
      </w:r>
    </w:p>
    <w:p w14:paraId="14A81B8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四、财政拨款收入支出决算总体情况说明</w:t>
      </w:r>
    </w:p>
    <w:p w14:paraId="27C01CA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五、一般公共预算财政拨款支出决算情况说明</w:t>
      </w:r>
    </w:p>
    <w:p w14:paraId="6042874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（一）一般公共预算财政拨款支出决算总体情况</w:t>
      </w:r>
    </w:p>
    <w:p w14:paraId="7FE247E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（二）一般公共预算财政拨款支出决算结构情况</w:t>
      </w:r>
    </w:p>
    <w:p w14:paraId="2F7B16A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（三）一般公共预算财政拨款支出决算具体情况</w:t>
      </w:r>
    </w:p>
    <w:p w14:paraId="4EF7430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六、一般公共预算财政拨款基本支出决算情况说明</w:t>
      </w:r>
    </w:p>
    <w:p w14:paraId="22230D4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七、政府性基金预算财政拨款收入支出决算情况说明</w:t>
      </w:r>
    </w:p>
    <w:p w14:paraId="74F80D2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八、国有资本经营预算财政拨款收入支出决算情况说明</w:t>
      </w:r>
    </w:p>
    <w:p w14:paraId="2031944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九、财政拨款“三公”经费支出决算情况说明</w:t>
      </w:r>
    </w:p>
    <w:p w14:paraId="0845F2F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十、其他重要事项的情况说明</w:t>
      </w:r>
    </w:p>
    <w:p w14:paraId="7B7DB66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（一）机关运行经费及公用经费支出情况</w:t>
      </w:r>
    </w:p>
    <w:p w14:paraId="23323CF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（二）政府采购情况</w:t>
      </w:r>
    </w:p>
    <w:p w14:paraId="4D9BED7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（三）国有资产占用情况说明</w:t>
      </w:r>
    </w:p>
    <w:p w14:paraId="12796A3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十一、预算绩效的情况说明</w:t>
      </w:r>
    </w:p>
    <w:p w14:paraId="23FFEEC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十二、其他需说明的事项</w:t>
      </w:r>
    </w:p>
    <w:p w14:paraId="179DE73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both"/>
        <w:textAlignment w:val="auto"/>
        <w:rPr>
          <w:rFonts w:hint="default" w:ascii="Times New Roman" w:hAnsi="Times New Roman" w:eastAsia="方正仿宋_GBK" w:cs="Times New Roman"/>
          <w:b/>
          <w:bCs/>
          <w:kern w:val="2"/>
          <w:sz w:val="32"/>
          <w:szCs w:val="32"/>
          <w:highlight w:val="none"/>
          <w:lang w:val="en-US" w:eastAsia="zh-CN" w:bidi="ar-SA"/>
        </w:rPr>
      </w:pPr>
      <w:r>
        <w:rPr>
          <w:rFonts w:hint="default" w:ascii="Times New Roman" w:hAnsi="Times New Roman" w:eastAsia="方正仿宋_GBK" w:cs="Times New Roman"/>
          <w:b/>
          <w:bCs/>
          <w:kern w:val="2"/>
          <w:sz w:val="32"/>
          <w:szCs w:val="32"/>
          <w:highlight w:val="none"/>
          <w:lang w:val="en-US" w:eastAsia="zh-CN" w:bidi="ar-SA"/>
        </w:rPr>
        <w:t>第三部分 专业名词解释</w:t>
      </w:r>
    </w:p>
    <w:p w14:paraId="43326E5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both"/>
        <w:textAlignment w:val="auto"/>
        <w:rPr>
          <w:rFonts w:hint="default" w:ascii="Times New Roman" w:hAnsi="Times New Roman" w:eastAsia="方正仿宋_GBK" w:cs="Times New Roman"/>
          <w:b/>
          <w:bCs/>
          <w:kern w:val="2"/>
          <w:sz w:val="32"/>
          <w:szCs w:val="32"/>
          <w:highlight w:val="none"/>
          <w:lang w:val="en-US" w:eastAsia="zh-CN" w:bidi="ar-SA"/>
        </w:rPr>
      </w:pPr>
      <w:r>
        <w:rPr>
          <w:rFonts w:hint="default" w:ascii="Times New Roman" w:hAnsi="Times New Roman" w:eastAsia="方正仿宋_GBK" w:cs="Times New Roman"/>
          <w:b/>
          <w:bCs/>
          <w:kern w:val="2"/>
          <w:sz w:val="32"/>
          <w:szCs w:val="32"/>
          <w:highlight w:val="none"/>
          <w:lang w:val="en-US" w:eastAsia="zh-CN" w:bidi="ar-SA"/>
        </w:rPr>
        <w:t>第四部分 部门决算报表（见附表）</w:t>
      </w:r>
    </w:p>
    <w:p w14:paraId="5577E56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一、《收入支出决算总表》</w:t>
      </w:r>
    </w:p>
    <w:p w14:paraId="3A8EE64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二、《收入决算表》</w:t>
      </w:r>
    </w:p>
    <w:p w14:paraId="4DF998B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三、《支出决算表》</w:t>
      </w:r>
    </w:p>
    <w:p w14:paraId="4A140EA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四、《财政拨款收入支出决算总表》</w:t>
      </w:r>
    </w:p>
    <w:p w14:paraId="485A72F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五、《一般公共预算财政拨款支出决算表》</w:t>
      </w:r>
    </w:p>
    <w:p w14:paraId="66AEF16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六、《一般公共预算财政拨款基本支出决算表》</w:t>
      </w:r>
    </w:p>
    <w:p w14:paraId="3BD600C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七、《政府性基金预算财政拨款收入支出决算表》</w:t>
      </w:r>
    </w:p>
    <w:p w14:paraId="75B66978">
      <w:pPr>
        <w:pStyle w:val="10"/>
        <w:keepNext w:val="0"/>
        <w:keepLines w:val="0"/>
        <w:pageBreakBefore w:val="0"/>
        <w:widowControl w:val="0"/>
        <w:tabs>
          <w:tab w:val="right" w:leader="dot" w:pos="8306"/>
        </w:tabs>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八、《国有</w:t>
      </w:r>
      <w:r>
        <w:rPr>
          <w:rFonts w:hint="default" w:ascii="Times New Roman" w:hAnsi="Times New Roman" w:eastAsia="方正仿宋_GBK" w:cs="Times New Roman"/>
          <w:b w:val="0"/>
          <w:bCs w:val="0"/>
          <w:kern w:val="2"/>
          <w:sz w:val="32"/>
          <w:szCs w:val="32"/>
          <w:highlight w:val="none"/>
          <w:lang w:val="en-US" w:eastAsia="zh-CN"/>
        </w:rPr>
        <w:t>资本</w:t>
      </w:r>
      <w:r>
        <w:rPr>
          <w:rFonts w:hint="default" w:ascii="Times New Roman" w:hAnsi="Times New Roman" w:eastAsia="方正仿宋_GBK" w:cs="Times New Roman"/>
          <w:b w:val="0"/>
          <w:bCs w:val="0"/>
          <w:kern w:val="2"/>
          <w:sz w:val="32"/>
          <w:szCs w:val="32"/>
          <w:highlight w:val="none"/>
          <w:lang w:val="en-US" w:eastAsia="zh-CN" w:bidi="ar-SA"/>
        </w:rPr>
        <w:t>经营预算财政拨款收入支出决算表》</w:t>
      </w:r>
    </w:p>
    <w:p w14:paraId="72D0B3E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bCs w:val="0"/>
          <w:kern w:val="2"/>
          <w:sz w:val="32"/>
          <w:szCs w:val="32"/>
          <w:highlight w:val="none"/>
          <w:lang w:val="en-US" w:eastAsia="zh-CN" w:bidi="ar-SA"/>
        </w:rPr>
      </w:pPr>
      <w:r>
        <w:rPr>
          <w:rFonts w:hint="default" w:ascii="Times New Roman" w:hAnsi="Times New Roman" w:eastAsia="方正仿宋_GBK" w:cs="Times New Roman"/>
          <w:b w:val="0"/>
          <w:bCs w:val="0"/>
          <w:kern w:val="2"/>
          <w:sz w:val="32"/>
          <w:szCs w:val="32"/>
          <w:highlight w:val="none"/>
          <w:lang w:val="en-US" w:eastAsia="zh-CN" w:bidi="ar-SA"/>
        </w:rPr>
        <w:t>九、《财政拨款“三公”经费支出决算表》</w:t>
      </w:r>
    </w:p>
    <w:p w14:paraId="1B53B77F">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Times New Roman" w:hAnsi="Times New Roman" w:cs="Times New Roman"/>
        </w:rPr>
      </w:pPr>
      <w:r>
        <w:rPr>
          <w:rFonts w:hint="default" w:ascii="Times New Roman" w:hAnsi="Times New Roman" w:cs="Times New Roman"/>
          <w:b w:val="0"/>
          <w:sz w:val="0"/>
          <w:szCs w:val="0"/>
        </w:rPr>
        <w:br w:type="page"/>
      </w:r>
    </w:p>
    <w:p w14:paraId="2B30D970">
      <w:pPr>
        <w:keepNext w:val="0"/>
        <w:keepLines w:val="0"/>
        <w:pageBreakBefore w:val="0"/>
        <w:widowControl w:val="0"/>
        <w:kinsoku/>
        <w:wordWrap/>
        <w:overflowPunct/>
        <w:topLinePunct w:val="0"/>
        <w:autoSpaceDE/>
        <w:autoSpaceDN/>
        <w:bidi w:val="0"/>
        <w:adjustRightInd/>
        <w:snapToGrid/>
        <w:spacing w:after="0" w:line="560" w:lineRule="exact"/>
        <w:ind w:left="0" w:leftChars="0"/>
        <w:jc w:val="center"/>
        <w:textAlignment w:val="auto"/>
        <w:rPr>
          <w:rFonts w:hint="default" w:ascii="Times New Roman" w:hAnsi="Times New Roman" w:eastAsia="方正小标宋_GBK" w:cs="Times New Roman"/>
          <w:b w:val="0"/>
          <w:bCs/>
          <w:kern w:val="0"/>
          <w:sz w:val="44"/>
          <w:szCs w:val="44"/>
          <w:highlight w:val="none"/>
          <w:lang w:eastAsia="zh-CN"/>
        </w:rPr>
      </w:pPr>
      <w:r>
        <w:rPr>
          <w:rFonts w:hint="default" w:ascii="Times New Roman" w:hAnsi="Times New Roman" w:eastAsia="方正小标宋_GBK" w:cs="Times New Roman"/>
          <w:b w:val="0"/>
          <w:bCs/>
          <w:kern w:val="0"/>
          <w:sz w:val="44"/>
          <w:szCs w:val="44"/>
          <w:highlight w:val="none"/>
          <w:lang w:eastAsia="zh-CN"/>
        </w:rPr>
        <w:t>第一部分</w:t>
      </w:r>
      <w:r>
        <w:rPr>
          <w:rFonts w:hint="default" w:ascii="Times New Roman" w:hAnsi="Times New Roman" w:eastAsia="方正小标宋_GBK" w:cs="Times New Roman"/>
          <w:b w:val="0"/>
          <w:bCs/>
          <w:kern w:val="0"/>
          <w:sz w:val="44"/>
          <w:szCs w:val="44"/>
          <w:highlight w:val="none"/>
          <w:lang w:val="en-US" w:eastAsia="zh-CN"/>
        </w:rPr>
        <w:t xml:space="preserve"> </w:t>
      </w:r>
      <w:r>
        <w:rPr>
          <w:rFonts w:hint="default" w:ascii="Times New Roman" w:hAnsi="Times New Roman" w:eastAsia="方正小标宋_GBK" w:cs="Times New Roman"/>
          <w:b w:val="0"/>
          <w:bCs/>
          <w:kern w:val="0"/>
          <w:sz w:val="44"/>
          <w:szCs w:val="44"/>
          <w:highlight w:val="none"/>
          <w:lang w:eastAsia="zh-CN"/>
        </w:rPr>
        <w:t>单位概况</w:t>
      </w:r>
    </w:p>
    <w:p w14:paraId="5D31264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b w:val="0"/>
          <w:sz w:val="32"/>
          <w:szCs w:val="32"/>
        </w:rPr>
      </w:pPr>
    </w:p>
    <w:p w14:paraId="2C54185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一、主要职能</w:t>
      </w:r>
    </w:p>
    <w:p w14:paraId="2C37A0D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收治各类精神病患者；为贫困家庭精神障碍患者提供救助式收养和治疗；向驻地群众提供医疗卫生服务。</w:t>
      </w:r>
    </w:p>
    <w:p w14:paraId="07BB39C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二、机构设置</w:t>
      </w:r>
    </w:p>
    <w:p w14:paraId="724CF9E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新疆静宁医院无下属预算单位。</w:t>
      </w:r>
    </w:p>
    <w:p w14:paraId="49CBF1D0">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Times New Roman" w:hAnsi="Times New Roman" w:cs="Times New Roman"/>
        </w:rPr>
      </w:pPr>
      <w:r>
        <w:rPr>
          <w:rFonts w:hint="default" w:ascii="Times New Roman" w:hAnsi="Times New Roman" w:cs="Times New Roman"/>
          <w:b w:val="0"/>
          <w:sz w:val="0"/>
          <w:szCs w:val="0"/>
        </w:rPr>
        <w:br w:type="page"/>
      </w:r>
    </w:p>
    <w:p w14:paraId="3CC93854">
      <w:pPr>
        <w:keepNext w:val="0"/>
        <w:keepLines w:val="0"/>
        <w:pageBreakBefore w:val="0"/>
        <w:widowControl w:val="0"/>
        <w:kinsoku/>
        <w:wordWrap/>
        <w:overflowPunct/>
        <w:topLinePunct w:val="0"/>
        <w:autoSpaceDE/>
        <w:autoSpaceDN/>
        <w:bidi w:val="0"/>
        <w:adjustRightInd/>
        <w:snapToGrid/>
        <w:spacing w:after="0" w:line="560" w:lineRule="exact"/>
        <w:ind w:left="0" w:leftChars="0"/>
        <w:jc w:val="center"/>
        <w:textAlignment w:val="auto"/>
        <w:rPr>
          <w:rFonts w:hint="default" w:ascii="Times New Roman" w:hAnsi="Times New Roman" w:eastAsia="方正小标宋_GBK" w:cs="Times New Roman"/>
          <w:b w:val="0"/>
          <w:bCs/>
          <w:kern w:val="0"/>
          <w:sz w:val="44"/>
          <w:szCs w:val="44"/>
          <w:highlight w:val="none"/>
          <w:lang w:eastAsia="zh-CN"/>
        </w:rPr>
      </w:pPr>
      <w:r>
        <w:rPr>
          <w:rFonts w:hint="default" w:ascii="Times New Roman" w:hAnsi="Times New Roman" w:eastAsia="方正小标宋_GBK" w:cs="Times New Roman"/>
          <w:b w:val="0"/>
          <w:bCs/>
          <w:kern w:val="0"/>
          <w:sz w:val="44"/>
          <w:szCs w:val="44"/>
          <w:highlight w:val="none"/>
          <w:lang w:eastAsia="zh-CN"/>
        </w:rPr>
        <w:t>第二部分 部门决算情况说明</w:t>
      </w:r>
    </w:p>
    <w:p w14:paraId="0DCDD56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b w:val="0"/>
          <w:sz w:val="32"/>
          <w:szCs w:val="32"/>
        </w:rPr>
      </w:pPr>
    </w:p>
    <w:p w14:paraId="1C699D8A">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一、收入支出决算总体情况说明</w:t>
      </w:r>
    </w:p>
    <w:p w14:paraId="54F1267B">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2025年度收入总计3,252.81万元，</w:t>
      </w:r>
      <w:r>
        <w:rPr>
          <w:rFonts w:hint="default" w:ascii="Times New Roman" w:hAnsi="Times New Roman" w:eastAsia="方正仿宋_GBK" w:cs="Times New Roman"/>
          <w:b w:val="0"/>
          <w:sz w:val="32"/>
          <w:szCs w:val="32"/>
        </w:rPr>
        <w:t>其中：本年收入合计3,057.98万元，使用非财政拨款结余（含专用结余）0.00万元，年初结转和结余194.83万元。</w:t>
      </w:r>
    </w:p>
    <w:p w14:paraId="2808EDB2">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2025年度支出总计3,252.81万元，</w:t>
      </w:r>
      <w:r>
        <w:rPr>
          <w:rFonts w:hint="default" w:ascii="Times New Roman" w:hAnsi="Times New Roman" w:eastAsia="方正仿宋_GBK" w:cs="Times New Roman"/>
          <w:b w:val="0"/>
          <w:sz w:val="32"/>
          <w:szCs w:val="32"/>
        </w:rPr>
        <w:t>其中：本年支出合计3,060.09万元，结余分配0.00万元，年末结转和结余192.72万元。</w:t>
      </w:r>
    </w:p>
    <w:p w14:paraId="5861CF43">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bCs/>
          <w:sz w:val="32"/>
          <w:szCs w:val="32"/>
        </w:rPr>
        <w:t>收入支出总体与上年相比，</w:t>
      </w:r>
      <w:r>
        <w:rPr>
          <w:rFonts w:hint="default" w:ascii="Times New Roman" w:hAnsi="Times New Roman" w:eastAsia="方正仿宋_GBK" w:cs="Times New Roman"/>
          <w:b w:val="0"/>
          <w:sz w:val="32"/>
          <w:szCs w:val="32"/>
        </w:rPr>
        <w:t>增加929.30万元，增长40.00%，主要原因是：</w:t>
      </w:r>
      <w:r>
        <w:rPr>
          <w:rFonts w:hint="default" w:ascii="Times New Roman" w:hAnsi="Times New Roman" w:eastAsia="方正仿宋_GBK" w:cs="Times New Roman"/>
          <w:b w:val="0"/>
          <w:sz w:val="32"/>
          <w:szCs w:val="32"/>
          <w:highlight w:val="none"/>
        </w:rPr>
        <w:t>2025年安排自治区本级彩票公益金支持残疾人福利基本建设项目</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新疆静宁医院改扩建工程建设项目</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lang w:val="en-US" w:eastAsia="zh-CN"/>
        </w:rPr>
        <w:t>支出较上年增加</w:t>
      </w:r>
      <w:r>
        <w:rPr>
          <w:rFonts w:hint="default" w:ascii="Times New Roman" w:hAnsi="Times New Roman" w:eastAsia="方正仿宋_GBK" w:cs="Times New Roman"/>
          <w:b w:val="0"/>
          <w:sz w:val="32"/>
          <w:szCs w:val="32"/>
          <w:highlight w:val="none"/>
        </w:rPr>
        <w:t>。</w:t>
      </w:r>
    </w:p>
    <w:p w14:paraId="2783D407">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二、收入决算情况说明</w:t>
      </w:r>
    </w:p>
    <w:p w14:paraId="474F2275">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本年收入3,057.98万元，</w:t>
      </w:r>
      <w:r>
        <w:rPr>
          <w:rFonts w:hint="default" w:ascii="Times New Roman" w:hAnsi="Times New Roman" w:eastAsia="方正仿宋_GBK" w:cs="Times New Roman"/>
          <w:b w:val="0"/>
          <w:sz w:val="32"/>
          <w:szCs w:val="32"/>
        </w:rPr>
        <w:t>其中：财政拨款收入1,872.74万元,占61.24%；上级补助收入0.00万元,占0.00%；事业收入985.01万元，占32.21%；经营收入0.00万元,占0.00%；附属单位上缴收入0.00万元，占0.00%；其他收入200.22万元，占6.55%。</w:t>
      </w:r>
    </w:p>
    <w:p w14:paraId="0E327588">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三、支出决算情况说明</w:t>
      </w:r>
    </w:p>
    <w:p w14:paraId="7868E7DA">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本年支出3,060.09万元，</w:t>
      </w:r>
      <w:r>
        <w:rPr>
          <w:rFonts w:hint="default" w:ascii="Times New Roman" w:hAnsi="Times New Roman" w:eastAsia="方正仿宋_GBK" w:cs="Times New Roman"/>
          <w:b w:val="0"/>
          <w:sz w:val="32"/>
          <w:szCs w:val="32"/>
        </w:rPr>
        <w:t>其中：基本支出1,456.62万元，占47.60%；项目支出1,603.47万元，占52.40%；上缴上级支出0.00万元，占0.00%；经营支出0.00万元，占0.00%；对附属单位补助支出0.00万元，占0.00%。</w:t>
      </w:r>
    </w:p>
    <w:p w14:paraId="61703826">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四、财政拨款收入支出决算总体情况说明</w:t>
      </w:r>
    </w:p>
    <w:p w14:paraId="4BE757BB">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2025年度财政拨款收入总计1,872.74万元，</w:t>
      </w:r>
      <w:r>
        <w:rPr>
          <w:rFonts w:hint="default" w:ascii="Times New Roman" w:hAnsi="Times New Roman" w:eastAsia="方正仿宋_GBK" w:cs="Times New Roman"/>
          <w:b w:val="0"/>
          <w:sz w:val="32"/>
          <w:szCs w:val="32"/>
        </w:rPr>
        <w:t>其中：年初财政拨款结转和结余0.00万元，本年财政拨款收入1,872.74万元。</w:t>
      </w:r>
      <w:r>
        <w:rPr>
          <w:rFonts w:hint="default" w:ascii="Times New Roman" w:hAnsi="Times New Roman" w:eastAsia="方正仿宋_GBK" w:cs="Times New Roman"/>
          <w:b/>
          <w:bCs/>
          <w:sz w:val="32"/>
          <w:szCs w:val="32"/>
        </w:rPr>
        <w:t>财政拨款支出总计1,872.74万元，</w:t>
      </w:r>
      <w:r>
        <w:rPr>
          <w:rFonts w:hint="default" w:ascii="Times New Roman" w:hAnsi="Times New Roman" w:eastAsia="方正仿宋_GBK" w:cs="Times New Roman"/>
          <w:b w:val="0"/>
          <w:sz w:val="32"/>
          <w:szCs w:val="32"/>
        </w:rPr>
        <w:t>其中：年末财政拨款结转和结余0.00万元，本年财政拨款支出1,872.74万元。</w:t>
      </w:r>
    </w:p>
    <w:p w14:paraId="4BF065C0">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bCs/>
          <w:sz w:val="32"/>
          <w:szCs w:val="32"/>
        </w:rPr>
        <w:t>财政拨款收入支出总体与上年相比，</w:t>
      </w:r>
      <w:r>
        <w:rPr>
          <w:rFonts w:hint="default" w:ascii="Times New Roman" w:hAnsi="Times New Roman" w:eastAsia="方正仿宋_GBK" w:cs="Times New Roman"/>
          <w:b w:val="0"/>
          <w:sz w:val="32"/>
          <w:szCs w:val="32"/>
        </w:rPr>
        <w:t>增加291.12万元，增长18.41%，主要原因是：</w:t>
      </w:r>
      <w:r>
        <w:rPr>
          <w:rFonts w:hint="default" w:ascii="Times New Roman" w:hAnsi="Times New Roman" w:eastAsia="方正仿宋_GBK" w:cs="Times New Roman"/>
          <w:b w:val="0"/>
          <w:sz w:val="32"/>
          <w:szCs w:val="32"/>
          <w:highlight w:val="none"/>
        </w:rPr>
        <w:t>2025年年初安排自治区本级彩票公益金支持残疾人福利基本建设项目</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lang w:val="en-US" w:eastAsia="zh-CN"/>
        </w:rPr>
        <w:t>支出较上年增加</w:t>
      </w:r>
      <w:r>
        <w:rPr>
          <w:rFonts w:hint="default" w:ascii="Times New Roman" w:hAnsi="Times New Roman" w:eastAsia="方正仿宋_GBK" w:cs="Times New Roman"/>
          <w:b w:val="0"/>
          <w:sz w:val="32"/>
          <w:szCs w:val="32"/>
          <w:highlight w:val="none"/>
        </w:rPr>
        <w:t>。</w:t>
      </w:r>
      <w:r>
        <w:rPr>
          <w:rFonts w:hint="default" w:ascii="Times New Roman" w:hAnsi="Times New Roman" w:eastAsia="方正仿宋_GBK" w:cs="Times New Roman"/>
          <w:b/>
          <w:bCs/>
          <w:sz w:val="32"/>
          <w:szCs w:val="32"/>
          <w:highlight w:val="none"/>
        </w:rPr>
        <w:t>与年初预算相比，</w:t>
      </w:r>
      <w:r>
        <w:rPr>
          <w:rFonts w:hint="default" w:ascii="Times New Roman" w:hAnsi="Times New Roman" w:eastAsia="方正仿宋_GBK" w:cs="Times New Roman"/>
          <w:b w:val="0"/>
          <w:sz w:val="32"/>
          <w:szCs w:val="32"/>
          <w:highlight w:val="none"/>
        </w:rPr>
        <w:t>年初预算数1,658.09万元，决算数1,872.74万元，预决算差异率12.95%，主要原因是：</w:t>
      </w:r>
      <w:r>
        <w:rPr>
          <w:rFonts w:hint="default" w:ascii="Times New Roman" w:hAnsi="Times New Roman" w:eastAsia="方正仿宋_GBK" w:cs="Times New Roman"/>
          <w:b w:val="0"/>
          <w:sz w:val="32"/>
          <w:szCs w:val="32"/>
          <w:highlight w:val="none"/>
          <w:lang w:val="en-US" w:eastAsia="zh-CN"/>
        </w:rPr>
        <w:t>2025年</w:t>
      </w:r>
      <w:r>
        <w:rPr>
          <w:rFonts w:hint="default" w:ascii="Times New Roman" w:hAnsi="Times New Roman" w:eastAsia="方正仿宋_GBK" w:cs="Times New Roman"/>
          <w:b w:val="0"/>
          <w:sz w:val="32"/>
          <w:szCs w:val="32"/>
          <w:highlight w:val="none"/>
        </w:rPr>
        <w:t>人员正常晋升、</w:t>
      </w:r>
      <w:r>
        <w:rPr>
          <w:rFonts w:hint="default" w:ascii="Times New Roman" w:hAnsi="Times New Roman" w:eastAsia="方正仿宋_GBK" w:cs="Times New Roman"/>
          <w:b w:val="0"/>
          <w:sz w:val="32"/>
          <w:szCs w:val="32"/>
          <w:highlight w:val="none"/>
          <w:lang w:val="en-US" w:eastAsia="zh-CN"/>
        </w:rPr>
        <w:t>年中追加</w:t>
      </w:r>
      <w:r>
        <w:rPr>
          <w:rFonts w:hint="default" w:ascii="Times New Roman" w:hAnsi="Times New Roman" w:eastAsia="方正仿宋_GBK" w:cs="Times New Roman"/>
          <w:b w:val="0"/>
          <w:sz w:val="32"/>
          <w:szCs w:val="32"/>
          <w:highlight w:val="none"/>
        </w:rPr>
        <w:t>职业年金及抚恤金，</w:t>
      </w:r>
      <w:r>
        <w:rPr>
          <w:rFonts w:hint="default" w:ascii="Times New Roman" w:hAnsi="Times New Roman" w:eastAsia="方正仿宋_GBK" w:cs="Times New Roman"/>
          <w:b w:val="0"/>
          <w:sz w:val="32"/>
          <w:szCs w:val="32"/>
          <w:highlight w:val="none"/>
          <w:lang w:val="en-US" w:eastAsia="zh-CN"/>
        </w:rPr>
        <w:t>支出</w:t>
      </w:r>
      <w:r>
        <w:rPr>
          <w:rFonts w:hint="default" w:ascii="Times New Roman" w:hAnsi="Times New Roman" w:eastAsia="方正仿宋_GBK" w:cs="Times New Roman"/>
          <w:b w:val="0"/>
          <w:sz w:val="32"/>
          <w:szCs w:val="32"/>
          <w:highlight w:val="none"/>
        </w:rPr>
        <w:t>增加。</w:t>
      </w:r>
    </w:p>
    <w:p w14:paraId="2DF0D0B6">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五、一般公共预算财政拨款支出决算情况说明</w:t>
      </w:r>
    </w:p>
    <w:p w14:paraId="56021679">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按照党中央、国务院关于党政机关习惯过紧日子的有关要求，厉行节约办一切事业，严控一般性支出。同时坚持有保有压，优化支出结构，提高资金使用效率，合理保障人员工资、</w:t>
      </w:r>
      <w:r>
        <w:rPr>
          <w:rFonts w:hint="default" w:ascii="Times New Roman" w:hAnsi="Times New Roman" w:eastAsia="方正仿宋_GBK" w:cs="Times New Roman"/>
          <w:b w:val="0"/>
          <w:sz w:val="32"/>
          <w:szCs w:val="32"/>
          <w:highlight w:val="none"/>
          <w:lang w:val="en-US" w:eastAsia="zh-CN"/>
        </w:rPr>
        <w:t>单位</w:t>
      </w:r>
      <w:r>
        <w:rPr>
          <w:rFonts w:hint="default" w:ascii="Times New Roman" w:hAnsi="Times New Roman" w:eastAsia="方正仿宋_GBK" w:cs="Times New Roman"/>
          <w:b w:val="0"/>
          <w:sz w:val="32"/>
          <w:szCs w:val="32"/>
          <w:highlight w:val="none"/>
        </w:rPr>
        <w:t>运转等重点支出，体现在有关支出科目中。</w:t>
      </w:r>
    </w:p>
    <w:p w14:paraId="7919E6B0">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按照支出功能分类，社会保障和就业支出（类）社会福利（款）社会福利事业单位（项）的支出占本年财政拨款支出总额的比重最高，2025年度决算数为920.82万元，占比49.17%，主要用</w:t>
      </w:r>
      <w:r>
        <w:rPr>
          <w:rFonts w:hint="default" w:ascii="Times New Roman" w:hAnsi="Times New Roman" w:eastAsia="方正仿宋_GBK" w:cs="Times New Roman"/>
          <w:b w:val="0"/>
          <w:sz w:val="32"/>
          <w:szCs w:val="32"/>
          <w:lang w:eastAsia="zh-CN"/>
        </w:rPr>
        <w:t>于保障单位人员工资和基本运转</w:t>
      </w:r>
      <w:r>
        <w:rPr>
          <w:rFonts w:hint="default" w:ascii="Times New Roman" w:hAnsi="Times New Roman" w:eastAsia="方正仿宋_GBK" w:cs="Times New Roman"/>
          <w:b w:val="0"/>
          <w:sz w:val="32"/>
          <w:szCs w:val="32"/>
        </w:rPr>
        <w:t>。</w:t>
      </w:r>
    </w:p>
    <w:p w14:paraId="759CF8F7">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outlineLvl w:val="2"/>
        <w:rPr>
          <w:rFonts w:hint="default" w:ascii="Times New Roman" w:hAnsi="Times New Roman" w:eastAsia="方正楷体_GB2312" w:cs="Times New Roman"/>
          <w:b/>
          <w:bCs/>
          <w:sz w:val="32"/>
          <w:szCs w:val="32"/>
        </w:rPr>
      </w:pPr>
      <w:r>
        <w:rPr>
          <w:rFonts w:hint="default" w:ascii="Times New Roman" w:hAnsi="Times New Roman" w:eastAsia="方正楷体_GB2312" w:cs="Times New Roman"/>
          <w:b/>
          <w:bCs/>
          <w:sz w:val="32"/>
          <w:szCs w:val="32"/>
        </w:rPr>
        <w:t>（一）一般公共预算财政拨款支出决算总体情况</w:t>
      </w:r>
    </w:p>
    <w:p w14:paraId="29E52DE7">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2025年度一般公共预算财政拨款支出1,456.62万元，</w:t>
      </w:r>
      <w:r>
        <w:rPr>
          <w:rFonts w:hint="default" w:ascii="Times New Roman" w:hAnsi="Times New Roman" w:eastAsia="方正仿宋_GBK" w:cs="Times New Roman"/>
          <w:b w:val="0"/>
          <w:sz w:val="32"/>
          <w:szCs w:val="32"/>
        </w:rPr>
        <w:t>占本年支出合计的47.60%。</w:t>
      </w:r>
      <w:r>
        <w:rPr>
          <w:rFonts w:hint="default" w:ascii="Times New Roman" w:hAnsi="Times New Roman" w:eastAsia="方正仿宋_GBK" w:cs="Times New Roman"/>
          <w:b/>
          <w:bCs/>
          <w:sz w:val="32"/>
          <w:szCs w:val="32"/>
        </w:rPr>
        <w:t>与上年相比，</w:t>
      </w:r>
      <w:r>
        <w:rPr>
          <w:rFonts w:hint="default" w:ascii="Times New Roman" w:hAnsi="Times New Roman" w:eastAsia="方正仿宋_GBK" w:cs="Times New Roman"/>
          <w:b w:val="0"/>
          <w:sz w:val="32"/>
          <w:szCs w:val="32"/>
        </w:rPr>
        <w:t>增加6.88万元，增长0.47%，主要原因是：严格按预算执行。</w:t>
      </w:r>
      <w:r>
        <w:rPr>
          <w:rFonts w:hint="default" w:ascii="Times New Roman" w:hAnsi="Times New Roman" w:eastAsia="方正仿宋_GBK" w:cs="Times New Roman"/>
          <w:b/>
          <w:bCs/>
          <w:sz w:val="32"/>
          <w:szCs w:val="32"/>
        </w:rPr>
        <w:t>与年初预算相比，</w:t>
      </w:r>
      <w:r>
        <w:rPr>
          <w:rFonts w:hint="default" w:ascii="Times New Roman" w:hAnsi="Times New Roman" w:eastAsia="方正仿宋_GBK" w:cs="Times New Roman"/>
          <w:b w:val="0"/>
          <w:sz w:val="32"/>
          <w:szCs w:val="32"/>
        </w:rPr>
        <w:t>年初预算数1,241.97万元，决算数1,456.62万元，预决算差异率17.28%，主要原因是：</w:t>
      </w:r>
      <w:r>
        <w:rPr>
          <w:rFonts w:hint="default" w:ascii="Times New Roman" w:hAnsi="Times New Roman" w:eastAsia="方正仿宋_GBK" w:cs="Times New Roman"/>
          <w:b w:val="0"/>
          <w:sz w:val="32"/>
          <w:szCs w:val="32"/>
          <w:highlight w:val="none"/>
        </w:rPr>
        <w:t>2025年人员正常晋升、年中追加职业年金及抚恤金，支出增加。</w:t>
      </w:r>
    </w:p>
    <w:p w14:paraId="38A831A4">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outlineLvl w:val="2"/>
        <w:rPr>
          <w:rFonts w:hint="default" w:ascii="Times New Roman" w:hAnsi="Times New Roman" w:eastAsia="方正楷体_GB2312" w:cs="Times New Roman"/>
          <w:b/>
          <w:bCs/>
          <w:sz w:val="32"/>
          <w:szCs w:val="32"/>
        </w:rPr>
      </w:pPr>
      <w:r>
        <w:rPr>
          <w:rFonts w:hint="default" w:ascii="Times New Roman" w:hAnsi="Times New Roman" w:eastAsia="方正楷体_GB2312" w:cs="Times New Roman"/>
          <w:b/>
          <w:bCs/>
          <w:sz w:val="32"/>
          <w:szCs w:val="32"/>
        </w:rPr>
        <w:t>（二）一般公共预算财政拨款支出决算结构情况</w:t>
      </w:r>
    </w:p>
    <w:p w14:paraId="3BA6B983">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1.社会保障和就业支出（类）1,283.30万元，占88.10%。</w:t>
      </w:r>
    </w:p>
    <w:p w14:paraId="385E310A">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2.卫生健康支出（类）98.52万元，占6.76%。</w:t>
      </w:r>
    </w:p>
    <w:p w14:paraId="1B043AFE">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3.住房保障支出（类）74.79万元，占5.13%。</w:t>
      </w:r>
    </w:p>
    <w:p w14:paraId="1B91C2D2">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outlineLvl w:val="2"/>
        <w:rPr>
          <w:rFonts w:hint="default" w:ascii="Times New Roman" w:hAnsi="Times New Roman" w:eastAsia="方正楷体_GB2312" w:cs="Times New Roman"/>
          <w:b/>
          <w:bCs/>
          <w:sz w:val="32"/>
          <w:szCs w:val="32"/>
        </w:rPr>
      </w:pPr>
      <w:r>
        <w:rPr>
          <w:rFonts w:hint="default" w:ascii="Times New Roman" w:hAnsi="Times New Roman" w:eastAsia="方正楷体_GB2312" w:cs="Times New Roman"/>
          <w:b/>
          <w:bCs/>
          <w:sz w:val="32"/>
          <w:szCs w:val="32"/>
        </w:rPr>
        <w:t>（三）一般公共预算财政拨款支出决算具体情况</w:t>
      </w:r>
    </w:p>
    <w:p w14:paraId="32FCA751">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val="0"/>
          <w:sz w:val="32"/>
          <w:szCs w:val="32"/>
        </w:rPr>
        <w:t>1</w:t>
      </w:r>
      <w:r>
        <w:rPr>
          <w:rFonts w:hint="default"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社会保障和就业支出（类）行政事业单位养老支出（款）事业单位离退休（项）：支出决算数为192.95万元，比上年决算增加</w:t>
      </w:r>
      <w:r>
        <w:rPr>
          <w:rFonts w:hint="default" w:ascii="Times New Roman" w:hAnsi="Times New Roman" w:eastAsia="方正仿宋_GBK" w:cs="Times New Roman"/>
          <w:b w:val="0"/>
          <w:sz w:val="32"/>
          <w:szCs w:val="32"/>
          <w:highlight w:val="none"/>
        </w:rPr>
        <w:t>16.04万元，增长9.07%，主要原因是：</w:t>
      </w:r>
      <w:r>
        <w:rPr>
          <w:rFonts w:hint="default" w:ascii="Times New Roman" w:hAnsi="Times New Roman" w:eastAsia="方正仿宋_GBK" w:cs="Times New Roman"/>
          <w:b w:val="0"/>
          <w:color w:val="auto"/>
          <w:sz w:val="32"/>
          <w:szCs w:val="32"/>
          <w:highlight w:val="none"/>
        </w:rPr>
        <w:t>2025年退休人员</w:t>
      </w:r>
      <w:r>
        <w:rPr>
          <w:rFonts w:hint="default" w:ascii="Times New Roman" w:hAnsi="Times New Roman" w:eastAsia="方正仿宋_GBK" w:cs="Times New Roman"/>
          <w:b w:val="0"/>
          <w:color w:val="auto"/>
          <w:sz w:val="32"/>
          <w:szCs w:val="32"/>
          <w:highlight w:val="none"/>
          <w:lang w:val="en-US" w:eastAsia="zh-CN"/>
        </w:rPr>
        <w:t>待遇提高</w:t>
      </w:r>
      <w:r>
        <w:rPr>
          <w:rFonts w:hint="default" w:ascii="Times New Roman" w:hAnsi="Times New Roman" w:eastAsia="方正仿宋_GBK" w:cs="Times New Roman"/>
          <w:b w:val="0"/>
          <w:color w:val="auto"/>
          <w:sz w:val="32"/>
          <w:szCs w:val="32"/>
          <w:highlight w:val="none"/>
        </w:rPr>
        <w:t>，支出</w:t>
      </w:r>
      <w:r>
        <w:rPr>
          <w:rFonts w:hint="default" w:ascii="Times New Roman" w:hAnsi="Times New Roman" w:eastAsia="方正仿宋_GBK" w:cs="Times New Roman"/>
          <w:b w:val="0"/>
          <w:color w:val="auto"/>
          <w:sz w:val="32"/>
          <w:szCs w:val="32"/>
          <w:highlight w:val="none"/>
          <w:lang w:val="en-US" w:eastAsia="zh-CN"/>
        </w:rPr>
        <w:t>较上年</w:t>
      </w:r>
      <w:r>
        <w:rPr>
          <w:rFonts w:hint="default" w:ascii="Times New Roman" w:hAnsi="Times New Roman" w:eastAsia="方正仿宋_GBK" w:cs="Times New Roman"/>
          <w:b w:val="0"/>
          <w:color w:val="auto"/>
          <w:sz w:val="32"/>
          <w:szCs w:val="32"/>
          <w:highlight w:val="none"/>
        </w:rPr>
        <w:t>增加。</w:t>
      </w:r>
    </w:p>
    <w:p w14:paraId="7BD1E585">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2</w:t>
      </w:r>
      <w:r>
        <w:rPr>
          <w:rFonts w:hint="default" w:ascii="Times New Roman" w:hAnsi="Times New Roman" w:eastAsia="方正仿宋_GBK" w:cs="Times New Roman"/>
          <w:b w:val="0"/>
          <w:sz w:val="32"/>
          <w:szCs w:val="32"/>
          <w:highlight w:val="none"/>
          <w:lang w:val="en-US" w:eastAsia="zh-CN"/>
        </w:rPr>
        <w:t>.</w:t>
      </w:r>
      <w:r>
        <w:rPr>
          <w:rFonts w:hint="default" w:ascii="Times New Roman" w:hAnsi="Times New Roman" w:eastAsia="方正仿宋_GBK" w:cs="Times New Roman"/>
          <w:b w:val="0"/>
          <w:sz w:val="32"/>
          <w:szCs w:val="32"/>
          <w:highlight w:val="none"/>
        </w:rPr>
        <w:t>社会保障和就业支出（类）行政事业单位养老支出（款）机关事业单位基本养老保险缴费支出（项）：支出决算数为99.73万元，比上年决算增加4.38万元，增长4.59%，主要原因是：2025年人员正常晋升</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lang w:val="en-US" w:eastAsia="zh-CN"/>
        </w:rPr>
        <w:t>缴费基数调整，支出</w:t>
      </w:r>
      <w:r>
        <w:rPr>
          <w:rFonts w:hint="default" w:ascii="Times New Roman" w:hAnsi="Times New Roman" w:eastAsia="方正仿宋_GBK" w:cs="Times New Roman"/>
          <w:b w:val="0"/>
          <w:color w:val="auto"/>
          <w:sz w:val="32"/>
          <w:szCs w:val="32"/>
          <w:highlight w:val="none"/>
          <w:lang w:val="en-US" w:eastAsia="zh-CN"/>
        </w:rPr>
        <w:t>较上年</w:t>
      </w:r>
      <w:r>
        <w:rPr>
          <w:rFonts w:hint="default" w:ascii="Times New Roman" w:hAnsi="Times New Roman" w:eastAsia="方正仿宋_GBK" w:cs="Times New Roman"/>
          <w:b w:val="0"/>
          <w:sz w:val="32"/>
          <w:szCs w:val="32"/>
          <w:highlight w:val="none"/>
          <w:lang w:val="en-US" w:eastAsia="zh-CN"/>
        </w:rPr>
        <w:t>增加</w:t>
      </w:r>
      <w:r>
        <w:rPr>
          <w:rFonts w:hint="default" w:ascii="Times New Roman" w:hAnsi="Times New Roman" w:eastAsia="方正仿宋_GBK" w:cs="Times New Roman"/>
          <w:b w:val="0"/>
          <w:sz w:val="32"/>
          <w:szCs w:val="32"/>
          <w:highlight w:val="none"/>
        </w:rPr>
        <w:t>。</w:t>
      </w:r>
    </w:p>
    <w:p w14:paraId="1A90B6DC">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3</w:t>
      </w:r>
      <w:r>
        <w:rPr>
          <w:rFonts w:hint="default" w:ascii="Times New Roman" w:hAnsi="Times New Roman" w:eastAsia="方正仿宋_GBK" w:cs="Times New Roman"/>
          <w:b w:val="0"/>
          <w:sz w:val="32"/>
          <w:szCs w:val="32"/>
          <w:highlight w:val="none"/>
          <w:lang w:val="en-US" w:eastAsia="zh-CN"/>
        </w:rPr>
        <w:t>.</w:t>
      </w:r>
      <w:r>
        <w:rPr>
          <w:rFonts w:hint="default" w:ascii="Times New Roman" w:hAnsi="Times New Roman" w:eastAsia="方正仿宋_GBK" w:cs="Times New Roman"/>
          <w:b w:val="0"/>
          <w:sz w:val="32"/>
          <w:szCs w:val="32"/>
          <w:highlight w:val="none"/>
        </w:rPr>
        <w:t>社会保障和就业支出（类）行政事业单位养老支出（款）机关事业单位职业年金缴费支出（项）：支出决算数为69.81万元，比上年决算增加50.93万元，增长269.76%，主要原因是：</w:t>
      </w:r>
      <w:r>
        <w:rPr>
          <w:rFonts w:hint="default" w:ascii="Times New Roman" w:hAnsi="Times New Roman" w:eastAsia="方正仿宋_GBK" w:cs="Times New Roman"/>
          <w:b w:val="0"/>
          <w:sz w:val="32"/>
          <w:szCs w:val="32"/>
          <w:highlight w:val="none"/>
          <w:lang w:val="en-US" w:eastAsia="zh-CN"/>
        </w:rPr>
        <w:t>2025年按照自治区职业年金记实有关规定，记实在职人员职业年金，</w:t>
      </w:r>
      <w:r>
        <w:rPr>
          <w:rFonts w:hint="default" w:ascii="Times New Roman" w:hAnsi="Times New Roman" w:eastAsia="方正仿宋_GBK" w:cs="Times New Roman"/>
          <w:b w:val="0"/>
          <w:sz w:val="32"/>
          <w:szCs w:val="32"/>
          <w:highlight w:val="none"/>
        </w:rPr>
        <w:t>支出</w:t>
      </w:r>
      <w:r>
        <w:rPr>
          <w:rFonts w:hint="default" w:ascii="Times New Roman" w:hAnsi="Times New Roman" w:eastAsia="方正仿宋_GBK" w:cs="Times New Roman"/>
          <w:b w:val="0"/>
          <w:color w:val="auto"/>
          <w:sz w:val="32"/>
          <w:szCs w:val="32"/>
          <w:highlight w:val="none"/>
          <w:lang w:val="en-US" w:eastAsia="zh-CN"/>
        </w:rPr>
        <w:t>较上年</w:t>
      </w:r>
      <w:r>
        <w:rPr>
          <w:rFonts w:hint="default" w:ascii="Times New Roman" w:hAnsi="Times New Roman" w:eastAsia="方正仿宋_GBK" w:cs="Times New Roman"/>
          <w:b w:val="0"/>
          <w:sz w:val="32"/>
          <w:szCs w:val="32"/>
          <w:highlight w:val="none"/>
        </w:rPr>
        <w:t>增加。</w:t>
      </w:r>
    </w:p>
    <w:p w14:paraId="2DB47D5F">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4</w:t>
      </w:r>
      <w:r>
        <w:rPr>
          <w:rFonts w:hint="default" w:ascii="Times New Roman" w:hAnsi="Times New Roman" w:eastAsia="方正仿宋_GBK" w:cs="Times New Roman"/>
          <w:b w:val="0"/>
          <w:sz w:val="32"/>
          <w:szCs w:val="32"/>
          <w:highlight w:val="none"/>
          <w:lang w:val="en-US" w:eastAsia="zh-CN"/>
        </w:rPr>
        <w:t>.</w:t>
      </w:r>
      <w:r>
        <w:rPr>
          <w:rFonts w:hint="default" w:ascii="Times New Roman" w:hAnsi="Times New Roman" w:eastAsia="方正仿宋_GBK" w:cs="Times New Roman"/>
          <w:b w:val="0"/>
          <w:sz w:val="32"/>
          <w:szCs w:val="32"/>
          <w:highlight w:val="none"/>
        </w:rPr>
        <w:t>社会保障和就业支出（类）社会福利（款）社会福利事业单位（项）：支出决算数为920.82万元，比上年决算减少79.85万元，下降7.98%，主要原因是：2025年未安排困难群众社会福利事业供养人员项目</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lang w:val="en-US" w:eastAsia="zh-CN"/>
        </w:rPr>
        <w:t>支出</w:t>
      </w:r>
      <w:r>
        <w:rPr>
          <w:rFonts w:hint="default" w:ascii="Times New Roman" w:hAnsi="Times New Roman" w:eastAsia="方正仿宋_GBK" w:cs="Times New Roman"/>
          <w:b w:val="0"/>
          <w:color w:val="auto"/>
          <w:sz w:val="32"/>
          <w:szCs w:val="32"/>
          <w:highlight w:val="none"/>
          <w:lang w:val="en-US" w:eastAsia="zh-CN"/>
        </w:rPr>
        <w:t>较上年</w:t>
      </w:r>
      <w:r>
        <w:rPr>
          <w:rFonts w:hint="default" w:ascii="Times New Roman" w:hAnsi="Times New Roman" w:eastAsia="方正仿宋_GBK" w:cs="Times New Roman"/>
          <w:b w:val="0"/>
          <w:sz w:val="32"/>
          <w:szCs w:val="32"/>
          <w:highlight w:val="none"/>
          <w:lang w:val="en-US" w:eastAsia="zh-CN"/>
        </w:rPr>
        <w:t>减少</w:t>
      </w:r>
      <w:r>
        <w:rPr>
          <w:rFonts w:hint="default" w:ascii="Times New Roman" w:hAnsi="Times New Roman" w:eastAsia="方正仿宋_GBK" w:cs="Times New Roman"/>
          <w:b w:val="0"/>
          <w:sz w:val="32"/>
          <w:szCs w:val="32"/>
          <w:highlight w:val="none"/>
        </w:rPr>
        <w:t>。</w:t>
      </w:r>
    </w:p>
    <w:p w14:paraId="0F6C9044">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5</w:t>
      </w:r>
      <w:r>
        <w:rPr>
          <w:rFonts w:hint="default" w:ascii="Times New Roman" w:hAnsi="Times New Roman" w:eastAsia="方正仿宋_GBK" w:cs="Times New Roman"/>
          <w:b w:val="0"/>
          <w:sz w:val="32"/>
          <w:szCs w:val="32"/>
          <w:highlight w:val="none"/>
          <w:lang w:val="en-US" w:eastAsia="zh-CN"/>
        </w:rPr>
        <w:t>.</w:t>
      </w:r>
      <w:r>
        <w:rPr>
          <w:rFonts w:hint="default" w:ascii="Times New Roman" w:hAnsi="Times New Roman" w:eastAsia="方正仿宋_GBK" w:cs="Times New Roman"/>
          <w:b w:val="0"/>
          <w:sz w:val="32"/>
          <w:szCs w:val="32"/>
          <w:highlight w:val="none"/>
        </w:rPr>
        <w:t>卫生健康支出（类）行政事业单位医疗（款）事业单位医疗（项）：支出决算数为54.89万元，比上年决算增加10.19万元，增长22.80%，主要原因是：</w:t>
      </w:r>
      <w:r>
        <w:rPr>
          <w:rFonts w:hint="default" w:ascii="Times New Roman" w:hAnsi="Times New Roman" w:eastAsia="方正仿宋_GBK" w:cs="Times New Roman"/>
          <w:b w:val="0"/>
          <w:sz w:val="32"/>
          <w:szCs w:val="32"/>
          <w:highlight w:val="none"/>
          <w:lang w:val="en-US" w:eastAsia="zh-CN"/>
        </w:rPr>
        <w:t>2025年按照自治区基本医疗保险政策规定，调增单位基准缴费费率</w:t>
      </w:r>
      <w:r>
        <w:rPr>
          <w:rFonts w:hint="default" w:ascii="Times New Roman" w:hAnsi="Times New Roman" w:eastAsia="方正仿宋_GBK" w:cs="Times New Roman"/>
          <w:b w:val="0"/>
          <w:sz w:val="32"/>
          <w:szCs w:val="32"/>
          <w:highlight w:val="none"/>
        </w:rPr>
        <w:t>，支出</w:t>
      </w:r>
      <w:r>
        <w:rPr>
          <w:rFonts w:hint="default" w:ascii="Times New Roman" w:hAnsi="Times New Roman" w:eastAsia="方正仿宋_GBK" w:cs="Times New Roman"/>
          <w:b w:val="0"/>
          <w:color w:val="auto"/>
          <w:sz w:val="32"/>
          <w:szCs w:val="32"/>
          <w:highlight w:val="none"/>
          <w:lang w:val="en-US" w:eastAsia="zh-CN"/>
        </w:rPr>
        <w:t>较上年</w:t>
      </w:r>
      <w:r>
        <w:rPr>
          <w:rFonts w:hint="default" w:ascii="Times New Roman" w:hAnsi="Times New Roman" w:eastAsia="方正仿宋_GBK" w:cs="Times New Roman"/>
          <w:b w:val="0"/>
          <w:sz w:val="32"/>
          <w:szCs w:val="32"/>
          <w:highlight w:val="none"/>
        </w:rPr>
        <w:t>增加。</w:t>
      </w:r>
    </w:p>
    <w:p w14:paraId="0EDC685B">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color w:val="0000FF"/>
          <w:sz w:val="32"/>
          <w:szCs w:val="32"/>
          <w:highlight w:val="none"/>
        </w:rPr>
      </w:pPr>
      <w:r>
        <w:rPr>
          <w:rFonts w:hint="default" w:ascii="Times New Roman" w:hAnsi="Times New Roman" w:eastAsia="方正仿宋_GBK" w:cs="Times New Roman"/>
          <w:b w:val="0"/>
          <w:sz w:val="32"/>
          <w:szCs w:val="32"/>
          <w:highlight w:val="none"/>
        </w:rPr>
        <w:t>6</w:t>
      </w:r>
      <w:r>
        <w:rPr>
          <w:rFonts w:hint="default" w:ascii="Times New Roman" w:hAnsi="Times New Roman" w:eastAsia="方正仿宋_GBK" w:cs="Times New Roman"/>
          <w:b w:val="0"/>
          <w:sz w:val="32"/>
          <w:szCs w:val="32"/>
          <w:highlight w:val="none"/>
          <w:lang w:val="en-US" w:eastAsia="zh-CN"/>
        </w:rPr>
        <w:t>.</w:t>
      </w:r>
      <w:r>
        <w:rPr>
          <w:rFonts w:hint="default" w:ascii="Times New Roman" w:hAnsi="Times New Roman" w:eastAsia="方正仿宋_GBK" w:cs="Times New Roman"/>
          <w:b w:val="0"/>
          <w:sz w:val="32"/>
          <w:szCs w:val="32"/>
          <w:highlight w:val="none"/>
        </w:rPr>
        <w:t>卫生健康支出（类）行政事业单位医疗（款）公务员医疗补助（项）：支出决算数为43.64万元，比上年决算增加1.92万元，增长4.60%，主要原因是：2025年人员正常晋升</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lang w:val="en-US" w:eastAsia="zh-CN"/>
        </w:rPr>
        <w:t>缴费基数调整，支出</w:t>
      </w:r>
      <w:r>
        <w:rPr>
          <w:rFonts w:hint="default" w:ascii="Times New Roman" w:hAnsi="Times New Roman" w:eastAsia="方正仿宋_GBK" w:cs="Times New Roman"/>
          <w:b w:val="0"/>
          <w:color w:val="auto"/>
          <w:sz w:val="32"/>
          <w:szCs w:val="32"/>
          <w:highlight w:val="none"/>
          <w:lang w:val="en-US" w:eastAsia="zh-CN"/>
        </w:rPr>
        <w:t>较上年</w:t>
      </w:r>
      <w:r>
        <w:rPr>
          <w:rFonts w:hint="default" w:ascii="Times New Roman" w:hAnsi="Times New Roman" w:eastAsia="方正仿宋_GBK" w:cs="Times New Roman"/>
          <w:b w:val="0"/>
          <w:sz w:val="32"/>
          <w:szCs w:val="32"/>
          <w:highlight w:val="none"/>
          <w:lang w:val="en-US" w:eastAsia="zh-CN"/>
        </w:rPr>
        <w:t>增加</w:t>
      </w:r>
      <w:r>
        <w:rPr>
          <w:rFonts w:hint="default" w:ascii="Times New Roman" w:hAnsi="Times New Roman" w:eastAsia="方正仿宋_GBK" w:cs="Times New Roman"/>
          <w:b w:val="0"/>
          <w:sz w:val="32"/>
          <w:szCs w:val="32"/>
          <w:highlight w:val="none"/>
        </w:rPr>
        <w:t>。</w:t>
      </w:r>
    </w:p>
    <w:p w14:paraId="2EDD87B0">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color w:val="0000FF"/>
          <w:sz w:val="32"/>
          <w:szCs w:val="32"/>
          <w:highlight w:val="none"/>
        </w:rPr>
      </w:pPr>
      <w:r>
        <w:rPr>
          <w:rFonts w:hint="default" w:ascii="Times New Roman" w:hAnsi="Times New Roman" w:eastAsia="方正仿宋_GBK" w:cs="Times New Roman"/>
          <w:b w:val="0"/>
          <w:sz w:val="32"/>
          <w:szCs w:val="32"/>
          <w:highlight w:val="none"/>
        </w:rPr>
        <w:t>7</w:t>
      </w:r>
      <w:r>
        <w:rPr>
          <w:rFonts w:hint="default" w:ascii="Times New Roman" w:hAnsi="Times New Roman" w:eastAsia="方正仿宋_GBK" w:cs="Times New Roman"/>
          <w:b w:val="0"/>
          <w:sz w:val="32"/>
          <w:szCs w:val="32"/>
          <w:highlight w:val="none"/>
          <w:lang w:val="en-US" w:eastAsia="zh-CN"/>
        </w:rPr>
        <w:t>.</w:t>
      </w:r>
      <w:r>
        <w:rPr>
          <w:rFonts w:hint="default" w:ascii="Times New Roman" w:hAnsi="Times New Roman" w:eastAsia="方正仿宋_GBK" w:cs="Times New Roman"/>
          <w:b w:val="0"/>
          <w:sz w:val="32"/>
          <w:szCs w:val="32"/>
          <w:highlight w:val="none"/>
        </w:rPr>
        <w:t>住房保障支出（类）住房改革支出（款）住房公积金（项）：支出决算数为74.79万元，比上年决算增加3.27万元，增长4.57%，主要原因是：2025年人员正常晋升</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lang w:val="en-US" w:eastAsia="zh-CN"/>
        </w:rPr>
        <w:t>缴费基数调整，支出</w:t>
      </w:r>
      <w:r>
        <w:rPr>
          <w:rFonts w:hint="default" w:ascii="Times New Roman" w:hAnsi="Times New Roman" w:eastAsia="方正仿宋_GBK" w:cs="Times New Roman"/>
          <w:b w:val="0"/>
          <w:color w:val="auto"/>
          <w:sz w:val="32"/>
          <w:szCs w:val="32"/>
          <w:highlight w:val="none"/>
          <w:lang w:val="en-US" w:eastAsia="zh-CN"/>
        </w:rPr>
        <w:t>较上年</w:t>
      </w:r>
      <w:r>
        <w:rPr>
          <w:rFonts w:hint="default" w:ascii="Times New Roman" w:hAnsi="Times New Roman" w:eastAsia="方正仿宋_GBK" w:cs="Times New Roman"/>
          <w:b w:val="0"/>
          <w:sz w:val="32"/>
          <w:szCs w:val="32"/>
          <w:highlight w:val="none"/>
          <w:lang w:val="en-US" w:eastAsia="zh-CN"/>
        </w:rPr>
        <w:t>增加</w:t>
      </w:r>
      <w:r>
        <w:rPr>
          <w:rFonts w:hint="default" w:ascii="Times New Roman" w:hAnsi="Times New Roman" w:eastAsia="方正仿宋_GBK" w:cs="Times New Roman"/>
          <w:b w:val="0"/>
          <w:sz w:val="32"/>
          <w:szCs w:val="32"/>
          <w:highlight w:val="none"/>
        </w:rPr>
        <w:t>。</w:t>
      </w:r>
    </w:p>
    <w:p w14:paraId="377D806E">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六、一般公共预算财政拨款基本支出决算情况说明</w:t>
      </w:r>
    </w:p>
    <w:p w14:paraId="09244CCC">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2025年度一般公共预算财政拨款基本支出1,456.62万元，其中：</w:t>
      </w:r>
      <w:r>
        <w:rPr>
          <w:rFonts w:hint="default" w:ascii="Times New Roman" w:hAnsi="Times New Roman" w:eastAsia="方正仿宋_GBK" w:cs="Times New Roman"/>
          <w:b/>
          <w:bCs/>
          <w:sz w:val="32"/>
          <w:szCs w:val="32"/>
        </w:rPr>
        <w:t>人员经费1,286.21万元，</w:t>
      </w:r>
      <w:r>
        <w:rPr>
          <w:rFonts w:hint="default" w:ascii="Times New Roman" w:hAnsi="Times New Roman" w:eastAsia="方正仿宋_GBK" w:cs="Times New Roman"/>
          <w:b w:val="0"/>
          <w:sz w:val="32"/>
          <w:szCs w:val="32"/>
        </w:rPr>
        <w:t>包括：基本工资、津贴补贴、奖金、绩效工资、机关事业单位基本养老保险缴费、职业年金缴费、职工基本医疗保险缴费、公务员医疗补助缴费、其他社会保障缴费、住房公积金、其他工资福利支出、退休费、抚恤金和其他对个人和家庭的补助。</w:t>
      </w:r>
    </w:p>
    <w:p w14:paraId="0C2C3A38">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公用经费170.41万元，</w:t>
      </w:r>
      <w:r>
        <w:rPr>
          <w:rFonts w:hint="default" w:ascii="Times New Roman" w:hAnsi="Times New Roman" w:eastAsia="方正仿宋_GBK" w:cs="Times New Roman"/>
          <w:b w:val="0"/>
          <w:sz w:val="32"/>
          <w:szCs w:val="32"/>
        </w:rPr>
        <w:t>包括：办公费、水费、电费、邮电费、取暖费、差旅费、培训费、工会经费、福利费、公务用车运行维护费和其他商品和服务支出。</w:t>
      </w:r>
    </w:p>
    <w:p w14:paraId="02EBEB81">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七、政府性基金预算财政拨款收入支出决算情况说明</w:t>
      </w:r>
    </w:p>
    <w:p w14:paraId="1FEC46D6">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按照党中央、国务院关于党政机关习惯过紧日子的有关要求，厉行节约办一切事业，严控一般性支出。同时坚持有保有压，优化支出结构，提高资金使用效率，合理保障残疾人福利基本建设、</w:t>
      </w:r>
      <w:r>
        <w:rPr>
          <w:rFonts w:hint="default" w:ascii="Times New Roman" w:hAnsi="Times New Roman" w:eastAsia="方正仿宋_GBK" w:cs="Times New Roman"/>
          <w:b w:val="0"/>
          <w:color w:val="auto"/>
          <w:sz w:val="32"/>
          <w:szCs w:val="32"/>
          <w:highlight w:val="none"/>
        </w:rPr>
        <w:t>医疗康复专业服务</w:t>
      </w:r>
      <w:r>
        <w:rPr>
          <w:rFonts w:hint="default" w:ascii="Times New Roman" w:hAnsi="Times New Roman" w:eastAsia="方正仿宋_GBK" w:cs="Times New Roman"/>
          <w:b w:val="0"/>
          <w:sz w:val="32"/>
          <w:szCs w:val="32"/>
        </w:rPr>
        <w:t>等重点支出，体现在有关支出科目中。</w:t>
      </w:r>
    </w:p>
    <w:p w14:paraId="73593336">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2025年度政府性基金预算财政拨款收入总计416.12万元，</w:t>
      </w:r>
      <w:r>
        <w:rPr>
          <w:rFonts w:hint="default" w:ascii="Times New Roman" w:hAnsi="Times New Roman" w:eastAsia="方正仿宋_GBK" w:cs="Times New Roman"/>
          <w:b w:val="0"/>
          <w:sz w:val="32"/>
          <w:szCs w:val="32"/>
        </w:rPr>
        <w:t>其中：年初结转和结余0.00万元，本年收入416.12万元。</w:t>
      </w:r>
      <w:r>
        <w:rPr>
          <w:rFonts w:hint="default" w:ascii="Times New Roman" w:hAnsi="Times New Roman" w:eastAsia="方正仿宋_GBK" w:cs="Times New Roman"/>
          <w:b/>
          <w:bCs/>
          <w:sz w:val="32"/>
          <w:szCs w:val="32"/>
        </w:rPr>
        <w:t>政府性基金预算财政拨款支出总计416.12万元，</w:t>
      </w:r>
      <w:r>
        <w:rPr>
          <w:rFonts w:hint="default" w:ascii="Times New Roman" w:hAnsi="Times New Roman" w:eastAsia="方正仿宋_GBK" w:cs="Times New Roman"/>
          <w:b w:val="0"/>
          <w:sz w:val="32"/>
          <w:szCs w:val="32"/>
        </w:rPr>
        <w:t>其中：年末结转和结余0.00万元，本年支出416.12万元。</w:t>
      </w:r>
    </w:p>
    <w:p w14:paraId="29C44C51">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bCs/>
          <w:sz w:val="32"/>
          <w:szCs w:val="32"/>
        </w:rPr>
        <w:t>政府性基金预算财政拨款收入支出总体与上年相比，</w:t>
      </w:r>
      <w:r>
        <w:rPr>
          <w:rFonts w:hint="default" w:ascii="Times New Roman" w:hAnsi="Times New Roman" w:eastAsia="方正仿宋_GBK" w:cs="Times New Roman"/>
          <w:b w:val="0"/>
          <w:sz w:val="32"/>
          <w:szCs w:val="32"/>
        </w:rPr>
        <w:t>增加284.24万元，增长215.53%，主要原因是：</w:t>
      </w:r>
      <w:r>
        <w:rPr>
          <w:rFonts w:hint="default" w:ascii="Times New Roman" w:hAnsi="Times New Roman" w:eastAsia="方正仿宋_GBK" w:cs="Times New Roman"/>
          <w:b w:val="0"/>
          <w:sz w:val="32"/>
          <w:szCs w:val="32"/>
          <w:highlight w:val="none"/>
        </w:rPr>
        <w:t>2025年年初安排自治区本级彩票公益金支持残疾人福利基本建设项目</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lang w:val="en-US" w:eastAsia="zh-CN"/>
        </w:rPr>
        <w:t>支出较上年增加</w:t>
      </w:r>
      <w:r>
        <w:rPr>
          <w:rFonts w:hint="default" w:ascii="Times New Roman" w:hAnsi="Times New Roman" w:eastAsia="方正仿宋_GBK" w:cs="Times New Roman"/>
          <w:b w:val="0"/>
          <w:sz w:val="32"/>
          <w:szCs w:val="32"/>
          <w:highlight w:val="none"/>
        </w:rPr>
        <w:t>。</w:t>
      </w:r>
    </w:p>
    <w:p w14:paraId="47AB17FD">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bCs/>
          <w:sz w:val="32"/>
          <w:szCs w:val="32"/>
          <w:highlight w:val="none"/>
        </w:rPr>
        <w:t>与年初预算相比，</w:t>
      </w:r>
      <w:r>
        <w:rPr>
          <w:rFonts w:hint="default" w:ascii="Times New Roman" w:hAnsi="Times New Roman" w:eastAsia="方正仿宋_GBK" w:cs="Times New Roman"/>
          <w:b w:val="0"/>
          <w:sz w:val="32"/>
          <w:szCs w:val="32"/>
          <w:highlight w:val="none"/>
        </w:rPr>
        <w:t>年初预算数416.12万元，决算数416.12万元，预决算差异率0.00%，主要原因是：严格按预算执行</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lang w:val="en-US" w:eastAsia="zh-CN"/>
        </w:rPr>
        <w:t>预决算无差异</w:t>
      </w:r>
      <w:r>
        <w:rPr>
          <w:rFonts w:hint="default" w:ascii="Times New Roman" w:hAnsi="Times New Roman" w:eastAsia="方正仿宋_GBK" w:cs="Times New Roman"/>
          <w:b w:val="0"/>
          <w:sz w:val="32"/>
          <w:szCs w:val="32"/>
          <w:highlight w:val="none"/>
        </w:rPr>
        <w:t>。</w:t>
      </w:r>
    </w:p>
    <w:p w14:paraId="363D4621">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政府性基金预算财政拨款本年支出416.12万元。具体情况如下：</w:t>
      </w:r>
    </w:p>
    <w:p w14:paraId="764E5421">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rPr>
        <w:t>1</w:t>
      </w:r>
      <w:r>
        <w:rPr>
          <w:rFonts w:hint="default" w:ascii="Times New Roman" w:hAnsi="Times New Roman" w:eastAsia="方正仿宋_GBK" w:cs="Times New Roman"/>
          <w:b w:val="0"/>
          <w:sz w:val="32"/>
          <w:szCs w:val="32"/>
          <w:lang w:val="en-US" w:eastAsia="zh-CN"/>
        </w:rPr>
        <w:t>.</w:t>
      </w:r>
      <w:r>
        <w:rPr>
          <w:rFonts w:hint="default" w:ascii="Times New Roman" w:hAnsi="Times New Roman" w:eastAsia="方正仿宋_GBK" w:cs="Times New Roman"/>
          <w:b w:val="0"/>
          <w:sz w:val="32"/>
          <w:szCs w:val="32"/>
        </w:rPr>
        <w:t>其他支出（类）彩票公益金安排的支出（款）用于社会福利的彩票公益金支出（项）：支出决算数为416.12万元，比上年决算增加284.24万元，增长215.53%，主要原因是：</w:t>
      </w:r>
      <w:r>
        <w:rPr>
          <w:rFonts w:hint="default" w:ascii="Times New Roman" w:hAnsi="Times New Roman" w:eastAsia="方正仿宋_GBK" w:cs="Times New Roman"/>
          <w:b w:val="0"/>
          <w:sz w:val="32"/>
          <w:szCs w:val="32"/>
          <w:highlight w:val="none"/>
        </w:rPr>
        <w:t>2025年年初安排自治区本级彩票公益金支持残疾人福利基本建设项目</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lang w:val="en-US" w:eastAsia="zh-CN"/>
        </w:rPr>
        <w:t>支出较上年增加</w:t>
      </w:r>
      <w:r>
        <w:rPr>
          <w:rFonts w:hint="default" w:ascii="Times New Roman" w:hAnsi="Times New Roman" w:eastAsia="方正仿宋_GBK" w:cs="Times New Roman"/>
          <w:b w:val="0"/>
          <w:sz w:val="32"/>
          <w:szCs w:val="32"/>
          <w:highlight w:val="none"/>
        </w:rPr>
        <w:t>。</w:t>
      </w:r>
    </w:p>
    <w:p w14:paraId="2C7926F1">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八、国有资本经营预算财政拨款收入支出决算情况说明</w:t>
      </w:r>
    </w:p>
    <w:p w14:paraId="54C61C29">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本单位本年度无国有资本经营预算财政拨款收入、支出及结转和结余，国有资本经营预算财政拨款收入支出决算表为空表。</w:t>
      </w:r>
    </w:p>
    <w:p w14:paraId="46DBBC53">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九、财政拨款“三公”经费支出决算情况说明</w:t>
      </w:r>
    </w:p>
    <w:p w14:paraId="3464FC3A">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bCs/>
          <w:sz w:val="32"/>
          <w:szCs w:val="32"/>
        </w:rPr>
        <w:t>2025年度财政拨款“三公”经费支出5.00万元，</w:t>
      </w:r>
      <w:r>
        <w:rPr>
          <w:rFonts w:hint="default" w:ascii="Times New Roman" w:hAnsi="Times New Roman" w:eastAsia="方正仿宋_GBK" w:cs="Times New Roman"/>
          <w:b w:val="0"/>
          <w:sz w:val="32"/>
          <w:szCs w:val="32"/>
        </w:rPr>
        <w:t>与上年相比无变化，主要原因是：</w:t>
      </w:r>
      <w:r>
        <w:rPr>
          <w:rFonts w:hint="default" w:ascii="Times New Roman" w:hAnsi="Times New Roman" w:eastAsia="方正仿宋_GBK" w:cs="Times New Roman"/>
          <w:b w:val="0"/>
          <w:sz w:val="32"/>
          <w:szCs w:val="32"/>
          <w:highlight w:val="none"/>
          <w:lang w:val="en-US" w:eastAsia="zh-CN"/>
        </w:rPr>
        <w:t>严格落实</w:t>
      </w:r>
      <w:r>
        <w:rPr>
          <w:rFonts w:hint="default" w:ascii="Times New Roman" w:hAnsi="Times New Roman" w:eastAsia="方正仿宋_GBK" w:cs="Times New Roman"/>
          <w:b w:val="0"/>
          <w:sz w:val="32"/>
          <w:szCs w:val="32"/>
          <w:highlight w:val="none"/>
        </w:rPr>
        <w:t>党中央、国务院关于党政机关习惯过紧日子的有关要求，</w:t>
      </w:r>
      <w:r>
        <w:rPr>
          <w:rFonts w:hint="default" w:ascii="Times New Roman" w:hAnsi="Times New Roman" w:eastAsia="方正仿宋_GBK" w:cs="Times New Roman"/>
          <w:b w:val="0"/>
          <w:sz w:val="32"/>
          <w:szCs w:val="32"/>
          <w:highlight w:val="none"/>
          <w:lang w:val="en-US" w:eastAsia="zh-CN"/>
        </w:rPr>
        <w:t>厉行节约，</w:t>
      </w:r>
      <w:r>
        <w:rPr>
          <w:rFonts w:hint="default" w:ascii="Times New Roman" w:hAnsi="Times New Roman" w:eastAsia="方正仿宋_GBK" w:cs="Times New Roman"/>
          <w:b w:val="0"/>
          <w:color w:val="auto"/>
          <w:sz w:val="32"/>
          <w:szCs w:val="32"/>
          <w:highlight w:val="none"/>
        </w:rPr>
        <w:t>严控“三公”经费支出，支出与上年一致。其中：因公出国</w:t>
      </w:r>
      <w:r>
        <w:rPr>
          <w:rFonts w:hint="default" w:ascii="Times New Roman" w:hAnsi="Times New Roman" w:eastAsia="方正仿宋_GBK" w:cs="Times New Roman"/>
          <w:b w:val="0"/>
          <w:sz w:val="32"/>
          <w:szCs w:val="32"/>
          <w:highlight w:val="none"/>
        </w:rPr>
        <w:t>（境）费用支出0.00万元,占0.00%，与上年相比无变化，主要原因是：我单位无因公出国（境）</w:t>
      </w:r>
      <w:r>
        <w:rPr>
          <w:rFonts w:hint="default" w:ascii="Times New Roman" w:hAnsi="Times New Roman" w:eastAsia="方正仿宋_GBK" w:cs="Times New Roman"/>
          <w:b w:val="0"/>
          <w:sz w:val="32"/>
          <w:szCs w:val="32"/>
          <w:highlight w:val="none"/>
          <w:lang w:val="en-US" w:eastAsia="zh-CN"/>
        </w:rPr>
        <w:t>支出，支出与上年一致</w:t>
      </w:r>
      <w:r>
        <w:rPr>
          <w:rFonts w:hint="default" w:ascii="Times New Roman" w:hAnsi="Times New Roman" w:eastAsia="方正仿宋_GBK" w:cs="Times New Roman"/>
          <w:b w:val="0"/>
          <w:sz w:val="32"/>
          <w:szCs w:val="32"/>
          <w:highlight w:val="none"/>
        </w:rPr>
        <w:t>；公务用车</w:t>
      </w:r>
      <w:r>
        <w:rPr>
          <w:rFonts w:hint="default" w:ascii="Times New Roman" w:hAnsi="Times New Roman" w:eastAsia="方正仿宋_GBK" w:cs="Times New Roman"/>
          <w:b w:val="0"/>
          <w:sz w:val="32"/>
          <w:szCs w:val="32"/>
        </w:rPr>
        <w:t>购置及运行维护费支出5.00万元，占100.00%，与上年相比无变化，主要原因是：</w:t>
      </w:r>
      <w:r>
        <w:rPr>
          <w:rFonts w:hint="default" w:ascii="Times New Roman" w:hAnsi="Times New Roman" w:eastAsia="方正仿宋_GBK" w:cs="Times New Roman"/>
          <w:b w:val="0"/>
          <w:color w:val="auto"/>
          <w:sz w:val="32"/>
          <w:szCs w:val="32"/>
          <w:highlight w:val="none"/>
          <w:lang w:val="en-US" w:eastAsia="zh-CN"/>
        </w:rPr>
        <w:t>厉行节约，严格公务用车管理，严控公务用车运行维护费</w:t>
      </w:r>
      <w:r>
        <w:rPr>
          <w:rFonts w:hint="default" w:ascii="Times New Roman" w:hAnsi="Times New Roman" w:eastAsia="方正仿宋_GBK" w:cs="Times New Roman"/>
          <w:b w:val="0"/>
          <w:color w:val="auto"/>
          <w:sz w:val="32"/>
          <w:szCs w:val="32"/>
          <w:highlight w:val="none"/>
        </w:rPr>
        <w:t>，支出与上年一致；</w:t>
      </w:r>
      <w:r>
        <w:rPr>
          <w:rFonts w:hint="default" w:ascii="Times New Roman" w:hAnsi="Times New Roman" w:eastAsia="方正仿宋_GBK" w:cs="Times New Roman"/>
          <w:b w:val="0"/>
          <w:sz w:val="32"/>
          <w:szCs w:val="32"/>
          <w:highlight w:val="none"/>
        </w:rPr>
        <w:t>公务接待费支出0.00万元，占0.00%，与上年相比无变化，主要原因是：</w:t>
      </w:r>
      <w:r>
        <w:rPr>
          <w:rFonts w:hint="default" w:ascii="Times New Roman" w:hAnsi="Times New Roman" w:eastAsia="方正仿宋_GBK" w:cs="Times New Roman"/>
          <w:b w:val="0"/>
          <w:color w:val="auto"/>
          <w:sz w:val="32"/>
          <w:szCs w:val="32"/>
          <w:highlight w:val="none"/>
          <w:lang w:val="en-US" w:eastAsia="zh-CN"/>
        </w:rPr>
        <w:t>我单位未开展公务接待活动，</w:t>
      </w:r>
      <w:r>
        <w:rPr>
          <w:rFonts w:hint="default" w:ascii="Times New Roman" w:hAnsi="Times New Roman" w:eastAsia="方正仿宋_GBK" w:cs="Times New Roman"/>
          <w:b w:val="0"/>
          <w:color w:val="auto"/>
          <w:sz w:val="32"/>
          <w:szCs w:val="32"/>
          <w:highlight w:val="none"/>
        </w:rPr>
        <w:t>支出与上年一致。</w:t>
      </w:r>
    </w:p>
    <w:p w14:paraId="593BDD7D">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left"/>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具体情况如下：</w:t>
      </w:r>
    </w:p>
    <w:p w14:paraId="35A63D3F">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因公出国（境）费用0.00万元，开支内容包括我单位无因公出国（境）费支出。单位全年安排的因公出国（境）团组0个，因公出国（境）0人次。</w:t>
      </w:r>
    </w:p>
    <w:p w14:paraId="31427106">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公务用车购置及运行维护费5.00万元，其中：公务用车购置费0.00万元，公务用车运行维护费5.00万元。公务用车运行维护费开支内容包括公务用车燃料费、维修费、保险费等支出。公务用车购置数0辆，公务用车保有量3辆。国有资产占用情况中固定资产车辆3辆，与公务用车保有量差异原因是：我单位公务用车数量无变化。</w:t>
      </w:r>
    </w:p>
    <w:p w14:paraId="7AED42FD">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公务接待费0.00万元，开支内容包括我单位无公务接待费支出。单位全年安排的国内公务接待0批次，0人次。</w:t>
      </w:r>
    </w:p>
    <w:p w14:paraId="4AE4FA19">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与全年预算相比，</w:t>
      </w:r>
      <w:r>
        <w:rPr>
          <w:rFonts w:hint="default" w:ascii="Times New Roman" w:hAnsi="Times New Roman" w:eastAsia="方正仿宋_GBK" w:cs="Times New Roman"/>
          <w:b w:val="0"/>
          <w:sz w:val="32"/>
          <w:szCs w:val="32"/>
        </w:rPr>
        <w:t>财政拨款“三公”经费支出全年预算数5.00万元，决算数5.00万元，预决算差异</w:t>
      </w:r>
      <w:r>
        <w:rPr>
          <w:rFonts w:hint="default" w:ascii="Times New Roman" w:hAnsi="Times New Roman" w:eastAsia="方正仿宋_GBK" w:cs="Times New Roman"/>
          <w:b w:val="0"/>
          <w:color w:val="auto"/>
          <w:sz w:val="32"/>
          <w:szCs w:val="32"/>
          <w:highlight w:val="none"/>
        </w:rPr>
        <w:t>率0.00%，主要原因是：</w:t>
      </w:r>
      <w:r>
        <w:rPr>
          <w:rFonts w:hint="default" w:ascii="Times New Roman" w:hAnsi="Times New Roman" w:eastAsia="方正仿宋_GBK" w:cs="Times New Roman"/>
          <w:b w:val="0"/>
          <w:sz w:val="32"/>
          <w:szCs w:val="32"/>
          <w:highlight w:val="none"/>
          <w:lang w:val="en-US" w:eastAsia="zh-CN"/>
        </w:rPr>
        <w:t>严格落实</w:t>
      </w:r>
      <w:r>
        <w:rPr>
          <w:rFonts w:hint="default" w:ascii="Times New Roman" w:hAnsi="Times New Roman" w:eastAsia="方正仿宋_GBK" w:cs="Times New Roman"/>
          <w:b w:val="0"/>
          <w:sz w:val="32"/>
          <w:szCs w:val="32"/>
          <w:highlight w:val="none"/>
        </w:rPr>
        <w:t>党中央、国务院关于党政机关习惯过紧日子的有关要求，</w:t>
      </w:r>
      <w:r>
        <w:rPr>
          <w:rFonts w:hint="default" w:ascii="Times New Roman" w:hAnsi="Times New Roman" w:eastAsia="方正仿宋_GBK" w:cs="Times New Roman"/>
          <w:b w:val="0"/>
          <w:color w:val="auto"/>
          <w:sz w:val="32"/>
          <w:szCs w:val="32"/>
          <w:highlight w:val="none"/>
        </w:rPr>
        <w:t>严控“三公”经费支出，严格按照预算执行。其中：因公出国（境）费用全年预算数0.00万元，决算数0.00万元，预决算差异率0.00%，主要原因是：我单位无因公出国（境）</w:t>
      </w:r>
      <w:r>
        <w:rPr>
          <w:rFonts w:hint="default" w:ascii="Times New Roman" w:hAnsi="Times New Roman" w:eastAsia="方正仿宋_GBK" w:cs="Times New Roman"/>
          <w:b w:val="0"/>
          <w:color w:val="auto"/>
          <w:sz w:val="32"/>
          <w:szCs w:val="32"/>
          <w:highlight w:val="none"/>
          <w:lang w:val="en-US" w:eastAsia="zh-CN"/>
        </w:rPr>
        <w:t>支出</w:t>
      </w:r>
      <w:r>
        <w:rPr>
          <w:rFonts w:hint="default" w:ascii="Times New Roman" w:hAnsi="Times New Roman" w:eastAsia="方正仿宋_GBK" w:cs="Times New Roman"/>
          <w:b w:val="0"/>
          <w:color w:val="auto"/>
          <w:sz w:val="32"/>
          <w:szCs w:val="32"/>
          <w:highlight w:val="none"/>
        </w:rPr>
        <w:t>；公务用车购置费全年预算数0.00万元，决算数0.00万元，预决算差异率0.00%，主要原因是：我单位无公务用车购置</w:t>
      </w:r>
      <w:r>
        <w:rPr>
          <w:rFonts w:hint="default" w:ascii="Times New Roman" w:hAnsi="Times New Roman" w:eastAsia="方正仿宋_GBK" w:cs="Times New Roman"/>
          <w:b w:val="0"/>
          <w:color w:val="auto"/>
          <w:sz w:val="32"/>
          <w:szCs w:val="32"/>
          <w:highlight w:val="none"/>
          <w:lang w:val="en-US" w:eastAsia="zh-CN"/>
        </w:rPr>
        <w:t>支出</w:t>
      </w:r>
      <w:r>
        <w:rPr>
          <w:rFonts w:hint="default" w:ascii="Times New Roman" w:hAnsi="Times New Roman" w:eastAsia="方正仿宋_GBK" w:cs="Times New Roman"/>
          <w:b w:val="0"/>
          <w:color w:val="auto"/>
          <w:sz w:val="32"/>
          <w:szCs w:val="32"/>
          <w:highlight w:val="none"/>
        </w:rPr>
        <w:t>；公务用车运行维护费全年预算数5.00万元，决算数5.00万元，预决算差异率0.00%，主要原因是：</w:t>
      </w:r>
      <w:r>
        <w:rPr>
          <w:rFonts w:hint="default" w:ascii="Times New Roman" w:hAnsi="Times New Roman" w:eastAsia="方正仿宋_GBK" w:cs="Times New Roman"/>
          <w:b w:val="0"/>
          <w:color w:val="auto"/>
          <w:sz w:val="32"/>
          <w:szCs w:val="32"/>
          <w:highlight w:val="none"/>
          <w:lang w:val="en-US" w:eastAsia="zh-CN"/>
        </w:rPr>
        <w:t>厉行节约，严格公务用车管理，严控公务用车运行维护费</w:t>
      </w:r>
      <w:r>
        <w:rPr>
          <w:rFonts w:hint="default" w:ascii="Times New Roman" w:hAnsi="Times New Roman" w:eastAsia="方正仿宋_GBK" w:cs="Times New Roman"/>
          <w:b w:val="0"/>
          <w:color w:val="auto"/>
          <w:sz w:val="32"/>
          <w:szCs w:val="32"/>
          <w:highlight w:val="none"/>
        </w:rPr>
        <w:t>，严格按照预算执行；公务接待费全年预算数0.00万元，决算数0.00万元，预决算差异率0.00%，主要原因是：我单位无公务接待</w:t>
      </w:r>
      <w:r>
        <w:rPr>
          <w:rFonts w:hint="default" w:ascii="Times New Roman" w:hAnsi="Times New Roman" w:eastAsia="方正仿宋_GBK" w:cs="Times New Roman"/>
          <w:b w:val="0"/>
          <w:color w:val="auto"/>
          <w:sz w:val="32"/>
          <w:szCs w:val="32"/>
          <w:highlight w:val="none"/>
          <w:lang w:val="en-US" w:eastAsia="zh-CN"/>
        </w:rPr>
        <w:t>支出</w:t>
      </w:r>
      <w:r>
        <w:rPr>
          <w:rFonts w:hint="default" w:ascii="Times New Roman" w:hAnsi="Times New Roman" w:eastAsia="方正仿宋_GBK" w:cs="Times New Roman"/>
          <w:b w:val="0"/>
          <w:color w:val="auto"/>
          <w:sz w:val="32"/>
          <w:szCs w:val="32"/>
          <w:highlight w:val="none"/>
        </w:rPr>
        <w:t>。</w:t>
      </w:r>
    </w:p>
    <w:p w14:paraId="256A6423">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十、其他重要事项的情况说明</w:t>
      </w:r>
    </w:p>
    <w:p w14:paraId="69B4E7DA">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left"/>
        <w:textAlignment w:val="auto"/>
        <w:outlineLvl w:val="2"/>
        <w:rPr>
          <w:rFonts w:hint="default" w:ascii="Times New Roman" w:hAnsi="Times New Roman" w:eastAsia="方正楷体_GB2312" w:cs="Times New Roman"/>
          <w:b/>
          <w:bCs/>
          <w:sz w:val="32"/>
          <w:szCs w:val="32"/>
        </w:rPr>
      </w:pPr>
      <w:r>
        <w:rPr>
          <w:rFonts w:hint="default" w:ascii="Times New Roman" w:hAnsi="Times New Roman" w:eastAsia="方正楷体_GB2312" w:cs="Times New Roman"/>
          <w:b/>
          <w:bCs/>
          <w:sz w:val="32"/>
          <w:szCs w:val="32"/>
        </w:rPr>
        <w:t>（一）机关运行经费及公用经费支出情况</w:t>
      </w:r>
    </w:p>
    <w:p w14:paraId="3D68AE39">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2"/>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rPr>
        <w:t>2025年度新疆静宁医院（事业单位）公用经费支出170.41万元，比上年增加67.69万元，增长65.90%，主要原因是：</w:t>
      </w:r>
      <w:r>
        <w:rPr>
          <w:rFonts w:hint="default" w:ascii="Times New Roman" w:hAnsi="Times New Roman" w:eastAsia="方正仿宋_GBK" w:cs="Times New Roman"/>
          <w:b w:val="0"/>
          <w:sz w:val="32"/>
          <w:szCs w:val="32"/>
          <w:highlight w:val="none"/>
        </w:rPr>
        <w:t>2025年取暖费</w:t>
      </w:r>
      <w:r>
        <w:rPr>
          <w:rFonts w:hint="default" w:ascii="Times New Roman" w:hAnsi="Times New Roman" w:eastAsia="方正仿宋_GBK" w:cs="Times New Roman"/>
          <w:b w:val="0"/>
          <w:sz w:val="32"/>
          <w:szCs w:val="32"/>
          <w:highlight w:val="none"/>
          <w:lang w:val="en-US" w:eastAsia="zh-CN"/>
        </w:rPr>
        <w:t>缴费标准提高，取暖费</w:t>
      </w:r>
      <w:r>
        <w:rPr>
          <w:rFonts w:hint="default" w:ascii="Times New Roman" w:hAnsi="Times New Roman" w:eastAsia="方正仿宋_GBK" w:cs="Times New Roman"/>
          <w:b w:val="0"/>
          <w:sz w:val="32"/>
          <w:szCs w:val="32"/>
          <w:highlight w:val="none"/>
        </w:rPr>
        <w:t>支出较上年增加。</w:t>
      </w:r>
    </w:p>
    <w:p w14:paraId="061DD82F">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left"/>
        <w:textAlignment w:val="auto"/>
        <w:outlineLvl w:val="2"/>
        <w:rPr>
          <w:rFonts w:hint="default" w:ascii="Times New Roman" w:hAnsi="Times New Roman" w:eastAsia="方正楷体_GB2312" w:cs="Times New Roman"/>
          <w:b/>
          <w:bCs/>
          <w:sz w:val="32"/>
          <w:szCs w:val="32"/>
        </w:rPr>
      </w:pPr>
      <w:r>
        <w:rPr>
          <w:rFonts w:hint="default" w:ascii="Times New Roman" w:hAnsi="Times New Roman" w:eastAsia="方正楷体_GB2312" w:cs="Times New Roman"/>
          <w:b/>
          <w:bCs/>
          <w:sz w:val="32"/>
          <w:szCs w:val="32"/>
        </w:rPr>
        <w:t>（二）政府采购情况</w:t>
      </w:r>
    </w:p>
    <w:p w14:paraId="344203BE">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2025年度政府采购支出总额204.96万元，其中：政府采购货物支出134.93万元、政府采购工程支出19.86万元、政府采购服务支出50.1</w:t>
      </w:r>
      <w:r>
        <w:rPr>
          <w:rFonts w:hint="default" w:ascii="Times New Roman" w:hAnsi="Times New Roman" w:eastAsia="方正仿宋_GBK" w:cs="Times New Roman"/>
          <w:b w:val="0"/>
          <w:sz w:val="32"/>
          <w:szCs w:val="32"/>
          <w:lang w:val="en-US" w:eastAsia="zh-CN"/>
        </w:rPr>
        <w:t>7</w:t>
      </w:r>
      <w:r>
        <w:rPr>
          <w:rFonts w:hint="default" w:ascii="Times New Roman" w:hAnsi="Times New Roman" w:eastAsia="方正仿宋_GBK" w:cs="Times New Roman"/>
          <w:b w:val="0"/>
          <w:sz w:val="32"/>
          <w:szCs w:val="32"/>
        </w:rPr>
        <w:t>万元。</w:t>
      </w:r>
    </w:p>
    <w:p w14:paraId="0C113FB1">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授予中小企业合同金额159.63万元，占政府采购支出总额的77.88%，其中：授予小微企业合同金额146.18万元，占政府采购支出总额的71.32%。</w:t>
      </w:r>
    </w:p>
    <w:p w14:paraId="6A23A08C">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left"/>
        <w:textAlignment w:val="auto"/>
        <w:outlineLvl w:val="2"/>
        <w:rPr>
          <w:rFonts w:hint="default" w:ascii="Times New Roman" w:hAnsi="Times New Roman" w:eastAsia="方正楷体_GB2312" w:cs="Times New Roman"/>
          <w:b/>
          <w:bCs/>
          <w:sz w:val="32"/>
          <w:szCs w:val="32"/>
        </w:rPr>
      </w:pPr>
      <w:r>
        <w:rPr>
          <w:rFonts w:hint="default" w:ascii="Times New Roman" w:hAnsi="Times New Roman" w:eastAsia="方正楷体_GB2312" w:cs="Times New Roman"/>
          <w:b/>
          <w:bCs/>
          <w:sz w:val="32"/>
          <w:szCs w:val="32"/>
        </w:rPr>
        <w:t>（三）国有资产占用情况说明</w:t>
      </w:r>
    </w:p>
    <w:p w14:paraId="2B3D9451">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截至2025年12月31日，房屋87,314.08平方米，价值10,495.19万元。车辆3辆，价值104.63万元，其中：副部（省）级及以上领导用车0辆、主要负责人用车0辆、机要通信用车0辆、应急保障用车0辆、执法执勤用车0辆、特种专业技术用车1辆、离退休干部服务用车0辆、其他用车2辆，其他用车主要是：公务用车1辆、业务用车1辆（待报废）;单价100万元（含）以上设备（不含车辆）2台。</w:t>
      </w:r>
    </w:p>
    <w:p w14:paraId="18E72149">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十一、预算绩效的情况说明</w:t>
      </w:r>
    </w:p>
    <w:p w14:paraId="1230CBC6">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根据预算绩效管理要求，本单位2025年度预算绩效评价项目2个，全年预算数970万元，全年执行数969.71万元。预算绩效管理取得的成效：</w:t>
      </w:r>
      <w:r>
        <w:rPr>
          <w:rFonts w:hint="default" w:ascii="Times New Roman" w:hAnsi="Times New Roman" w:eastAsia="方正仿宋_GBK" w:cs="Times New Roman"/>
          <w:b w:val="0"/>
          <w:sz w:val="32"/>
          <w:szCs w:val="32"/>
          <w:lang w:eastAsia="zh-CN"/>
        </w:rPr>
        <w:t>一是</w:t>
      </w:r>
      <w:r>
        <w:rPr>
          <w:rFonts w:hint="default" w:ascii="Times New Roman" w:hAnsi="Times New Roman" w:eastAsia="方正仿宋_GBK" w:cs="Times New Roman"/>
          <w:b w:val="0"/>
          <w:sz w:val="32"/>
          <w:szCs w:val="32"/>
        </w:rPr>
        <w:t>扎实推进全面预算绩效管理工作，实现预算项目绩效目标全覆盖，常态化开展绩效运行监控和年度绩效自评</w:t>
      </w:r>
      <w:r>
        <w:rPr>
          <w:rFonts w:hint="default" w:ascii="Times New Roman" w:hAnsi="Times New Roman" w:eastAsia="方正仿宋_GBK" w:cs="Times New Roman"/>
          <w:b w:val="0"/>
          <w:sz w:val="32"/>
          <w:szCs w:val="32"/>
          <w:lang w:eastAsia="zh-CN"/>
        </w:rPr>
        <w:t>；二是</w:t>
      </w:r>
      <w:r>
        <w:rPr>
          <w:rFonts w:hint="default" w:ascii="Times New Roman" w:hAnsi="Times New Roman" w:eastAsia="方正仿宋_GBK" w:cs="Times New Roman"/>
          <w:b w:val="0"/>
          <w:sz w:val="32"/>
          <w:szCs w:val="32"/>
        </w:rPr>
        <w:t>通过强化绩效约束，规范资金使用流程，严控低效无效支出，财政资金执行效率和使用效益稳步提升，有效保障重点民生、日常运转等各项工作有序开展。发现的问题及原因：一是全员绩效意识不强，部分业务科室重预算申报、轻绩效管理</w:t>
      </w:r>
      <w:r>
        <w:rPr>
          <w:rFonts w:hint="default"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rPr>
        <w:t>二是绩效目标编制不够精细，指标量化不足、模板化较突出，针对性不强</w:t>
      </w:r>
      <w:r>
        <w:rPr>
          <w:rFonts w:hint="default"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rPr>
        <w:t>三是事中动态监控不够深入，偏差预警和实时纠偏不到位</w:t>
      </w:r>
      <w:r>
        <w:rPr>
          <w:rFonts w:hint="default" w:ascii="Times New Roman" w:hAnsi="Times New Roman" w:eastAsia="方正仿宋_GBK" w:cs="Times New Roman"/>
          <w:b w:val="0"/>
          <w:sz w:val="32"/>
          <w:szCs w:val="32"/>
          <w:lang w:eastAsia="zh-CN"/>
        </w:rPr>
        <w:t>；</w:t>
      </w:r>
      <w:r>
        <w:rPr>
          <w:rFonts w:hint="default" w:ascii="Times New Roman" w:hAnsi="Times New Roman" w:eastAsia="方正仿宋_GBK" w:cs="Times New Roman"/>
          <w:b w:val="0"/>
          <w:sz w:val="32"/>
          <w:szCs w:val="32"/>
        </w:rPr>
        <w:t>四是绩效评价质量不高，评价结果与预算编制、资金分配联动不紧密，结果运用刚性不足。下一步改进措施：</w:t>
      </w:r>
      <w:r>
        <w:rPr>
          <w:rFonts w:hint="default" w:ascii="Times New Roman" w:hAnsi="Times New Roman" w:eastAsia="方正仿宋_GBK" w:cs="Times New Roman"/>
          <w:b w:val="0"/>
          <w:sz w:val="32"/>
          <w:szCs w:val="32"/>
          <w:lang w:eastAsia="zh-CN"/>
        </w:rPr>
        <w:t>一是</w:t>
      </w:r>
      <w:r>
        <w:rPr>
          <w:rFonts w:hint="default" w:ascii="Times New Roman" w:hAnsi="Times New Roman" w:eastAsia="方正仿宋_GBK" w:cs="Times New Roman"/>
          <w:b w:val="0"/>
          <w:sz w:val="32"/>
          <w:szCs w:val="32"/>
        </w:rPr>
        <w:t>我单位将压实绩效管理主体责任，常态化开展业务培训</w:t>
      </w:r>
      <w:r>
        <w:rPr>
          <w:rFonts w:hint="default" w:ascii="Times New Roman" w:hAnsi="Times New Roman" w:eastAsia="方正仿宋_GBK" w:cs="Times New Roman"/>
          <w:b w:val="0"/>
          <w:sz w:val="32"/>
          <w:szCs w:val="32"/>
          <w:lang w:eastAsia="zh-CN"/>
        </w:rPr>
        <w:t>；二是</w:t>
      </w:r>
      <w:r>
        <w:rPr>
          <w:rFonts w:hint="default" w:ascii="Times New Roman" w:hAnsi="Times New Roman" w:eastAsia="方正仿宋_GBK" w:cs="Times New Roman"/>
          <w:b w:val="0"/>
          <w:sz w:val="32"/>
          <w:szCs w:val="32"/>
        </w:rPr>
        <w:t>精准设置个性化、可量化绩效指标，做实全过程动态监控，建立问题整改闭环机制</w:t>
      </w:r>
      <w:r>
        <w:rPr>
          <w:rFonts w:hint="default" w:ascii="Times New Roman" w:hAnsi="Times New Roman" w:eastAsia="方正仿宋_GBK" w:cs="Times New Roman"/>
          <w:b w:val="0"/>
          <w:sz w:val="32"/>
          <w:szCs w:val="32"/>
          <w:lang w:eastAsia="zh-CN"/>
        </w:rPr>
        <w:t>；三是</w:t>
      </w:r>
      <w:r>
        <w:rPr>
          <w:rFonts w:hint="default" w:ascii="Times New Roman" w:hAnsi="Times New Roman" w:eastAsia="方正仿宋_GBK" w:cs="Times New Roman"/>
          <w:b w:val="0"/>
          <w:sz w:val="32"/>
          <w:szCs w:val="32"/>
        </w:rPr>
        <w:t>强化绩效结果刚性运用，将评价结果与年度预算安排深度挂钩，切实树立“花钱必问效、无效必问责”理念，持续提升预算管理精细化、规范化水平。具体附项目支出绩效自评表。</w:t>
      </w:r>
    </w:p>
    <w:p w14:paraId="7F7D1C34">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黑体" w:cs="Times New Roman"/>
          <w:sz w:val="32"/>
          <w:szCs w:val="32"/>
        </w:rPr>
      </w:pPr>
      <w:r>
        <w:rPr>
          <w:rFonts w:hint="default" w:ascii="Times New Roman" w:hAnsi="Times New Roman" w:eastAsia="黑体" w:cs="Times New Roman"/>
          <w:b w:val="0"/>
          <w:sz w:val="32"/>
          <w:szCs w:val="32"/>
        </w:rPr>
        <w:t>十二、其他需说明的事项</w:t>
      </w:r>
    </w:p>
    <w:p w14:paraId="762ED6F3">
      <w:pPr>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b w:val="0"/>
          <w:color w:val="auto"/>
          <w:sz w:val="32"/>
          <w:szCs w:val="32"/>
          <w:highlight w:val="none"/>
          <w:lang w:eastAsia="zh-CN"/>
        </w:rPr>
        <w:t>本单位</w:t>
      </w:r>
      <w:r>
        <w:rPr>
          <w:rFonts w:hint="default" w:ascii="Times New Roman" w:hAnsi="Times New Roman" w:eastAsia="方正仿宋_GBK" w:cs="Times New Roman"/>
          <w:b w:val="0"/>
          <w:color w:val="auto"/>
          <w:sz w:val="32"/>
          <w:szCs w:val="32"/>
          <w:highlight w:val="none"/>
          <w:lang w:val="en-US" w:eastAsia="zh-CN"/>
        </w:rPr>
        <w:t>1个项目无单独绩效自评表，涉及全年预算数228万元、全年执行数228万元。</w:t>
      </w:r>
    </w:p>
    <w:p w14:paraId="47DCF0D7">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Times New Roman" w:hAnsi="Times New Roman" w:cs="Times New Roman"/>
        </w:rPr>
      </w:pPr>
      <w:r>
        <w:rPr>
          <w:rFonts w:hint="default" w:ascii="Times New Roman" w:hAnsi="Times New Roman" w:cs="Times New Roman"/>
          <w:b w:val="0"/>
          <w:sz w:val="0"/>
          <w:szCs w:val="0"/>
        </w:rPr>
        <w:br w:type="page"/>
      </w:r>
    </w:p>
    <w:p w14:paraId="6609BA89">
      <w:pPr>
        <w:keepNext w:val="0"/>
        <w:keepLines w:val="0"/>
        <w:pageBreakBefore w:val="0"/>
        <w:widowControl w:val="0"/>
        <w:kinsoku/>
        <w:wordWrap/>
        <w:overflowPunct/>
        <w:topLinePunct w:val="0"/>
        <w:autoSpaceDE/>
        <w:autoSpaceDN/>
        <w:bidi w:val="0"/>
        <w:adjustRightInd/>
        <w:snapToGrid/>
        <w:spacing w:after="0" w:line="560" w:lineRule="exact"/>
        <w:ind w:left="0" w:leftChars="0"/>
        <w:jc w:val="center"/>
        <w:textAlignment w:val="auto"/>
        <w:rPr>
          <w:rFonts w:hint="default" w:ascii="Times New Roman" w:hAnsi="Times New Roman" w:eastAsia="方正小标宋_GBK" w:cs="Times New Roman"/>
          <w:b w:val="0"/>
          <w:bCs/>
          <w:kern w:val="0"/>
          <w:sz w:val="44"/>
          <w:szCs w:val="44"/>
          <w:highlight w:val="none"/>
          <w:lang w:eastAsia="zh-CN"/>
        </w:rPr>
      </w:pPr>
      <w:r>
        <w:rPr>
          <w:rFonts w:hint="default" w:ascii="Times New Roman" w:hAnsi="Times New Roman" w:eastAsia="方正小标宋_GBK" w:cs="Times New Roman"/>
          <w:b w:val="0"/>
          <w:bCs/>
          <w:kern w:val="0"/>
          <w:sz w:val="44"/>
          <w:szCs w:val="44"/>
          <w:highlight w:val="none"/>
          <w:lang w:eastAsia="zh-CN"/>
        </w:rPr>
        <w:t>第三部分 专业名词解释</w:t>
      </w:r>
    </w:p>
    <w:p w14:paraId="704FD01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黑体" w:cs="Times New Roman"/>
          <w:b w:val="0"/>
          <w:bCs/>
          <w:sz w:val="32"/>
          <w:szCs w:val="32"/>
        </w:rPr>
      </w:pPr>
    </w:p>
    <w:p w14:paraId="07ADFB1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黑体" w:cs="Times New Roman"/>
          <w:b w:val="0"/>
          <w:bCs/>
          <w:sz w:val="32"/>
          <w:szCs w:val="32"/>
        </w:rPr>
        <w:t>一、财政拨款收入：</w:t>
      </w:r>
      <w:r>
        <w:rPr>
          <w:rFonts w:hint="default" w:ascii="Times New Roman" w:hAnsi="Times New Roman" w:eastAsia="方正仿宋_GBK" w:cs="Times New Roman"/>
          <w:b w:val="0"/>
          <w:sz w:val="32"/>
          <w:szCs w:val="32"/>
        </w:rPr>
        <w:t>指单位本年度从同级财政部门取得的财政拨款，包括一般公共预算财政拨款、政府性基金预算财政拨款和国有资本经营预算财政拨款。</w:t>
      </w:r>
    </w:p>
    <w:p w14:paraId="0E7B35C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黑体" w:cs="Times New Roman"/>
          <w:b w:val="0"/>
          <w:bCs/>
          <w:sz w:val="32"/>
          <w:szCs w:val="32"/>
        </w:rPr>
        <w:t>二、上级补助收入：</w:t>
      </w:r>
      <w:r>
        <w:rPr>
          <w:rFonts w:hint="default" w:ascii="Times New Roman" w:hAnsi="Times New Roman" w:eastAsia="方正仿宋_GBK" w:cs="Times New Roman"/>
          <w:b w:val="0"/>
          <w:sz w:val="32"/>
          <w:szCs w:val="32"/>
        </w:rPr>
        <w:t>指事业单位从主管部门和上级单位取得的非财政补助收入。</w:t>
      </w:r>
    </w:p>
    <w:p w14:paraId="0DB5FA1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黑体" w:cs="Times New Roman"/>
          <w:b w:val="0"/>
          <w:bCs/>
          <w:sz w:val="32"/>
          <w:szCs w:val="32"/>
        </w:rPr>
        <w:t>三、事业收入：</w:t>
      </w:r>
      <w:r>
        <w:rPr>
          <w:rFonts w:hint="default" w:ascii="Times New Roman" w:hAnsi="Times New Roman" w:eastAsia="方正仿宋_GBK" w:cs="Times New Roman"/>
          <w:b w:val="0"/>
          <w:sz w:val="32"/>
          <w:szCs w:val="32"/>
        </w:rPr>
        <w:t>指事业单位开展专业业务活动及其辅助活动取得的收入。</w:t>
      </w:r>
    </w:p>
    <w:p w14:paraId="67CCA34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黑体" w:cs="Times New Roman"/>
          <w:b w:val="0"/>
          <w:bCs/>
          <w:sz w:val="32"/>
          <w:szCs w:val="32"/>
        </w:rPr>
        <w:t>四、经营收入：</w:t>
      </w:r>
      <w:r>
        <w:rPr>
          <w:rFonts w:hint="default" w:ascii="Times New Roman" w:hAnsi="Times New Roman" w:eastAsia="方正仿宋_GBK" w:cs="Times New Roman"/>
          <w:b w:val="0"/>
          <w:sz w:val="32"/>
          <w:szCs w:val="32"/>
        </w:rPr>
        <w:t>指事业单位在专业业务活动及其辅助活动之外开展非独立核算经营活动取得的收入。</w:t>
      </w:r>
    </w:p>
    <w:p w14:paraId="74708DD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b w:val="0"/>
          <w:sz w:val="32"/>
          <w:szCs w:val="32"/>
        </w:rPr>
      </w:pPr>
      <w:r>
        <w:rPr>
          <w:rFonts w:hint="default" w:ascii="Times New Roman" w:hAnsi="Times New Roman" w:eastAsia="黑体" w:cs="Times New Roman"/>
          <w:b w:val="0"/>
          <w:bCs/>
          <w:sz w:val="32"/>
          <w:szCs w:val="32"/>
        </w:rPr>
        <w:t>五、附属单位上缴收入：</w:t>
      </w:r>
      <w:r>
        <w:rPr>
          <w:rFonts w:hint="default" w:ascii="Times New Roman" w:hAnsi="Times New Roman" w:eastAsia="方正仿宋_GBK" w:cs="Times New Roman"/>
          <w:b w:val="0"/>
          <w:sz w:val="32"/>
          <w:szCs w:val="32"/>
        </w:rPr>
        <w:t>指事业单位附属独立核算单位按照有关规定上缴的收入。</w:t>
      </w:r>
    </w:p>
    <w:p w14:paraId="1DE6561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b w:val="0"/>
          <w:sz w:val="32"/>
          <w:szCs w:val="32"/>
        </w:rPr>
      </w:pPr>
      <w:r>
        <w:rPr>
          <w:rFonts w:hint="default" w:ascii="Times New Roman" w:hAnsi="Times New Roman" w:eastAsia="黑体" w:cs="Times New Roman"/>
          <w:b w:val="0"/>
          <w:bCs/>
          <w:sz w:val="32"/>
          <w:szCs w:val="32"/>
        </w:rPr>
        <w:t>六、其他收入：</w:t>
      </w:r>
      <w:r>
        <w:rPr>
          <w:rFonts w:hint="default" w:ascii="Times New Roman" w:hAnsi="Times New Roman" w:eastAsia="方正仿宋_GBK" w:cs="Times New Roman"/>
          <w:b w:val="0"/>
          <w:sz w:val="32"/>
          <w:szCs w:val="32"/>
        </w:rPr>
        <w:t>指单位取得的除上述“财政拨款收入”“上级补助收入”“事业收入”“经营收入”“附属单位上缴收入”以外的各项收入。</w:t>
      </w:r>
    </w:p>
    <w:p w14:paraId="4C81BC4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b w:val="0"/>
          <w:sz w:val="32"/>
          <w:szCs w:val="32"/>
        </w:rPr>
      </w:pPr>
      <w:r>
        <w:rPr>
          <w:rFonts w:hint="default" w:ascii="Times New Roman" w:hAnsi="Times New Roman" w:eastAsia="黑体" w:cs="Times New Roman"/>
          <w:b w:val="0"/>
          <w:bCs/>
          <w:sz w:val="32"/>
          <w:szCs w:val="32"/>
        </w:rPr>
        <w:t>七、年初结转和结余：</w:t>
      </w:r>
      <w:r>
        <w:rPr>
          <w:rFonts w:hint="default" w:ascii="Times New Roman" w:hAnsi="Times New Roman" w:eastAsia="方正仿宋_GBK" w:cs="Times New Roman"/>
          <w:b w:val="0"/>
          <w:sz w:val="32"/>
          <w:szCs w:val="32"/>
        </w:rPr>
        <w:t>指单位上年结转本年使用的基本支出结转、项目支出结转和结余、经营结余。</w:t>
      </w:r>
    </w:p>
    <w:p w14:paraId="60E1F10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b w:val="0"/>
          <w:sz w:val="32"/>
          <w:szCs w:val="32"/>
        </w:rPr>
      </w:pPr>
      <w:r>
        <w:rPr>
          <w:rFonts w:hint="default" w:ascii="Times New Roman" w:hAnsi="Times New Roman" w:eastAsia="黑体" w:cs="Times New Roman"/>
          <w:b w:val="0"/>
          <w:bCs/>
          <w:sz w:val="32"/>
          <w:szCs w:val="32"/>
        </w:rPr>
        <w:t>八、使用非财政拨款结余（含专用结余）：</w:t>
      </w:r>
      <w:r>
        <w:rPr>
          <w:rFonts w:hint="default" w:ascii="Times New Roman" w:hAnsi="Times New Roman" w:eastAsia="方正仿宋_GBK" w:cs="Times New Roman"/>
          <w:b w:val="0"/>
          <w:sz w:val="32"/>
          <w:szCs w:val="32"/>
        </w:rPr>
        <w:t>指单位按照预算管理要求使用非财政拨款结余弥补收支差额的金额，以及使用专用结余安排支出的金额。</w:t>
      </w:r>
    </w:p>
    <w:p w14:paraId="7EF59FB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b w:val="0"/>
          <w:sz w:val="32"/>
          <w:szCs w:val="32"/>
        </w:rPr>
      </w:pPr>
      <w:r>
        <w:rPr>
          <w:rFonts w:hint="default" w:ascii="Times New Roman" w:hAnsi="Times New Roman" w:eastAsia="黑体" w:cs="Times New Roman"/>
          <w:b w:val="0"/>
          <w:bCs/>
          <w:sz w:val="32"/>
          <w:szCs w:val="32"/>
        </w:rPr>
        <w:t>九、结余分配：</w:t>
      </w:r>
      <w:r>
        <w:rPr>
          <w:rFonts w:hint="default" w:ascii="Times New Roman" w:hAnsi="Times New Roman" w:eastAsia="方正仿宋_GBK" w:cs="Times New Roman"/>
          <w:b w:val="0"/>
          <w:sz w:val="32"/>
          <w:szCs w:val="32"/>
        </w:rPr>
        <w:t>指单位缴纳企业所得税以及从非财政拨款结余或经营结余中提取各类结余的情况。</w:t>
      </w:r>
    </w:p>
    <w:p w14:paraId="5897195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sz w:val="32"/>
          <w:szCs w:val="32"/>
        </w:rPr>
        <w:t>十、年末结转和结余：</w:t>
      </w:r>
      <w:r>
        <w:rPr>
          <w:rFonts w:hint="default" w:ascii="Times New Roman" w:hAnsi="Times New Roman" w:eastAsia="方正仿宋_GBK" w:cs="Times New Roman"/>
          <w:b w:val="0"/>
          <w:sz w:val="32"/>
          <w:szCs w:val="32"/>
        </w:rPr>
        <w:t>指单位结转下年的基本支出结转、项目支出结转和结余、经营结余。</w:t>
      </w:r>
    </w:p>
    <w:p w14:paraId="162289D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sz w:val="32"/>
          <w:szCs w:val="32"/>
        </w:rPr>
        <w:t>十一、基本支出：</w:t>
      </w:r>
      <w:r>
        <w:rPr>
          <w:rFonts w:hint="default" w:ascii="Times New Roman" w:hAnsi="Times New Roman" w:eastAsia="方正仿宋_GBK" w:cs="Times New Roman"/>
          <w:b w:val="0"/>
          <w:sz w:val="32"/>
          <w:szCs w:val="32"/>
        </w:rPr>
        <w:t>指单位为保障机构正常运转、完成日常工作任务而发生的各项支出。</w:t>
      </w:r>
    </w:p>
    <w:p w14:paraId="517D62A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sz w:val="32"/>
          <w:szCs w:val="32"/>
        </w:rPr>
        <w:t>十二、项目支出：</w:t>
      </w:r>
      <w:r>
        <w:rPr>
          <w:rFonts w:hint="default" w:ascii="Times New Roman" w:hAnsi="Times New Roman" w:eastAsia="方正仿宋_GBK" w:cs="Times New Roman"/>
          <w:b w:val="0"/>
          <w:sz w:val="32"/>
          <w:szCs w:val="32"/>
        </w:rPr>
        <w:t>指单位为完成特定的行政工作任务或事业发展目标，在基本支出之外发生的各项支出。</w:t>
      </w:r>
    </w:p>
    <w:p w14:paraId="4859361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sz w:val="32"/>
          <w:szCs w:val="32"/>
        </w:rPr>
        <w:t>十三、上缴上级支出：</w:t>
      </w:r>
      <w:r>
        <w:rPr>
          <w:rFonts w:hint="default" w:ascii="Times New Roman" w:hAnsi="Times New Roman" w:eastAsia="方正仿宋_GBK" w:cs="Times New Roman"/>
          <w:b w:val="0"/>
          <w:sz w:val="32"/>
          <w:szCs w:val="32"/>
        </w:rPr>
        <w:t>指事业单位按照财政部门和主管部门的规定上缴上级单位的支出。</w:t>
      </w:r>
    </w:p>
    <w:p w14:paraId="1BF3B85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b w:val="0"/>
          <w:sz w:val="32"/>
          <w:szCs w:val="32"/>
        </w:rPr>
      </w:pPr>
      <w:r>
        <w:rPr>
          <w:rFonts w:hint="default" w:ascii="Times New Roman" w:hAnsi="Times New Roman" w:eastAsia="黑体" w:cs="Times New Roman"/>
          <w:b w:val="0"/>
          <w:bCs/>
          <w:sz w:val="32"/>
          <w:szCs w:val="32"/>
        </w:rPr>
        <w:t>十四、经营支出：</w:t>
      </w:r>
      <w:r>
        <w:rPr>
          <w:rFonts w:hint="default" w:ascii="Times New Roman" w:hAnsi="Times New Roman" w:eastAsia="方正仿宋_GBK" w:cs="Times New Roman"/>
          <w:b w:val="0"/>
          <w:sz w:val="32"/>
          <w:szCs w:val="32"/>
        </w:rPr>
        <w:t>指事业单位在专业活动及辅助活动之外开展非独立核算经营活动发生的支出。</w:t>
      </w:r>
    </w:p>
    <w:p w14:paraId="5DBA28D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b w:val="0"/>
          <w:sz w:val="32"/>
          <w:szCs w:val="32"/>
        </w:rPr>
      </w:pPr>
      <w:r>
        <w:rPr>
          <w:rFonts w:hint="default" w:ascii="Times New Roman" w:hAnsi="Times New Roman" w:eastAsia="黑体" w:cs="Times New Roman"/>
          <w:b w:val="0"/>
          <w:bCs/>
          <w:sz w:val="32"/>
          <w:szCs w:val="32"/>
        </w:rPr>
        <w:t>十五、对附属单位补助支出：</w:t>
      </w:r>
      <w:r>
        <w:rPr>
          <w:rFonts w:hint="default" w:ascii="Times New Roman" w:hAnsi="Times New Roman" w:eastAsia="方正仿宋_GBK" w:cs="Times New Roman"/>
          <w:b w:val="0"/>
          <w:sz w:val="32"/>
          <w:szCs w:val="32"/>
        </w:rPr>
        <w:t>指事业单位用财政补助收入之外的收入对附属单位补助发生的支出。</w:t>
      </w:r>
    </w:p>
    <w:p w14:paraId="32FCF17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方正仿宋_GBK" w:cs="Times New Roman"/>
          <w:b w:val="0"/>
          <w:sz w:val="32"/>
          <w:szCs w:val="32"/>
        </w:rPr>
      </w:pPr>
      <w:r>
        <w:rPr>
          <w:rFonts w:hint="default" w:ascii="Times New Roman" w:hAnsi="Times New Roman" w:eastAsia="黑体" w:cs="Times New Roman"/>
          <w:b w:val="0"/>
          <w:bCs/>
          <w:sz w:val="32"/>
          <w:szCs w:val="32"/>
        </w:rPr>
        <w:t>十六、“三公”经费：</w:t>
      </w:r>
      <w:r>
        <w:rPr>
          <w:rFonts w:hint="default" w:ascii="Times New Roman" w:hAnsi="Times New Roman" w:eastAsia="方正仿宋_GBK" w:cs="Times New Roman"/>
          <w:b w:val="0"/>
          <w:sz w:val="32"/>
          <w:szCs w:val="32"/>
        </w:rPr>
        <w:t>指单位使用财政拨款安排的因公出国（境）费用、公务用车购置及运行维护费和公务接待费。其中，因公出国（境）费用反映单位公务出国（境）的国际旅费、国外城市间交通费、住宿费、伙食费、培训费、公杂费等支出；公务用车购置费反映公务用车购置支出（含车辆购置税、牌照费）；公务用车运行维护费反映单位按规定保留的公务用车燃料费、新能源汽车充电费、维修费、过路过桥费、保险费、安全奖励费用等支出；公务接待费反映单位按规定开支的各类公务接待（含外宾接待）费用。</w:t>
      </w:r>
    </w:p>
    <w:p w14:paraId="7FBD6EE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sz w:val="32"/>
          <w:szCs w:val="32"/>
        </w:rPr>
        <w:t>十七、机关运行经费：</w:t>
      </w:r>
      <w:r>
        <w:rPr>
          <w:rFonts w:hint="default" w:ascii="Times New Roman" w:hAnsi="Times New Roman" w:eastAsia="方正仿宋_GBK" w:cs="Times New Roman"/>
          <w:b w:val="0"/>
          <w:sz w:val="32"/>
          <w:szCs w:val="32"/>
        </w:rPr>
        <w:t>指行政单位和参照公务员法管理的事业单位财政拨款基本支出中的公用经费支出。</w:t>
      </w:r>
    </w:p>
    <w:p w14:paraId="5A8FEC85">
      <w:pPr>
        <w:keepNext w:val="0"/>
        <w:keepLines w:val="0"/>
        <w:pageBreakBefore w:val="0"/>
        <w:widowControl/>
        <w:kinsoku/>
        <w:wordWrap/>
        <w:overflowPunct/>
        <w:topLinePunct w:val="0"/>
        <w:autoSpaceDE/>
        <w:autoSpaceDN/>
        <w:bidi w:val="0"/>
        <w:adjustRightInd/>
        <w:snapToGrid/>
        <w:spacing w:line="560" w:lineRule="exact"/>
        <w:textAlignment w:val="auto"/>
        <w:rPr>
          <w:rFonts w:hint="default" w:ascii="Times New Roman" w:hAnsi="Times New Roman" w:cs="Times New Roman"/>
        </w:rPr>
      </w:pPr>
      <w:r>
        <w:rPr>
          <w:rFonts w:hint="default" w:ascii="Times New Roman" w:hAnsi="Times New Roman" w:cs="Times New Roman"/>
          <w:b w:val="0"/>
          <w:sz w:val="0"/>
          <w:szCs w:val="0"/>
        </w:rPr>
        <w:br w:type="page"/>
      </w:r>
    </w:p>
    <w:p w14:paraId="5E01F138">
      <w:pPr>
        <w:keepNext w:val="0"/>
        <w:keepLines w:val="0"/>
        <w:pageBreakBefore w:val="0"/>
        <w:widowControl w:val="0"/>
        <w:kinsoku/>
        <w:wordWrap/>
        <w:overflowPunct/>
        <w:topLinePunct w:val="0"/>
        <w:autoSpaceDE/>
        <w:autoSpaceDN/>
        <w:bidi w:val="0"/>
        <w:adjustRightInd/>
        <w:snapToGrid/>
        <w:spacing w:after="0" w:line="560" w:lineRule="exact"/>
        <w:ind w:left="0" w:leftChars="0"/>
        <w:jc w:val="center"/>
        <w:textAlignment w:val="auto"/>
        <w:rPr>
          <w:rFonts w:hint="default" w:ascii="Times New Roman" w:hAnsi="Times New Roman" w:eastAsia="方正小标宋_GBK" w:cs="Times New Roman"/>
          <w:b w:val="0"/>
          <w:bCs/>
          <w:kern w:val="0"/>
          <w:sz w:val="44"/>
          <w:szCs w:val="44"/>
          <w:highlight w:val="none"/>
          <w:lang w:eastAsia="zh-CN"/>
        </w:rPr>
      </w:pPr>
      <w:r>
        <w:rPr>
          <w:rFonts w:hint="default" w:ascii="Times New Roman" w:hAnsi="Times New Roman" w:eastAsia="方正小标宋_GBK" w:cs="Times New Roman"/>
          <w:b w:val="0"/>
          <w:bCs/>
          <w:kern w:val="0"/>
          <w:sz w:val="44"/>
          <w:szCs w:val="44"/>
          <w:highlight w:val="none"/>
          <w:lang w:eastAsia="zh-CN"/>
        </w:rPr>
        <w:t>第四部分 部门决算报表（见附表）</w:t>
      </w:r>
    </w:p>
    <w:p w14:paraId="03252EA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default" w:ascii="Times New Roman" w:hAnsi="Times New Roman" w:eastAsia="仿宋_GB2312" w:cs="Times New Roman"/>
          <w:b w:val="0"/>
          <w:sz w:val="32"/>
          <w:szCs w:val="32"/>
        </w:rPr>
      </w:pPr>
    </w:p>
    <w:p w14:paraId="5A3D4EC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仿宋_GBK" w:hAnsi="方正仿宋_GBK" w:eastAsia="方正仿宋_GBK" w:cs="方正仿宋_GBK"/>
          <w:sz w:val="32"/>
          <w:szCs w:val="32"/>
        </w:rPr>
      </w:pPr>
      <w:bookmarkStart w:id="0" w:name="_GoBack"/>
      <w:r>
        <w:rPr>
          <w:rFonts w:hint="eastAsia" w:ascii="方正仿宋_GBK" w:hAnsi="方正仿宋_GBK" w:eastAsia="方正仿宋_GBK" w:cs="方正仿宋_GBK"/>
          <w:b w:val="0"/>
          <w:sz w:val="32"/>
          <w:szCs w:val="32"/>
        </w:rPr>
        <w:t>一、《收入支出决算总表》</w:t>
      </w:r>
    </w:p>
    <w:p w14:paraId="05B2C51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二、《收入决算表》</w:t>
      </w:r>
    </w:p>
    <w:p w14:paraId="64FA4FC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三、《支出决算表》</w:t>
      </w:r>
    </w:p>
    <w:p w14:paraId="3AE09F0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四、《财政拨款收入支出决算总表》</w:t>
      </w:r>
    </w:p>
    <w:p w14:paraId="7AE5A13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五、《一般公共预算财政拨款支出决算表》</w:t>
      </w:r>
    </w:p>
    <w:p w14:paraId="694AB75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六、《一般公共预算财政拨款基本支出决算表》</w:t>
      </w:r>
    </w:p>
    <w:p w14:paraId="755CF30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七、《政府性基金预算财政拨款收入支出决算表》</w:t>
      </w:r>
    </w:p>
    <w:p w14:paraId="74B13B7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八、《国有资本经营预算财政拨款收入支出决算表》</w:t>
      </w:r>
    </w:p>
    <w:p w14:paraId="084765C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val="0"/>
          <w:sz w:val="32"/>
          <w:szCs w:val="32"/>
        </w:rPr>
        <w:t>九、《财政拨款“三公”经费支出决算表》</w:t>
      </w:r>
    </w:p>
    <w:bookmarkEnd w:id="0"/>
    <w:sectPr>
      <w:footerReference r:id="rId5" w:type="default"/>
      <w:pgSz w:w="12240" w:h="15840"/>
      <w:pgMar w:top="2098" w:right="1531" w:bottom="1984" w:left="1531" w:header="720" w:footer="720" w:gutter="0"/>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30304000000000000"/>
    <w:charset w:val="86"/>
    <w:family w:val="auto"/>
    <w:pitch w:val="default"/>
    <w:sig w:usb0="E7FFAEFF" w:usb1="F9FFFFFF" w:usb2="000FFDFF" w:usb3="00000000" w:csb0="603F01FF" w:csb1="FFFF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Calibri">
    <w:altName w:val="Times New Roman"/>
    <w:panose1 w:val="020F0502020204030204"/>
    <w:charset w:val="86"/>
    <w:family w:val="swiss"/>
    <w:pitch w:val="default"/>
    <w:sig w:usb0="00000000" w:usb1="00000000" w:usb2="00000001" w:usb3="00000000" w:csb0="0000019F" w:csb1="00000000"/>
  </w:font>
  <w:font w:name="Calibri">
    <w:altName w:val="Times New Roman"/>
    <w:panose1 w:val="020F0502020204030204"/>
    <w:charset w:val="86"/>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Calibri">
    <w:altName w:val="Times New Roman"/>
    <w:panose1 w:val="00000000000000000000"/>
    <w:charset w:val="00"/>
    <w:family w:val="auto"/>
    <w:pitch w:val="default"/>
    <w:sig w:usb0="00000000" w:usb1="00000000" w:usb2="00000000" w:usb3="00000000" w:csb0="00000000" w:csb1="00000000"/>
  </w:font>
  <w:font w:name="Cambria">
    <w:altName w:val="FreeSerif"/>
    <w:panose1 w:val="02040503050406030204"/>
    <w:charset w:val="00"/>
    <w:family w:val="auto"/>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方正小标宋_GBK">
    <w:panose1 w:val="03000509000000000000"/>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2312">
    <w:altName w:val="楷体_GB2312"/>
    <w:panose1 w:val="02000000000000000000"/>
    <w:charset w:val="86"/>
    <w:family w:val="auto"/>
    <w:pitch w:val="default"/>
    <w:sig w:usb0="00000000" w:usb1="00000000"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499A0">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349160">
                          <w:pPr>
                            <w:pStyle w:val="8"/>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F349160">
                    <w:pPr>
                      <w:pStyle w:val="8"/>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84A6B"/>
    <w:rsid w:val="02AF383B"/>
    <w:rsid w:val="06E344E9"/>
    <w:rsid w:val="094964E9"/>
    <w:rsid w:val="0EED520D"/>
    <w:rsid w:val="0FF03768"/>
    <w:rsid w:val="101A0EB5"/>
    <w:rsid w:val="13281C22"/>
    <w:rsid w:val="150D43F1"/>
    <w:rsid w:val="16A14DF1"/>
    <w:rsid w:val="180925B6"/>
    <w:rsid w:val="1B3767AA"/>
    <w:rsid w:val="1E1A1F83"/>
    <w:rsid w:val="1FDE29C2"/>
    <w:rsid w:val="1FE02E2E"/>
    <w:rsid w:val="28681C13"/>
    <w:rsid w:val="2DEC787B"/>
    <w:rsid w:val="33D54310"/>
    <w:rsid w:val="42666D6B"/>
    <w:rsid w:val="469C34BE"/>
    <w:rsid w:val="4D2B4C2A"/>
    <w:rsid w:val="527F1450"/>
    <w:rsid w:val="56EA18C1"/>
    <w:rsid w:val="579440D3"/>
    <w:rsid w:val="57CA16F3"/>
    <w:rsid w:val="5F79E950"/>
    <w:rsid w:val="61DAA353"/>
    <w:rsid w:val="62211779"/>
    <w:rsid w:val="6BAC4B59"/>
    <w:rsid w:val="6EC95E08"/>
    <w:rsid w:val="753D4903"/>
    <w:rsid w:val="77C91740"/>
    <w:rsid w:val="7F56A33C"/>
    <w:rsid w:val="7FBADAEB"/>
    <w:rsid w:val="BF93961E"/>
    <w:rsid w:val="ED6B4B7A"/>
    <w:rsid w:val="EFDF23C4"/>
    <w:rsid w:val="EFFF3C14"/>
    <w:rsid w:val="F55B3234"/>
    <w:rsid w:val="F6F39832"/>
    <w:rsid w:val="FE5FAD6C"/>
    <w:rsid w:val="FEEFB766"/>
    <w:rsid w:val="FEFBC87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iPriority="99"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9"/>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20"/>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1"/>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22"/>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left="720"/>
    </w:pPr>
  </w:style>
  <w:style w:type="paragraph" w:styleId="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8">
    <w:name w:val="footer"/>
    <w:basedOn w:val="1"/>
    <w:semiHidden/>
    <w:unhideWhenUsed/>
    <w:qFormat/>
    <w:uiPriority w:val="99"/>
    <w:pPr>
      <w:tabs>
        <w:tab w:val="center" w:pos="4153"/>
        <w:tab w:val="right" w:pos="8306"/>
      </w:tabs>
      <w:snapToGrid w:val="0"/>
      <w:jc w:val="left"/>
    </w:pPr>
    <w:rPr>
      <w:sz w:val="18"/>
    </w:rPr>
  </w:style>
  <w:style w:type="paragraph" w:styleId="9">
    <w:name w:val="header"/>
    <w:basedOn w:val="1"/>
    <w:link w:val="18"/>
    <w:unhideWhenUsed/>
    <w:qFormat/>
    <w:uiPriority w:val="99"/>
    <w:pPr>
      <w:tabs>
        <w:tab w:val="center" w:pos="4680"/>
        <w:tab w:val="right" w:pos="9360"/>
      </w:tabs>
    </w:pPr>
  </w:style>
  <w:style w:type="paragraph" w:styleId="10">
    <w:name w:val="toc 1"/>
    <w:basedOn w:val="1"/>
    <w:next w:val="1"/>
    <w:qFormat/>
    <w:uiPriority w:val="0"/>
  </w:style>
  <w:style w:type="paragraph" w:styleId="11">
    <w:name w:val="Subtitle"/>
    <w:basedOn w:val="1"/>
    <w:next w:val="1"/>
    <w:link w:val="23"/>
    <w:qFormat/>
    <w:uiPriority w:val="11"/>
    <w:pPr>
      <w:ind w:left="86"/>
    </w:pPr>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2">
    <w:name w:val="Title"/>
    <w:basedOn w:val="1"/>
    <w:next w:val="1"/>
    <w:link w:val="24"/>
    <w:qFormat/>
    <w:uiPriority w:val="10"/>
    <w:pPr>
      <w:pBdr>
        <w:bottom w:val="single" w:color="4F81BD" w:themeColor="accent1" w:sz="8" w:space="4"/>
      </w:pBdr>
      <w:spacing w:after="300"/>
      <w:contextualSpacing/>
    </w:pPr>
    <w:rPr>
      <w:rFonts w:asciiTheme="majorHAnsi" w:hAnsiTheme="majorHAnsi" w:eastAsiaTheme="majorEastAsia" w:cstheme="majorBidi"/>
      <w:color w:val="17375E" w:themeColor="text2" w:themeShade="BF"/>
      <w:spacing w:val="5"/>
      <w:kern w:val="28"/>
      <w:sz w:val="52"/>
      <w:szCs w:val="52"/>
    </w:rPr>
  </w:style>
  <w:style w:type="table" w:styleId="14">
    <w:name w:val="Table Grid"/>
    <w:basedOn w:val="1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6">
    <w:name w:val="Emphasis"/>
    <w:basedOn w:val="15"/>
    <w:qFormat/>
    <w:uiPriority w:val="20"/>
    <w:rPr>
      <w:i/>
      <w:iCs/>
    </w:rPr>
  </w:style>
  <w:style w:type="character" w:styleId="17">
    <w:name w:val="Hyperlink"/>
    <w:basedOn w:val="15"/>
    <w:unhideWhenUsed/>
    <w:qFormat/>
    <w:uiPriority w:val="99"/>
    <w:rPr>
      <w:color w:val="0000FF" w:themeColor="hyperlink"/>
      <w:u w:val="single"/>
      <w14:textFill>
        <w14:solidFill>
          <w14:schemeClr w14:val="hlink"/>
        </w14:solidFill>
      </w14:textFill>
    </w:rPr>
  </w:style>
  <w:style w:type="character" w:customStyle="1" w:styleId="18">
    <w:name w:val="Header Char"/>
    <w:basedOn w:val="15"/>
    <w:link w:val="9"/>
    <w:qFormat/>
    <w:uiPriority w:val="99"/>
  </w:style>
  <w:style w:type="character" w:customStyle="1" w:styleId="19">
    <w:name w:val="Heading 1 Char"/>
    <w:basedOn w:val="15"/>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20">
    <w:name w:val="Heading 2 Char"/>
    <w:basedOn w:val="15"/>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1">
    <w:name w:val="Heading 3 Char"/>
    <w:basedOn w:val="15"/>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2">
    <w:name w:val="Heading 4 Char"/>
    <w:basedOn w:val="15"/>
    <w:link w:val="5"/>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3">
    <w:name w:val="Subtitle Char"/>
    <w:basedOn w:val="15"/>
    <w:link w:val="11"/>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24">
    <w:name w:val="Title Char"/>
    <w:basedOn w:val="15"/>
    <w:link w:val="12"/>
    <w:qFormat/>
    <w:uiPriority w:val="10"/>
    <w:rPr>
      <w:rFonts w:asciiTheme="majorHAnsi" w:hAnsiTheme="majorHAnsi" w:eastAsiaTheme="majorEastAsia" w:cstheme="majorBidi"/>
      <w:color w:val="17375E" w:themeColor="text2" w:themeShade="BF"/>
      <w:spacing w:val="5"/>
      <w:kern w:val="28"/>
      <w:sz w:val="52"/>
      <w:szCs w:val="5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18</Pages>
  <Words>6027</Words>
  <Characters>6779</Characters>
  <TotalTime>66</TotalTime>
  <ScaleCrop>false</ScaleCrop>
  <LinksUpToDate>false</LinksUpToDate>
  <CharactersWithSpaces>6788</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2026-08-20T18:04:00Z</dcterms:created>
  <dc:creator>Administrator</dc:creator>
  <cp:lastModifiedBy>user</cp:lastModifiedBy>
  <dcterms:modified xsi:type="dcterms:W3CDTF">2026-08-24T20:05:23Z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0B74AC973BEA4244A75210A721C30FDC_13</vt:lpwstr>
  </property>
  <property fmtid="{D5CDD505-2E9C-101B-9397-08002B2CF9AE}" pid="4" name="KSOTemplateDocerSaveRecord">
    <vt:lpwstr>eyJoZGlkIjoiNThiYTJlOTYyYzMwNDc1MWQ0MmQ0MjM2MDYyN2M3NmYiLCJ1c2VySWQiOiIyNDIxODUzMzcifQ==</vt:lpwstr>
  </property>
</Properties>
</file>