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CFA3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宋体" w:eastAsia="宋体"/>
          <w:sz w:val="32"/>
          <w:szCs w:val="32"/>
        </w:rPr>
      </w:pPr>
    </w:p>
    <w:p w14:paraId="27B0C73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宋体" w:eastAsia="宋体"/>
          <w:sz w:val="44"/>
          <w:szCs w:val="44"/>
        </w:rPr>
      </w:pPr>
    </w:p>
    <w:p w14:paraId="1EA0241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宋体" w:eastAsia="宋体"/>
          <w:sz w:val="44"/>
          <w:szCs w:val="44"/>
        </w:rPr>
      </w:pPr>
    </w:p>
    <w:p w14:paraId="6DEB936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宋体" w:eastAsia="宋体"/>
          <w:sz w:val="44"/>
          <w:szCs w:val="44"/>
        </w:rPr>
      </w:pPr>
    </w:p>
    <w:p w14:paraId="38E9B7A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val="0"/>
          <w:sz w:val="44"/>
          <w:szCs w:val="44"/>
        </w:rPr>
        <w:t>新疆维吾尔自治区民政厅（本级）</w:t>
      </w:r>
    </w:p>
    <w:p w14:paraId="2281F18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val="0"/>
          <w:sz w:val="44"/>
          <w:szCs w:val="44"/>
        </w:rPr>
        <w:t>2025年度部门决算公开说明</w:t>
      </w:r>
    </w:p>
    <w:p w14:paraId="78D2AEA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eastAsia" w:ascii="方正小标宋简体" w:hAnsi="方正小标宋简体" w:eastAsia="方正小标宋简体" w:cs="方正小标宋简体"/>
          <w:b w:val="0"/>
          <w:bCs/>
          <w:sz w:val="44"/>
          <w:szCs w:val="44"/>
        </w:rPr>
        <w:sectPr>
          <w:pgSz w:w="12240" w:h="15840"/>
          <w:pgMar w:top="2098" w:right="1531" w:bottom="1984" w:left="1531" w:header="720" w:footer="720" w:gutter="0"/>
          <w:cols w:space="720" w:num="1"/>
        </w:sectPr>
      </w:pPr>
    </w:p>
    <w:p w14:paraId="3CF94A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目 录</w:t>
      </w:r>
    </w:p>
    <w:p w14:paraId="3B03665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eastAsia" w:ascii="方正仿宋_GBK" w:hAnsi="方正仿宋_GBK" w:eastAsia="方正仿宋_GBK" w:cs="方正仿宋_GBK"/>
          <w:b/>
          <w:bCs w:val="0"/>
          <w:sz w:val="32"/>
          <w:szCs w:val="32"/>
          <w:highlight w:val="none"/>
        </w:rPr>
      </w:pPr>
      <w:r>
        <w:rPr>
          <w:rFonts w:hint="eastAsia" w:ascii="方正仿宋_GBK" w:hAnsi="方正仿宋_GBK" w:eastAsia="方正仿宋_GBK" w:cs="方正仿宋_GBK"/>
          <w:b/>
          <w:bCs w:val="0"/>
          <w:sz w:val="32"/>
          <w:szCs w:val="32"/>
          <w:highlight w:val="none"/>
        </w:rPr>
        <w:t>第一部分</w:t>
      </w:r>
      <w:r>
        <w:rPr>
          <w:rFonts w:hint="eastAsia" w:ascii="方正仿宋_GBK" w:hAnsi="方正仿宋_GBK" w:eastAsia="方正仿宋_GBK" w:cs="方正仿宋_GBK"/>
          <w:b/>
          <w:bCs w:val="0"/>
          <w:sz w:val="32"/>
          <w:szCs w:val="32"/>
          <w:highlight w:val="none"/>
          <w:lang w:val="en-US" w:eastAsia="zh-CN"/>
        </w:rPr>
        <w:t xml:space="preserve"> </w:t>
      </w:r>
      <w:r>
        <w:rPr>
          <w:rFonts w:hint="eastAsia" w:ascii="方正仿宋_GBK" w:hAnsi="方正仿宋_GBK" w:eastAsia="方正仿宋_GBK" w:cs="方正仿宋_GBK"/>
          <w:b/>
          <w:bCs w:val="0"/>
          <w:sz w:val="32"/>
          <w:szCs w:val="32"/>
          <w:highlight w:val="none"/>
        </w:rPr>
        <w:t>单位概况</w:t>
      </w:r>
    </w:p>
    <w:p w14:paraId="100869C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一、主要职能</w:t>
      </w:r>
    </w:p>
    <w:p w14:paraId="2B406DA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二、机构设置</w:t>
      </w:r>
    </w:p>
    <w:p w14:paraId="59A09A6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eastAsia" w:ascii="方正仿宋_GBK" w:hAnsi="方正仿宋_GBK" w:eastAsia="方正仿宋_GBK" w:cs="方正仿宋_GBK"/>
          <w:b/>
          <w:bCs w:val="0"/>
          <w:sz w:val="32"/>
          <w:szCs w:val="32"/>
          <w:highlight w:val="none"/>
        </w:rPr>
      </w:pPr>
      <w:r>
        <w:rPr>
          <w:rFonts w:hint="eastAsia" w:ascii="方正仿宋_GBK" w:hAnsi="方正仿宋_GBK" w:eastAsia="方正仿宋_GBK" w:cs="方正仿宋_GBK"/>
          <w:b/>
          <w:bCs w:val="0"/>
          <w:sz w:val="32"/>
          <w:szCs w:val="32"/>
          <w:highlight w:val="none"/>
        </w:rPr>
        <w:t>第二部分 部门决算情况说明</w:t>
      </w:r>
    </w:p>
    <w:p w14:paraId="7350490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一、收入支出决算总体情况说明</w:t>
      </w:r>
    </w:p>
    <w:p w14:paraId="1FE2AD3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二、收入决算情况说明</w:t>
      </w:r>
    </w:p>
    <w:p w14:paraId="78E185D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三、支出决算情况说明</w:t>
      </w:r>
    </w:p>
    <w:p w14:paraId="461EC18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四、财政拨款收入支出决算总体情况说明</w:t>
      </w:r>
    </w:p>
    <w:p w14:paraId="0CB56F5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五、一般公共预算财政拨款支出决算情况说明</w:t>
      </w:r>
    </w:p>
    <w:p w14:paraId="70D9E45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（一）一般公共预算财政拨款支出决算总体情况</w:t>
      </w:r>
    </w:p>
    <w:p w14:paraId="2628096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（二）一般公共预算财政拨款支出决算结构情况</w:t>
      </w:r>
    </w:p>
    <w:p w14:paraId="127CDA2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（三）一般公共预算财政拨款支出决算具体情况</w:t>
      </w:r>
    </w:p>
    <w:p w14:paraId="658A873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六、一般公共预算财政拨款基本支出决算情况说明</w:t>
      </w:r>
    </w:p>
    <w:p w14:paraId="5CD556A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七、政府性基金预算财政拨款收入支出决算情况说明</w:t>
      </w:r>
    </w:p>
    <w:p w14:paraId="3124095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八、国有资本经营预算财政拨款收入支出决算情况说明</w:t>
      </w:r>
    </w:p>
    <w:p w14:paraId="5394961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九、财政拨款“三公”经费支出决算情况说明</w:t>
      </w:r>
    </w:p>
    <w:p w14:paraId="6D4035D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十、其他重要事项的情况说明</w:t>
      </w:r>
    </w:p>
    <w:p w14:paraId="228E50F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（一）机关运行经费及公用经费支出情况</w:t>
      </w:r>
    </w:p>
    <w:p w14:paraId="08AD5B9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（二）政府采购情况</w:t>
      </w:r>
    </w:p>
    <w:p w14:paraId="6AFC732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（三）国有资产占用情况说明</w:t>
      </w:r>
    </w:p>
    <w:p w14:paraId="5533D72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十一、预算绩效的情况说明</w:t>
      </w:r>
    </w:p>
    <w:p w14:paraId="7158D96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十二、其他需说明的事项</w:t>
      </w:r>
    </w:p>
    <w:p w14:paraId="1FBD15C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eastAsia" w:ascii="方正仿宋_GBK" w:hAnsi="方正仿宋_GBK" w:eastAsia="方正仿宋_GBK" w:cs="方正仿宋_GBK"/>
          <w:b/>
          <w:bCs w:val="0"/>
          <w:sz w:val="32"/>
          <w:szCs w:val="32"/>
          <w:highlight w:val="none"/>
        </w:rPr>
      </w:pPr>
      <w:r>
        <w:rPr>
          <w:rFonts w:hint="eastAsia" w:ascii="方正仿宋_GBK" w:hAnsi="方正仿宋_GBK" w:eastAsia="方正仿宋_GBK" w:cs="方正仿宋_GBK"/>
          <w:b/>
          <w:bCs w:val="0"/>
          <w:sz w:val="32"/>
          <w:szCs w:val="32"/>
          <w:highlight w:val="none"/>
        </w:rPr>
        <w:t>第三部分 专业名词解释</w:t>
      </w:r>
    </w:p>
    <w:p w14:paraId="538269D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eastAsia" w:ascii="方正仿宋_GBK" w:hAnsi="方正仿宋_GBK" w:eastAsia="方正仿宋_GBK" w:cs="方正仿宋_GBK"/>
          <w:b/>
          <w:bCs w:val="0"/>
          <w:sz w:val="32"/>
          <w:szCs w:val="32"/>
          <w:highlight w:val="none"/>
        </w:rPr>
      </w:pPr>
      <w:r>
        <w:rPr>
          <w:rFonts w:hint="eastAsia" w:ascii="方正仿宋_GBK" w:hAnsi="方正仿宋_GBK" w:eastAsia="方正仿宋_GBK" w:cs="方正仿宋_GBK"/>
          <w:b/>
          <w:bCs w:val="0"/>
          <w:sz w:val="32"/>
          <w:szCs w:val="32"/>
          <w:highlight w:val="none"/>
        </w:rPr>
        <w:t>第四部分 部门决算报表（见附表）</w:t>
      </w:r>
    </w:p>
    <w:p w14:paraId="593BE50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一、《收入支出决算总表》</w:t>
      </w:r>
    </w:p>
    <w:p w14:paraId="6EC28FC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二、《收入决算表》</w:t>
      </w:r>
    </w:p>
    <w:p w14:paraId="75E6560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三、《支出决算表》</w:t>
      </w:r>
    </w:p>
    <w:p w14:paraId="3FB3BCD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四、《财政拨款收入支出决算总表》</w:t>
      </w:r>
    </w:p>
    <w:p w14:paraId="190F142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五、《一般公共预算财政拨款支出决算表》</w:t>
      </w:r>
    </w:p>
    <w:p w14:paraId="57AA4BB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六、《一般公共预算财政拨款基本支出决算表》</w:t>
      </w:r>
    </w:p>
    <w:p w14:paraId="1E589E4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七、《政府性基金预算财政拨款收入支出决算表》</w:t>
      </w:r>
    </w:p>
    <w:p w14:paraId="06E761A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八、《国有资本经营预算财政拨款收入支出决算表》</w:t>
      </w:r>
    </w:p>
    <w:p w14:paraId="448E954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九、《财政拨款“三公”经费支出决算表》</w:t>
      </w:r>
    </w:p>
    <w:p w14:paraId="667606F2">
      <w:pPr>
        <w:keepNext w:val="0"/>
        <w:keepLines w:val="0"/>
        <w:pageBreakBefore w:val="0"/>
        <w:widowControl/>
        <w:kinsoku/>
        <w:wordWrap/>
        <w:overflowPunct/>
        <w:topLinePunct w:val="0"/>
        <w:autoSpaceDE/>
        <w:autoSpaceDN/>
        <w:bidi w:val="0"/>
        <w:adjustRightInd/>
        <w:snapToGrid/>
        <w:spacing w:line="560" w:lineRule="exact"/>
        <w:textAlignment w:val="auto"/>
      </w:pPr>
      <w:r>
        <w:rPr>
          <w:b w:val="0"/>
          <w:sz w:val="0"/>
          <w:szCs w:val="0"/>
        </w:rPr>
        <w:br w:type="page"/>
      </w:r>
    </w:p>
    <w:p w14:paraId="0A9A4ED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ascii="黑体" w:eastAsia="黑体"/>
          <w:b w:val="0"/>
          <w:sz w:val="32"/>
          <w:szCs w:val="32"/>
        </w:rPr>
      </w:pPr>
    </w:p>
    <w:p w14:paraId="2DECF67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简体" w:hAnsi="方正小标宋简体" w:eastAsia="方正小标宋简体" w:cs="方正小标宋简体"/>
          <w:b w:val="0"/>
          <w:sz w:val="40"/>
          <w:szCs w:val="40"/>
        </w:rPr>
      </w:pPr>
      <w:r>
        <w:rPr>
          <w:rFonts w:hint="eastAsia" w:ascii="方正小标宋简体" w:hAnsi="方正小标宋简体" w:eastAsia="方正小标宋简体" w:cs="方正小标宋简体"/>
          <w:b w:val="0"/>
          <w:sz w:val="40"/>
          <w:szCs w:val="40"/>
        </w:rPr>
        <w:t>第一部分</w:t>
      </w:r>
      <w:r>
        <w:rPr>
          <w:rFonts w:hint="eastAsia" w:ascii="方正小标宋简体" w:hAnsi="方正小标宋简体" w:eastAsia="方正小标宋简体" w:cs="方正小标宋简体"/>
          <w:b w:val="0"/>
          <w:sz w:val="44"/>
          <w:szCs w:val="44"/>
          <w:lang w:val="en-US" w:eastAsia="zh-CN"/>
        </w:rPr>
        <w:t xml:space="preserve">  </w:t>
      </w:r>
      <w:r>
        <w:rPr>
          <w:rFonts w:hint="eastAsia" w:ascii="方正小标宋简体" w:hAnsi="方正小标宋简体" w:eastAsia="方正小标宋简体" w:cs="方正小标宋简体"/>
          <w:b w:val="0"/>
          <w:sz w:val="40"/>
          <w:szCs w:val="40"/>
        </w:rPr>
        <w:t>单位概况</w:t>
      </w:r>
    </w:p>
    <w:p w14:paraId="5705D75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ascii="黑体" w:eastAsia="黑体"/>
          <w:b w:val="0"/>
          <w:sz w:val="32"/>
          <w:szCs w:val="32"/>
        </w:rPr>
      </w:pPr>
    </w:p>
    <w:p w14:paraId="485D13F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一、主要职能</w:t>
      </w:r>
    </w:p>
    <w:p w14:paraId="25B19EB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1.拟定民政事业发展地方性法规政府规章草案、政策、规划、标准并组织实施。</w:t>
      </w:r>
    </w:p>
    <w:p w14:paraId="087F00E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2.拟订自治区社会团体、基金会、社会服务机构等社会组织登记和监督管理政策措施并组织实施，依法对社会组织进行登记管理和执法监督。</w:t>
      </w:r>
    </w:p>
    <w:p w14:paraId="53D7A12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3.拟订自治区社会救助政策、标准，统筹社会救助体系建设，负责城乡居民最低生活保障、特困人员救助供养、临时救助、生活无着流浪乞讨人员救助工作。</w:t>
      </w:r>
    </w:p>
    <w:p w14:paraId="0F92D91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4.拟订行政区划、行政区域界线和地名管理政策和标准；组织研究自治区行政区划总体规划思路建议，按照管理权限牵头负责行政区划设立、命名、变更和政府驻地迁移等审核工作；确定、公布行政区划代码，指导行政区域界线勘定和管理工作；指导开展地名管理工作，负责区内重要自然地理实体命名、更名的审核。</w:t>
      </w:r>
    </w:p>
    <w:p w14:paraId="48C1CFA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5.拟订自治区婚姻管理政策并组织实施，推进婚俗改革。</w:t>
      </w:r>
    </w:p>
    <w:p w14:paraId="490DE90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6.拟订自治区殡葬管理政策、服务规范并组织实施，推进殡葬改革。</w:t>
      </w:r>
    </w:p>
    <w:p w14:paraId="7F2F566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7.拟订自治区残疾人权益保护政策，统筹推进残疾人福利制度建设和康复辅助器具产业发展。</w:t>
      </w:r>
    </w:p>
    <w:p w14:paraId="71B71F9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8.组织拟订并协调落实积极应对人口老龄化的政策措施。指导协调老年人权益保障工作。组织拟订老年人社会参与政策并组织实施。承担自治区老龄工作委员会的具体工作。</w:t>
      </w:r>
    </w:p>
    <w:p w14:paraId="71EDA50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9.组织拟订并协调落实自治区促进养老事业发展的政策措施。统筹推进、督促指导、监督管理养老服务工作，拟订养老服务体系建设规划、政策、标准并组织实施，承担老年人福利和特殊困难老年人救助工作。</w:t>
      </w:r>
    </w:p>
    <w:p w14:paraId="31F05F1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10.拟订自治区儿童福利、孤弃儿童保障、儿童收养、儿童救助保护政策和标准，健全农村留守儿童关爱服务体系和困境儿童保障制度。</w:t>
      </w:r>
    </w:p>
    <w:p w14:paraId="3368177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11.组织拟订促进自治区慈善事业发展政策，指导社会捐助工作，负责福利彩票管理工作。</w:t>
      </w:r>
    </w:p>
    <w:p w14:paraId="32F2F1F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12.完成自治区党委、自治区人民政府交办的其他任务。</w:t>
      </w:r>
    </w:p>
    <w:p w14:paraId="6EB74ED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二、机构设置</w:t>
      </w:r>
    </w:p>
    <w:p w14:paraId="3F91CBA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新疆维吾尔自治区民政厅（本级）无下属预算单位。</w:t>
      </w:r>
    </w:p>
    <w:p w14:paraId="6EACE7DF">
      <w:pPr>
        <w:keepNext w:val="0"/>
        <w:keepLines w:val="0"/>
        <w:pageBreakBefore w:val="0"/>
        <w:widowControl/>
        <w:kinsoku/>
        <w:wordWrap/>
        <w:overflowPunct/>
        <w:topLinePunct w:val="0"/>
        <w:autoSpaceDE/>
        <w:autoSpaceDN/>
        <w:bidi w:val="0"/>
        <w:adjustRightInd/>
        <w:snapToGrid/>
        <w:spacing w:line="560" w:lineRule="exact"/>
        <w:textAlignment w:val="auto"/>
      </w:pPr>
      <w:r>
        <w:rPr>
          <w:b w:val="0"/>
          <w:sz w:val="0"/>
          <w:szCs w:val="0"/>
        </w:rPr>
        <w:br w:type="page"/>
      </w:r>
    </w:p>
    <w:p w14:paraId="28783EA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ascii="黑体" w:eastAsia="黑体"/>
          <w:b w:val="0"/>
          <w:sz w:val="32"/>
          <w:szCs w:val="32"/>
        </w:rPr>
      </w:pPr>
    </w:p>
    <w:p w14:paraId="484A48D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简体" w:hAnsi="方正小标宋简体" w:eastAsia="方正小标宋简体" w:cs="方正小标宋简体"/>
          <w:b w:val="0"/>
          <w:sz w:val="44"/>
          <w:szCs w:val="44"/>
        </w:rPr>
      </w:pPr>
      <w:r>
        <w:rPr>
          <w:rFonts w:hint="eastAsia" w:ascii="方正小标宋简体" w:hAnsi="方正小标宋简体" w:eastAsia="方正小标宋简体" w:cs="方正小标宋简体"/>
          <w:b w:val="0"/>
          <w:sz w:val="44"/>
          <w:szCs w:val="44"/>
        </w:rPr>
        <w:t>第二部分</w:t>
      </w:r>
      <w:r>
        <w:rPr>
          <w:rFonts w:hint="eastAsia" w:ascii="方正小标宋简体" w:hAnsi="方正小标宋简体" w:eastAsia="方正小标宋简体" w:cs="方正小标宋简体"/>
          <w:b w:val="0"/>
          <w:sz w:val="44"/>
          <w:szCs w:val="44"/>
          <w:lang w:val="en-US" w:eastAsia="zh-CN"/>
        </w:rPr>
        <w:t xml:space="preserve">  </w:t>
      </w:r>
      <w:r>
        <w:rPr>
          <w:rFonts w:hint="eastAsia" w:ascii="方正小标宋简体" w:hAnsi="方正小标宋简体" w:eastAsia="方正小标宋简体" w:cs="方正小标宋简体"/>
          <w:b w:val="0"/>
          <w:sz w:val="44"/>
          <w:szCs w:val="44"/>
        </w:rPr>
        <w:t>部门决算情况说明</w:t>
      </w:r>
    </w:p>
    <w:p w14:paraId="0B896B7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ascii="黑体" w:eastAsia="黑体"/>
          <w:b w:val="0"/>
          <w:sz w:val="32"/>
          <w:szCs w:val="32"/>
        </w:rPr>
      </w:pPr>
    </w:p>
    <w:p w14:paraId="765FC84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一、收入支出决算总体情况说明</w:t>
      </w:r>
    </w:p>
    <w:p w14:paraId="59B3F0B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2025年度收入总计8,009.21万元</w:t>
      </w:r>
      <w:r>
        <w:rPr>
          <w:rFonts w:hint="default" w:ascii="Times New Roman" w:hAnsi="Times New Roman" w:eastAsia="方正仿宋_GBK" w:cs="Times New Roman"/>
          <w:b w:val="0"/>
          <w:sz w:val="32"/>
          <w:szCs w:val="32"/>
        </w:rPr>
        <w:t>，其中：本年收入合计7,460.81万元，使用非财政拨款结余（含专用结余）0.00万元，年初结转和结余548.40万元。</w:t>
      </w:r>
    </w:p>
    <w:p w14:paraId="590D70A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2025年度支出总计8,009.21万元</w:t>
      </w:r>
      <w:r>
        <w:rPr>
          <w:rFonts w:hint="default" w:ascii="Times New Roman" w:hAnsi="Times New Roman" w:eastAsia="方正仿宋_GBK" w:cs="Times New Roman"/>
          <w:b w:val="0"/>
          <w:bCs w:val="0"/>
          <w:sz w:val="32"/>
          <w:szCs w:val="32"/>
        </w:rPr>
        <w:t>，</w:t>
      </w:r>
      <w:r>
        <w:rPr>
          <w:rFonts w:hint="default" w:ascii="Times New Roman" w:hAnsi="Times New Roman" w:eastAsia="方正仿宋_GBK" w:cs="Times New Roman"/>
          <w:b w:val="0"/>
          <w:sz w:val="32"/>
          <w:szCs w:val="32"/>
        </w:rPr>
        <w:t>其中：本年支出合计7,460.81万元，结余分配0.00万元，年末结转和结余548.40万元。</w:t>
      </w:r>
    </w:p>
    <w:p w14:paraId="3F60847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收入支出总体与上年相比，</w:t>
      </w:r>
      <w:r>
        <w:rPr>
          <w:rFonts w:hint="default" w:ascii="Times New Roman" w:hAnsi="Times New Roman" w:eastAsia="方正仿宋_GBK" w:cs="Times New Roman"/>
          <w:b w:val="0"/>
          <w:sz w:val="32"/>
          <w:szCs w:val="32"/>
        </w:rPr>
        <w:t>减少1,090.28万元，下降11.98%</w:t>
      </w:r>
      <w:r>
        <w:rPr>
          <w:rFonts w:hint="default" w:ascii="Times New Roman" w:hAnsi="Times New Roman" w:eastAsia="方正仿宋_GBK" w:cs="Times New Roman"/>
          <w:b w:val="0"/>
          <w:sz w:val="32"/>
          <w:szCs w:val="32"/>
          <w:highlight w:val="none"/>
        </w:rPr>
        <w:t>，主要原因是：政府性基金项目资金较上年减少；</w:t>
      </w:r>
      <w:r>
        <w:rPr>
          <w:rFonts w:hint="default" w:ascii="Times New Roman" w:hAnsi="Times New Roman" w:eastAsia="方正仿宋_GBK" w:cs="Times New Roman"/>
          <w:b w:val="0"/>
          <w:sz w:val="32"/>
          <w:szCs w:val="32"/>
          <w:highlight w:val="none"/>
          <w:lang w:eastAsia="zh-CN"/>
        </w:rPr>
        <w:t>事业</w:t>
      </w:r>
      <w:r>
        <w:rPr>
          <w:rFonts w:hint="default" w:ascii="Times New Roman" w:hAnsi="Times New Roman" w:eastAsia="方正仿宋_GBK" w:cs="Times New Roman"/>
          <w:b w:val="0"/>
          <w:sz w:val="32"/>
          <w:szCs w:val="32"/>
          <w:highlight w:val="none"/>
        </w:rPr>
        <w:t>在职人员减少，支出减少。</w:t>
      </w:r>
    </w:p>
    <w:p w14:paraId="0FFE1BD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二、收入决算情况说明</w:t>
      </w:r>
    </w:p>
    <w:p w14:paraId="3627AB7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本年收入7,460.81万元，</w:t>
      </w:r>
      <w:r>
        <w:rPr>
          <w:rFonts w:hint="default" w:ascii="Times New Roman" w:hAnsi="Times New Roman" w:eastAsia="方正仿宋_GBK" w:cs="Times New Roman"/>
          <w:b w:val="0"/>
          <w:sz w:val="32"/>
          <w:szCs w:val="32"/>
        </w:rPr>
        <w:t>其中：财政拨款收入7,460.31万元,占99.99%；上级补助收入0.00万元,占0.00%；事业收入0.00万元，占0.00%；经营收入0.00万元,占0.00%；附属单位上缴收入0.00万元，占0.00%；其他收入0.49万元，占0.01%。</w:t>
      </w:r>
    </w:p>
    <w:p w14:paraId="5E81754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三、支出决算情况说明</w:t>
      </w:r>
    </w:p>
    <w:p w14:paraId="5E03913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本年支出7,460.81万元，</w:t>
      </w:r>
      <w:r>
        <w:rPr>
          <w:rFonts w:hint="default" w:ascii="Times New Roman" w:hAnsi="Times New Roman" w:eastAsia="方正仿宋_GBK" w:cs="Times New Roman"/>
          <w:b w:val="0"/>
          <w:sz w:val="32"/>
          <w:szCs w:val="32"/>
        </w:rPr>
        <w:t>其中：基本支出3,757.85万元，占50.37%；项目支出3,702.96万元，占49.63%；上缴上级支出0.00万元，占0.00%；经营支出0.00万元，占0.00%；对附属单位补助支出0.00万元，占0.00%。</w:t>
      </w:r>
    </w:p>
    <w:p w14:paraId="2E2521E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四、财政拨款收入支出决算总体情况说明</w:t>
      </w:r>
    </w:p>
    <w:p w14:paraId="76CC615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2025年度财政拨款收入总计7,460.31万元，</w:t>
      </w:r>
      <w:r>
        <w:rPr>
          <w:rFonts w:hint="default" w:ascii="Times New Roman" w:hAnsi="Times New Roman" w:eastAsia="方正仿宋_GBK" w:cs="Times New Roman"/>
          <w:b w:val="0"/>
          <w:sz w:val="32"/>
          <w:szCs w:val="32"/>
        </w:rPr>
        <w:t>其中：年初财政拨款结转和结余0.00万元，本年财政拨款收入7,460.31万元。</w:t>
      </w:r>
      <w:r>
        <w:rPr>
          <w:rFonts w:hint="default" w:ascii="Times New Roman" w:hAnsi="Times New Roman" w:eastAsia="方正仿宋_GBK" w:cs="Times New Roman"/>
          <w:b/>
          <w:bCs/>
          <w:sz w:val="32"/>
          <w:szCs w:val="32"/>
        </w:rPr>
        <w:t>财政拨款支出总计7,460.31万元，</w:t>
      </w:r>
      <w:r>
        <w:rPr>
          <w:rFonts w:hint="default" w:ascii="Times New Roman" w:hAnsi="Times New Roman" w:eastAsia="方正仿宋_GBK" w:cs="Times New Roman"/>
          <w:b w:val="0"/>
          <w:sz w:val="32"/>
          <w:szCs w:val="32"/>
        </w:rPr>
        <w:t>其中：年末财政拨款结转和结余0.00万元，本年财政拨款支出7,460.31万元。</w:t>
      </w:r>
    </w:p>
    <w:p w14:paraId="27F0262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bCs/>
          <w:sz w:val="32"/>
          <w:szCs w:val="32"/>
        </w:rPr>
        <w:t>财政拨款收入支出总体与上年相比，</w:t>
      </w:r>
      <w:r>
        <w:rPr>
          <w:rFonts w:hint="default" w:ascii="Times New Roman" w:hAnsi="Times New Roman" w:eastAsia="方正仿宋_GBK" w:cs="Times New Roman"/>
          <w:b w:val="0"/>
          <w:sz w:val="32"/>
          <w:szCs w:val="32"/>
        </w:rPr>
        <w:t>减少900.96万元，下降10.7</w:t>
      </w:r>
      <w:r>
        <w:rPr>
          <w:rFonts w:hint="default" w:ascii="Times New Roman" w:hAnsi="Times New Roman" w:eastAsia="方正仿宋_GBK" w:cs="Times New Roman"/>
          <w:b w:val="0"/>
          <w:sz w:val="32"/>
          <w:szCs w:val="32"/>
          <w:highlight w:val="none"/>
        </w:rPr>
        <w:t>8%，主要原因是：</w:t>
      </w:r>
      <w:r>
        <w:rPr>
          <w:rFonts w:hint="default" w:ascii="Times New Roman" w:hAnsi="Times New Roman" w:eastAsia="方正仿宋_GBK" w:cs="Times New Roman"/>
          <w:b w:val="0"/>
          <w:bCs w:val="0"/>
          <w:color w:val="000000"/>
          <w:sz w:val="32"/>
          <w:szCs w:val="32"/>
          <w:highlight w:val="none"/>
          <w:lang w:val="en-US" w:eastAsia="zh-CN"/>
        </w:rPr>
        <w:t>本年度财政安排政府性基金项目资金减少，政府性基金项目资金支出减少</w:t>
      </w:r>
      <w:r>
        <w:rPr>
          <w:rFonts w:hint="default" w:ascii="Times New Roman" w:hAnsi="Times New Roman" w:eastAsia="方正仿宋_GBK" w:cs="Times New Roman"/>
          <w:b w:val="0"/>
          <w:sz w:val="32"/>
          <w:szCs w:val="32"/>
          <w:highlight w:val="none"/>
        </w:rPr>
        <w:t>。</w:t>
      </w:r>
      <w:r>
        <w:rPr>
          <w:rFonts w:hint="default" w:ascii="Times New Roman" w:hAnsi="Times New Roman" w:eastAsia="方正仿宋_GBK" w:cs="Times New Roman"/>
          <w:b/>
          <w:bCs/>
          <w:sz w:val="32"/>
          <w:szCs w:val="32"/>
        </w:rPr>
        <w:t>与年初预算相比，</w:t>
      </w:r>
      <w:r>
        <w:rPr>
          <w:rFonts w:hint="default" w:ascii="Times New Roman" w:hAnsi="Times New Roman" w:eastAsia="方正仿宋_GBK" w:cs="Times New Roman"/>
          <w:b w:val="0"/>
          <w:sz w:val="32"/>
          <w:szCs w:val="32"/>
        </w:rPr>
        <w:t>年初预算数6,609.31万元，决算数7,460.31万元，</w:t>
      </w:r>
      <w:r>
        <w:rPr>
          <w:rFonts w:hint="default" w:ascii="Times New Roman" w:hAnsi="Times New Roman" w:eastAsia="方正仿宋_GBK" w:cs="Times New Roman"/>
          <w:b w:val="0"/>
          <w:sz w:val="32"/>
          <w:szCs w:val="32"/>
          <w:highlight w:val="none"/>
        </w:rPr>
        <w:t>预决算差异率12.88%，主要原因是：</w:t>
      </w:r>
      <w:r>
        <w:rPr>
          <w:rFonts w:hint="eastAsia" w:ascii="Times New Roman" w:hAnsi="Times New Roman" w:eastAsia="方正仿宋_GBK" w:cs="Times New Roman"/>
          <w:b w:val="0"/>
          <w:sz w:val="32"/>
          <w:szCs w:val="32"/>
          <w:highlight w:val="none"/>
          <w:lang w:eastAsia="zh-CN"/>
        </w:rPr>
        <w:t>自治区财政年中</w:t>
      </w:r>
      <w:r>
        <w:rPr>
          <w:rFonts w:hint="eastAsia" w:ascii="方正仿宋_GBK" w:hAnsi="方正仿宋_GBK" w:eastAsia="方正仿宋_GBK" w:cs="方正仿宋_GBK"/>
          <w:b w:val="0"/>
          <w:sz w:val="32"/>
          <w:szCs w:val="32"/>
          <w:highlight w:val="none"/>
          <w:lang w:eastAsia="zh-CN"/>
        </w:rPr>
        <w:t>下达</w:t>
      </w:r>
      <w:r>
        <w:rPr>
          <w:rFonts w:hint="eastAsia" w:ascii="方正仿宋_GBK" w:hAnsi="方正仿宋_GBK" w:eastAsia="方正仿宋_GBK" w:cs="方正仿宋_GBK"/>
          <w:bCs/>
          <w:color w:val="000000"/>
          <w:sz w:val="32"/>
          <w:szCs w:val="32"/>
          <w:lang w:val="en-US" w:eastAsia="zh-CN"/>
        </w:rPr>
        <w:t>职业年金、丧葬抚恤金、</w:t>
      </w:r>
      <w:r>
        <w:rPr>
          <w:rFonts w:hint="eastAsia" w:ascii="方正仿宋_GBK" w:hAnsi="方正仿宋_GBK" w:eastAsia="方正仿宋_GBK" w:cs="方正仿宋_GBK"/>
          <w:bCs/>
          <w:color w:val="000000"/>
          <w:sz w:val="32"/>
          <w:szCs w:val="32"/>
          <w:highlight w:val="none"/>
          <w:lang w:val="en-US" w:eastAsia="zh-CN"/>
        </w:rPr>
        <w:t>“访惠聚”驻村专项经费</w:t>
      </w:r>
      <w:r>
        <w:rPr>
          <w:rFonts w:hint="eastAsia" w:ascii="方正仿宋_GBK" w:hAnsi="方正仿宋_GBK" w:eastAsia="方正仿宋_GBK" w:cs="方正仿宋_GBK"/>
          <w:b w:val="0"/>
          <w:sz w:val="32"/>
          <w:szCs w:val="32"/>
          <w:highlight w:val="none"/>
          <w:lang w:val="en-US" w:eastAsia="zh-CN"/>
        </w:rPr>
        <w:t>等项目预算。</w:t>
      </w:r>
    </w:p>
    <w:p w14:paraId="3865693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b w:val="0"/>
          <w:sz w:val="32"/>
          <w:szCs w:val="32"/>
          <w:highlight w:val="none"/>
        </w:rPr>
        <w:t>五、一般公共预算财政拨款支出决算情况说明</w:t>
      </w:r>
    </w:p>
    <w:p w14:paraId="6C427F2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按照党中央、国务院关于党政机关习惯过紧日子的有关要求，厉行节约办一切事业，严控一般性支</w:t>
      </w:r>
      <w:r>
        <w:rPr>
          <w:rFonts w:hint="default" w:ascii="Times New Roman" w:hAnsi="Times New Roman" w:eastAsia="方正仿宋_GBK" w:cs="Times New Roman"/>
          <w:b w:val="0"/>
          <w:sz w:val="32"/>
          <w:szCs w:val="32"/>
          <w:highlight w:val="none"/>
        </w:rPr>
        <w:t>出。同时坚持有保有压，优化支出结构，提高资金使用效率，合理保障</w:t>
      </w:r>
      <w:r>
        <w:rPr>
          <w:rFonts w:hint="eastAsia" w:ascii="Times New Roman" w:hAnsi="Times New Roman" w:eastAsia="方正仿宋_GBK" w:cs="Times New Roman"/>
          <w:b w:val="0"/>
          <w:sz w:val="32"/>
          <w:szCs w:val="32"/>
          <w:highlight w:val="none"/>
          <w:lang w:eastAsia="zh-CN"/>
        </w:rPr>
        <w:t>人员工资、机关运行</w:t>
      </w:r>
      <w:r>
        <w:rPr>
          <w:rFonts w:hint="default" w:ascii="Times New Roman" w:hAnsi="Times New Roman" w:eastAsia="方正仿宋_GBK" w:cs="Times New Roman"/>
          <w:b w:val="0"/>
          <w:sz w:val="32"/>
          <w:szCs w:val="32"/>
          <w:highlight w:val="none"/>
        </w:rPr>
        <w:t>等重点支出，体现在有关支出科目中。</w:t>
      </w:r>
    </w:p>
    <w:p w14:paraId="305A088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val="0"/>
          <w:sz w:val="32"/>
          <w:szCs w:val="32"/>
        </w:rPr>
        <w:t>按照支出功能分类，</w:t>
      </w:r>
      <w:r>
        <w:rPr>
          <w:rFonts w:hint="default" w:ascii="Times New Roman" w:hAnsi="Times New Roman" w:eastAsia="方正仿宋_GBK" w:cs="Times New Roman"/>
          <w:b w:val="0"/>
          <w:sz w:val="32"/>
          <w:szCs w:val="32"/>
          <w:highlight w:val="none"/>
        </w:rPr>
        <w:t>社会保障和就业支出（类）民政管理事务（款）行政运行（项）的支出占本年财政拨款支出总额的比重最高，2025年度决算数为2,245.72万元，占比30.10%，主要用于</w:t>
      </w:r>
      <w:r>
        <w:rPr>
          <w:rFonts w:hint="default" w:ascii="Times New Roman" w:hAnsi="Times New Roman" w:eastAsia="方正仿宋_GBK" w:cs="Times New Roman"/>
          <w:b w:val="0"/>
          <w:sz w:val="32"/>
          <w:szCs w:val="32"/>
          <w:highlight w:val="none"/>
          <w:lang w:eastAsia="zh-CN"/>
        </w:rPr>
        <w:t>在职人员工资发放、社保缴费等支出。</w:t>
      </w:r>
    </w:p>
    <w:p w14:paraId="52118A3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eastAsia"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（一）一般公共预算财政拨款支出决算总体情况</w:t>
      </w:r>
    </w:p>
    <w:p w14:paraId="72B6A42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2025年度一般公共预算财政拨款支出4,872.46万元，</w:t>
      </w:r>
      <w:r>
        <w:rPr>
          <w:rFonts w:hint="default" w:ascii="Times New Roman" w:hAnsi="Times New Roman" w:eastAsia="方正仿宋_GBK" w:cs="Times New Roman"/>
          <w:b w:val="0"/>
          <w:sz w:val="32"/>
          <w:szCs w:val="32"/>
        </w:rPr>
        <w:t>占本年支出合计的65.31%。与上年相比，增加69.57万元，增长1.45%，</w:t>
      </w:r>
      <w:r>
        <w:rPr>
          <w:rFonts w:hint="default" w:ascii="Times New Roman" w:hAnsi="Times New Roman" w:eastAsia="方正仿宋_GBK" w:cs="Times New Roman"/>
          <w:b w:val="0"/>
          <w:sz w:val="32"/>
          <w:szCs w:val="32"/>
          <w:highlight w:val="none"/>
        </w:rPr>
        <w:t>主要原因是：</w:t>
      </w:r>
      <w:r>
        <w:rPr>
          <w:rFonts w:hint="eastAsia" w:ascii="Times New Roman" w:hAnsi="Times New Roman" w:eastAsia="方正仿宋_GBK" w:cs="Times New Roman"/>
          <w:b w:val="0"/>
          <w:bCs w:val="0"/>
          <w:color w:val="auto"/>
          <w:sz w:val="32"/>
          <w:szCs w:val="32"/>
          <w:lang w:val="en-US" w:eastAsia="zh-CN"/>
        </w:rPr>
        <w:t>人员职级正常晋升，社保费办公费缴费基数调整，支出增加</w:t>
      </w:r>
      <w:r>
        <w:rPr>
          <w:rFonts w:hint="default" w:ascii="Times New Roman" w:hAnsi="Times New Roman" w:eastAsia="方正仿宋_GBK" w:cs="Times New Roman"/>
          <w:b w:val="0"/>
          <w:sz w:val="32"/>
          <w:szCs w:val="32"/>
          <w:highlight w:val="none"/>
        </w:rPr>
        <w:t>。</w:t>
      </w:r>
      <w:r>
        <w:rPr>
          <w:rFonts w:hint="default" w:ascii="Times New Roman" w:hAnsi="Times New Roman" w:eastAsia="方正仿宋_GBK" w:cs="Times New Roman"/>
          <w:b/>
          <w:bCs/>
          <w:sz w:val="32"/>
          <w:szCs w:val="32"/>
        </w:rPr>
        <w:t>与年初预算相比，</w:t>
      </w:r>
      <w:r>
        <w:rPr>
          <w:rFonts w:hint="default" w:ascii="Times New Roman" w:hAnsi="Times New Roman" w:eastAsia="方正仿宋_GBK" w:cs="Times New Roman"/>
          <w:b w:val="0"/>
          <w:sz w:val="32"/>
          <w:szCs w:val="32"/>
        </w:rPr>
        <w:t>年初预算数4,278.20万元，决算数4,872.46万元，预决算差异率13.89%，</w:t>
      </w:r>
      <w:r>
        <w:rPr>
          <w:rFonts w:hint="default" w:ascii="Times New Roman" w:hAnsi="Times New Roman" w:eastAsia="方正仿宋_GBK" w:cs="Times New Roman"/>
          <w:b w:val="0"/>
          <w:sz w:val="32"/>
          <w:szCs w:val="32"/>
          <w:highlight w:val="none"/>
        </w:rPr>
        <w:t>主要原因是：</w:t>
      </w:r>
      <w:r>
        <w:rPr>
          <w:rFonts w:hint="eastAsia" w:ascii="Times New Roman" w:hAnsi="Times New Roman" w:eastAsia="方正仿宋_GBK" w:cs="Times New Roman"/>
          <w:b w:val="0"/>
          <w:sz w:val="32"/>
          <w:szCs w:val="32"/>
          <w:highlight w:val="none"/>
          <w:lang w:eastAsia="zh-CN"/>
        </w:rPr>
        <w:t>自治区财政年中</w:t>
      </w:r>
      <w:r>
        <w:rPr>
          <w:rFonts w:hint="eastAsia" w:ascii="方正仿宋_GBK" w:hAnsi="方正仿宋_GBK" w:eastAsia="方正仿宋_GBK" w:cs="方正仿宋_GBK"/>
          <w:b w:val="0"/>
          <w:sz w:val="32"/>
          <w:szCs w:val="32"/>
          <w:highlight w:val="none"/>
          <w:lang w:eastAsia="zh-CN"/>
        </w:rPr>
        <w:t>下达</w:t>
      </w:r>
      <w:r>
        <w:rPr>
          <w:rFonts w:hint="eastAsia" w:ascii="方正仿宋_GBK" w:hAnsi="方正仿宋_GBK" w:eastAsia="方正仿宋_GBK" w:cs="方正仿宋_GBK"/>
          <w:bCs/>
          <w:color w:val="000000"/>
          <w:sz w:val="32"/>
          <w:szCs w:val="32"/>
          <w:lang w:val="en-US" w:eastAsia="zh-CN"/>
        </w:rPr>
        <w:t>职业年金、丧葬抚恤金、</w:t>
      </w:r>
      <w:r>
        <w:rPr>
          <w:rFonts w:hint="eastAsia" w:ascii="方正仿宋_GBK" w:hAnsi="方正仿宋_GBK" w:eastAsia="方正仿宋_GBK" w:cs="方正仿宋_GBK"/>
          <w:bCs/>
          <w:color w:val="000000"/>
          <w:sz w:val="32"/>
          <w:szCs w:val="32"/>
          <w:highlight w:val="none"/>
          <w:lang w:val="en-US" w:eastAsia="zh-CN"/>
        </w:rPr>
        <w:t>“访惠聚”驻村专项经费</w:t>
      </w:r>
      <w:r>
        <w:rPr>
          <w:rFonts w:hint="eastAsia" w:ascii="方正仿宋_GBK" w:hAnsi="方正仿宋_GBK" w:eastAsia="方正仿宋_GBK" w:cs="方正仿宋_GBK"/>
          <w:b w:val="0"/>
          <w:sz w:val="32"/>
          <w:szCs w:val="32"/>
          <w:highlight w:val="none"/>
          <w:lang w:val="en-US" w:eastAsia="zh-CN"/>
        </w:rPr>
        <w:t>等项目预算</w:t>
      </w:r>
      <w:r>
        <w:rPr>
          <w:rFonts w:hint="default" w:ascii="Times New Roman" w:hAnsi="Times New Roman" w:eastAsia="方正仿宋_GBK" w:cs="Times New Roman"/>
          <w:b w:val="0"/>
          <w:sz w:val="32"/>
          <w:szCs w:val="32"/>
          <w:highlight w:val="none"/>
        </w:rPr>
        <w:t>。</w:t>
      </w:r>
    </w:p>
    <w:p w14:paraId="7B571D8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default" w:ascii="方正楷体_GBK" w:hAnsi="方正楷体_GBK" w:eastAsia="方正楷体_GBK" w:cs="方正楷体_GBK"/>
          <w:b/>
          <w:bCs/>
          <w:sz w:val="32"/>
          <w:szCs w:val="32"/>
        </w:rPr>
      </w:pPr>
      <w:r>
        <w:rPr>
          <w:rFonts w:hint="default" w:ascii="方正楷体_GBK" w:hAnsi="方正楷体_GBK" w:eastAsia="方正楷体_GBK" w:cs="方正楷体_GBK"/>
          <w:b/>
          <w:bCs/>
          <w:sz w:val="32"/>
          <w:szCs w:val="32"/>
        </w:rPr>
        <w:t>（二）一般公共预算财政拨款支出决算结构情况</w:t>
      </w:r>
    </w:p>
    <w:p w14:paraId="5B214EF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1.社会保障和就业支出（类）4,433.48万元，占90.99%。</w:t>
      </w:r>
    </w:p>
    <w:p w14:paraId="4A2818B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2.卫生健康支出（类）249.25万元，占5.12%。</w:t>
      </w:r>
    </w:p>
    <w:p w14:paraId="6FFB734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3.住房保障支出（类）189.73万元，占3.89%。</w:t>
      </w:r>
    </w:p>
    <w:p w14:paraId="28E6BC9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default" w:ascii="方正楷体_GBK" w:hAnsi="方正楷体_GBK" w:eastAsia="方正楷体_GBK" w:cs="方正楷体_GBK"/>
          <w:b/>
          <w:bCs/>
          <w:sz w:val="32"/>
          <w:szCs w:val="32"/>
        </w:rPr>
      </w:pPr>
      <w:r>
        <w:rPr>
          <w:rFonts w:hint="default" w:ascii="方正楷体_GBK" w:hAnsi="方正楷体_GBK" w:eastAsia="方正楷体_GBK" w:cs="方正楷体_GBK"/>
          <w:b/>
          <w:bCs/>
          <w:sz w:val="32"/>
          <w:szCs w:val="32"/>
        </w:rPr>
        <w:t>（三）一般公共预算财政拨款支出决算具体情况</w:t>
      </w:r>
    </w:p>
    <w:p w14:paraId="1D0D32C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val="0"/>
          <w:sz w:val="32"/>
          <w:szCs w:val="32"/>
        </w:rPr>
        <w:t>1.社会保障和就业支出（类）民政管理事务（款）行政运行（项）：支出决算数为2,245.72万元，比上年决算增加11.08万元，增长0.50%，</w:t>
      </w:r>
      <w:r>
        <w:rPr>
          <w:rFonts w:hint="default" w:ascii="Times New Roman" w:hAnsi="Times New Roman" w:eastAsia="方正仿宋_GBK" w:cs="Times New Roman"/>
          <w:b w:val="0"/>
          <w:sz w:val="32"/>
          <w:szCs w:val="32"/>
          <w:highlight w:val="none"/>
        </w:rPr>
        <w:t>主要原因是：</w:t>
      </w:r>
      <w:r>
        <w:rPr>
          <w:rFonts w:hint="eastAsia" w:ascii="Times New Roman" w:hAnsi="Times New Roman" w:eastAsia="方正仿宋_GBK" w:cs="Times New Roman"/>
          <w:b w:val="0"/>
          <w:bCs w:val="0"/>
          <w:color w:val="auto"/>
          <w:sz w:val="32"/>
          <w:szCs w:val="32"/>
          <w:lang w:val="en-US" w:eastAsia="zh-CN"/>
        </w:rPr>
        <w:t>人员职级正常晋升，社保费办公费缴费基数调整，支出增加</w:t>
      </w:r>
      <w:r>
        <w:rPr>
          <w:rFonts w:hint="default" w:ascii="Times New Roman" w:hAnsi="Times New Roman" w:eastAsia="方正仿宋_GBK" w:cs="Times New Roman"/>
          <w:b w:val="0"/>
          <w:sz w:val="32"/>
          <w:szCs w:val="32"/>
          <w:highlight w:val="none"/>
          <w:lang w:eastAsia="zh-CN"/>
        </w:rPr>
        <w:t>。</w:t>
      </w:r>
    </w:p>
    <w:p w14:paraId="5F593D2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val="0"/>
          <w:sz w:val="32"/>
          <w:szCs w:val="32"/>
        </w:rPr>
        <w:t>2.社会保障和就业支出（类）民政管理事务（款）机关服务（项）：支出决算数为216.16万元，比上年决算减少102.80万元，下降32.23%，主要原因是：</w:t>
      </w:r>
      <w:r>
        <w:rPr>
          <w:rFonts w:hint="default" w:ascii="Times New Roman" w:hAnsi="Times New Roman" w:eastAsia="方正仿宋_GBK" w:cs="Times New Roman"/>
          <w:b w:val="0"/>
          <w:sz w:val="32"/>
          <w:szCs w:val="32"/>
          <w:lang w:eastAsia="zh-CN"/>
        </w:rPr>
        <w:t>事业</w:t>
      </w:r>
      <w:r>
        <w:rPr>
          <w:rFonts w:hint="default" w:ascii="Times New Roman" w:hAnsi="Times New Roman" w:eastAsia="方正仿宋_GBK" w:cs="Times New Roman"/>
          <w:b w:val="0"/>
          <w:sz w:val="32"/>
          <w:szCs w:val="32"/>
        </w:rPr>
        <w:t>在职人员减少，支出减少</w:t>
      </w:r>
      <w:r>
        <w:rPr>
          <w:rFonts w:hint="default" w:ascii="Times New Roman" w:hAnsi="Times New Roman" w:eastAsia="方正仿宋_GBK" w:cs="Times New Roman"/>
          <w:b w:val="0"/>
          <w:sz w:val="32"/>
          <w:szCs w:val="32"/>
          <w:lang w:eastAsia="zh-CN"/>
        </w:rPr>
        <w:t>。</w:t>
      </w:r>
    </w:p>
    <w:p w14:paraId="6A6A1B0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val="0"/>
          <w:sz w:val="32"/>
          <w:szCs w:val="32"/>
        </w:rPr>
        <w:t>3.社会保障和就业支出（类）民政管理事务（款）行政区划和地名管理（项）：支出决算数为346.86万元，比上年决算增加10.53万元，增长3.13%，主要原因是：行政区划和地名管理</w:t>
      </w:r>
      <w:r>
        <w:rPr>
          <w:rFonts w:hint="default" w:ascii="Times New Roman" w:hAnsi="Times New Roman" w:eastAsia="方正仿宋_GBK" w:cs="Times New Roman"/>
          <w:b w:val="0"/>
          <w:sz w:val="32"/>
          <w:szCs w:val="32"/>
          <w:lang w:eastAsia="zh-CN"/>
        </w:rPr>
        <w:t>工作</w:t>
      </w:r>
      <w:r>
        <w:rPr>
          <w:rFonts w:hint="eastAsia" w:ascii="Times New Roman" w:hAnsi="Times New Roman" w:eastAsia="方正仿宋_GBK" w:cs="Times New Roman"/>
          <w:b w:val="0"/>
          <w:sz w:val="32"/>
          <w:szCs w:val="32"/>
          <w:lang w:eastAsia="zh-CN"/>
        </w:rPr>
        <w:t>内容</w:t>
      </w:r>
      <w:r>
        <w:rPr>
          <w:rFonts w:hint="default" w:ascii="Times New Roman" w:hAnsi="Times New Roman" w:eastAsia="方正仿宋_GBK" w:cs="Times New Roman"/>
          <w:b w:val="0"/>
          <w:sz w:val="32"/>
          <w:szCs w:val="32"/>
          <w:lang w:eastAsia="zh-CN"/>
        </w:rPr>
        <w:t>增加，项目</w:t>
      </w:r>
      <w:r>
        <w:rPr>
          <w:rFonts w:hint="eastAsia"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lang w:eastAsia="zh-CN"/>
        </w:rPr>
        <w:t>较上年</w:t>
      </w:r>
      <w:r>
        <w:rPr>
          <w:rFonts w:hint="default" w:ascii="Times New Roman" w:hAnsi="Times New Roman" w:eastAsia="方正仿宋_GBK" w:cs="Times New Roman"/>
          <w:b w:val="0"/>
          <w:sz w:val="32"/>
          <w:szCs w:val="32"/>
        </w:rPr>
        <w:t>增加</w:t>
      </w:r>
      <w:r>
        <w:rPr>
          <w:rFonts w:hint="default" w:ascii="Times New Roman" w:hAnsi="Times New Roman" w:eastAsia="方正仿宋_GBK" w:cs="Times New Roman"/>
          <w:b w:val="0"/>
          <w:sz w:val="32"/>
          <w:szCs w:val="32"/>
          <w:lang w:eastAsia="zh-CN"/>
        </w:rPr>
        <w:t>。</w:t>
      </w:r>
    </w:p>
    <w:p w14:paraId="6A76FBB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yellow"/>
        </w:rPr>
      </w:pPr>
      <w:r>
        <w:rPr>
          <w:rFonts w:hint="default" w:ascii="Times New Roman" w:hAnsi="Times New Roman" w:eastAsia="方正仿宋_GBK" w:cs="Times New Roman"/>
          <w:b w:val="0"/>
          <w:sz w:val="32"/>
          <w:szCs w:val="32"/>
        </w:rPr>
        <w:t>4.社会保障和就业支出（类）民政管理事务（款）其他民政管理事务支出（项）：支出决算数为753.24万元，比上年决算增加53.24万元，增长7.61%，</w:t>
      </w:r>
      <w:r>
        <w:rPr>
          <w:rFonts w:hint="default" w:ascii="Times New Roman" w:hAnsi="Times New Roman" w:eastAsia="方正仿宋_GBK" w:cs="Times New Roman"/>
          <w:b w:val="0"/>
          <w:sz w:val="32"/>
          <w:szCs w:val="32"/>
          <w:highlight w:val="none"/>
        </w:rPr>
        <w:t>主要原因是：</w:t>
      </w:r>
      <w:r>
        <w:rPr>
          <w:rFonts w:hint="eastAsia" w:ascii="Times New Roman" w:hAnsi="Times New Roman" w:eastAsia="方正仿宋_GBK" w:cs="Times New Roman"/>
          <w:b w:val="0"/>
          <w:sz w:val="32"/>
          <w:szCs w:val="32"/>
          <w:highlight w:val="none"/>
          <w:lang w:eastAsia="zh-CN"/>
        </w:rPr>
        <w:t>自治区财政年中下达项目资金，支出较上年增加</w:t>
      </w:r>
      <w:r>
        <w:rPr>
          <w:rFonts w:hint="default" w:ascii="Times New Roman" w:hAnsi="Times New Roman" w:eastAsia="方正仿宋_GBK" w:cs="Times New Roman"/>
          <w:b w:val="0"/>
          <w:sz w:val="32"/>
          <w:szCs w:val="32"/>
          <w:highlight w:val="none"/>
          <w:lang w:eastAsia="zh-CN"/>
        </w:rPr>
        <w:t>。</w:t>
      </w:r>
    </w:p>
    <w:p w14:paraId="35B49DB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val="0"/>
          <w:sz w:val="32"/>
          <w:szCs w:val="32"/>
        </w:rPr>
        <w:t>5.社会保障和就业支出（类）行政事业单位养老支出（款）行政单位离退休（项）：支出决算数为438.13万元，比上年决算增加21.42万元，增长5.14%，主要原因是：</w:t>
      </w:r>
      <w:r>
        <w:rPr>
          <w:rFonts w:hint="eastAsia" w:ascii="Times New Roman" w:hAnsi="Times New Roman" w:eastAsia="方正仿宋_GBK" w:cs="Times New Roman"/>
          <w:b w:val="0"/>
          <w:sz w:val="32"/>
          <w:szCs w:val="32"/>
          <w:lang w:eastAsia="zh-CN"/>
        </w:rPr>
        <w:t>行政</w:t>
      </w:r>
      <w:r>
        <w:rPr>
          <w:rFonts w:hint="default" w:ascii="Times New Roman" w:hAnsi="Times New Roman" w:eastAsia="方正仿宋_GBK" w:cs="Times New Roman"/>
          <w:b w:val="0"/>
          <w:sz w:val="32"/>
          <w:szCs w:val="32"/>
        </w:rPr>
        <w:t>退休人员增加，支出增加</w:t>
      </w:r>
      <w:r>
        <w:rPr>
          <w:rFonts w:hint="default" w:ascii="Times New Roman" w:hAnsi="Times New Roman" w:eastAsia="方正仿宋_GBK" w:cs="Times New Roman"/>
          <w:b w:val="0"/>
          <w:sz w:val="32"/>
          <w:szCs w:val="32"/>
          <w:lang w:eastAsia="zh-CN"/>
        </w:rPr>
        <w:t>。</w:t>
      </w:r>
    </w:p>
    <w:p w14:paraId="2C4E97B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6.社会保障和就业支出（类）行政事业单位养老支出（款）</w:t>
      </w:r>
      <w:r>
        <w:rPr>
          <w:rFonts w:hint="default" w:ascii="Times New Roman" w:hAnsi="Times New Roman" w:eastAsia="方正仿宋_GBK" w:cs="Times New Roman"/>
          <w:b w:val="0"/>
          <w:color w:val="auto"/>
          <w:sz w:val="32"/>
          <w:szCs w:val="32"/>
        </w:rPr>
        <w:t>事业单位离退休（项）：支出决算数为4.71万元，比上年决算增加4.71万元，增长100.00%</w:t>
      </w:r>
      <w:r>
        <w:rPr>
          <w:rFonts w:hint="default" w:ascii="Times New Roman" w:hAnsi="Times New Roman" w:eastAsia="方正仿宋_GBK" w:cs="Times New Roman"/>
          <w:b w:val="0"/>
          <w:color w:val="auto"/>
          <w:sz w:val="32"/>
          <w:szCs w:val="32"/>
          <w:highlight w:val="none"/>
        </w:rPr>
        <w:t>，主要原因是：</w:t>
      </w:r>
      <w:r>
        <w:rPr>
          <w:rFonts w:hint="eastAsia" w:ascii="Times New Roman" w:hAnsi="Times New Roman" w:eastAsia="方正仿宋_GBK" w:cs="Times New Roman"/>
          <w:b w:val="0"/>
          <w:color w:val="auto"/>
          <w:sz w:val="32"/>
          <w:szCs w:val="32"/>
          <w:highlight w:val="none"/>
          <w:lang w:eastAsia="zh-CN"/>
        </w:rPr>
        <w:t>按自治区财政有关规定，调整事业退休人员科目，支出较上年增加。</w:t>
      </w:r>
    </w:p>
    <w:p w14:paraId="7F3F657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val="0"/>
          <w:sz w:val="32"/>
          <w:szCs w:val="32"/>
        </w:rPr>
        <w:t>7.社会保障和就业支出（类）行政事业单位养老支出（款）机关事业单位基本养老保险缴费支出（项）：支出决算数为250.43万元，比上年决算减少21.33万元，下</w:t>
      </w:r>
      <w:r>
        <w:rPr>
          <w:rFonts w:hint="default" w:ascii="Times New Roman" w:hAnsi="Times New Roman" w:eastAsia="方正仿宋_GBK" w:cs="Times New Roman"/>
          <w:b w:val="0"/>
          <w:sz w:val="32"/>
          <w:szCs w:val="32"/>
          <w:highlight w:val="none"/>
        </w:rPr>
        <w:t>降7.85%，主要原因是：</w:t>
      </w:r>
      <w:r>
        <w:rPr>
          <w:rFonts w:hint="default" w:ascii="Times New Roman" w:hAnsi="Times New Roman" w:eastAsia="方正仿宋_GBK" w:cs="Times New Roman"/>
          <w:b w:val="0"/>
          <w:sz w:val="32"/>
          <w:szCs w:val="32"/>
        </w:rPr>
        <w:t>在职人员减少，支出</w:t>
      </w:r>
      <w:r>
        <w:rPr>
          <w:rFonts w:hint="eastAsia" w:ascii="Times New Roman" w:hAnsi="Times New Roman" w:eastAsia="方正仿宋_GBK" w:cs="Times New Roman"/>
          <w:b w:val="0"/>
          <w:color w:val="auto"/>
          <w:sz w:val="32"/>
          <w:szCs w:val="32"/>
          <w:highlight w:val="none"/>
          <w:lang w:eastAsia="zh-CN"/>
        </w:rPr>
        <w:t>较上年</w:t>
      </w:r>
      <w:r>
        <w:rPr>
          <w:rFonts w:hint="default" w:ascii="Times New Roman" w:hAnsi="Times New Roman" w:eastAsia="方正仿宋_GBK" w:cs="Times New Roman"/>
          <w:b w:val="0"/>
          <w:sz w:val="32"/>
          <w:szCs w:val="32"/>
        </w:rPr>
        <w:t>减少</w:t>
      </w:r>
      <w:r>
        <w:rPr>
          <w:rFonts w:hint="default" w:ascii="Times New Roman" w:hAnsi="Times New Roman" w:eastAsia="方正仿宋_GBK" w:cs="Times New Roman"/>
          <w:b w:val="0"/>
          <w:sz w:val="32"/>
          <w:szCs w:val="32"/>
          <w:highlight w:val="none"/>
          <w:lang w:eastAsia="zh-CN"/>
        </w:rPr>
        <w:t>。</w:t>
      </w:r>
    </w:p>
    <w:p w14:paraId="639A09B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yellow"/>
          <w:lang w:val="en-US" w:eastAsia="zh-CN"/>
        </w:rPr>
      </w:pPr>
      <w:r>
        <w:rPr>
          <w:rFonts w:hint="default" w:ascii="Times New Roman" w:hAnsi="Times New Roman" w:eastAsia="方正仿宋_GBK" w:cs="Times New Roman"/>
          <w:b w:val="0"/>
          <w:sz w:val="32"/>
          <w:szCs w:val="32"/>
        </w:rPr>
        <w:t>8.社会保障和就业支出（类）行政事业单位养老支出（款）机关事业单位职业年金缴费支出（项）：支出决算数为163.22万元，比上年决算增加88.82万元，增长119.38%，主要原因是：</w:t>
      </w:r>
      <w:r>
        <w:rPr>
          <w:rFonts w:hint="eastAsia" w:ascii="Times New Roman" w:hAnsi="Times New Roman" w:eastAsia="方正仿宋_GBK" w:cs="Times New Roman"/>
          <w:b w:val="0"/>
          <w:sz w:val="32"/>
          <w:szCs w:val="32"/>
          <w:highlight w:val="none"/>
          <w:lang w:eastAsia="zh-CN"/>
        </w:rPr>
        <w:t>按照</w:t>
      </w:r>
      <w:r>
        <w:rPr>
          <w:rFonts w:hint="eastAsia" w:ascii="Times New Roman" w:hAnsi="Times New Roman" w:eastAsia="方正仿宋_GBK" w:cs="Times New Roman"/>
          <w:b w:val="0"/>
          <w:sz w:val="32"/>
          <w:szCs w:val="32"/>
          <w:highlight w:val="none"/>
          <w:lang w:val="en-US" w:eastAsia="zh-CN"/>
        </w:rPr>
        <w:t>自治区</w:t>
      </w:r>
      <w:r>
        <w:rPr>
          <w:rFonts w:hint="eastAsia" w:ascii="Times New Roman" w:hAnsi="Times New Roman" w:eastAsia="方正仿宋_GBK" w:cs="Times New Roman"/>
          <w:b w:val="0"/>
          <w:sz w:val="32"/>
          <w:szCs w:val="32"/>
          <w:highlight w:val="none"/>
          <w:lang w:eastAsia="zh-CN"/>
        </w:rPr>
        <w:t>职业年金</w:t>
      </w:r>
      <w:r>
        <w:rPr>
          <w:rFonts w:hint="eastAsia" w:ascii="Times New Roman" w:hAnsi="Times New Roman" w:eastAsia="方正仿宋_GBK" w:cs="Times New Roman"/>
          <w:b w:val="0"/>
          <w:sz w:val="32"/>
          <w:szCs w:val="32"/>
          <w:highlight w:val="none"/>
          <w:lang w:val="en-US" w:eastAsia="zh-CN"/>
        </w:rPr>
        <w:t>缴费有关</w:t>
      </w:r>
      <w:r>
        <w:rPr>
          <w:rFonts w:hint="eastAsia" w:ascii="Times New Roman" w:hAnsi="Times New Roman" w:eastAsia="方正仿宋_GBK" w:cs="Times New Roman"/>
          <w:b w:val="0"/>
          <w:sz w:val="32"/>
          <w:szCs w:val="32"/>
          <w:highlight w:val="none"/>
          <w:lang w:eastAsia="zh-CN"/>
        </w:rPr>
        <w:t>政策</w:t>
      </w:r>
      <w:r>
        <w:rPr>
          <w:rFonts w:hint="eastAsia" w:ascii="Times New Roman" w:hAnsi="Times New Roman" w:eastAsia="方正仿宋_GBK" w:cs="Times New Roman"/>
          <w:b w:val="0"/>
          <w:sz w:val="32"/>
          <w:szCs w:val="32"/>
          <w:highlight w:val="none"/>
          <w:lang w:val="en-US" w:eastAsia="zh-CN"/>
        </w:rPr>
        <w:t>规定，记实在职人员职业年金，</w:t>
      </w:r>
      <w:r>
        <w:rPr>
          <w:rFonts w:hint="default" w:ascii="Times New Roman" w:hAnsi="Times New Roman" w:eastAsia="方正仿宋_GBK" w:cs="Times New Roman"/>
          <w:b w:val="0"/>
          <w:sz w:val="32"/>
          <w:szCs w:val="32"/>
          <w:highlight w:val="none"/>
        </w:rPr>
        <w:t>支出</w:t>
      </w:r>
      <w:r>
        <w:rPr>
          <w:rFonts w:hint="eastAsia" w:ascii="Times New Roman" w:hAnsi="Times New Roman" w:eastAsia="方正仿宋_GBK" w:cs="Times New Roman"/>
          <w:b w:val="0"/>
          <w:color w:val="auto"/>
          <w:sz w:val="32"/>
          <w:szCs w:val="32"/>
          <w:highlight w:val="none"/>
          <w:lang w:eastAsia="zh-CN"/>
        </w:rPr>
        <w:t>较上年增加</w:t>
      </w:r>
      <w:r>
        <w:rPr>
          <w:rFonts w:hint="default" w:ascii="Times New Roman" w:hAnsi="Times New Roman" w:eastAsia="方正仿宋_GBK" w:cs="Times New Roman"/>
          <w:b w:val="0"/>
          <w:sz w:val="32"/>
          <w:szCs w:val="32"/>
          <w:highlight w:val="none"/>
          <w:lang w:eastAsia="zh-CN"/>
        </w:rPr>
        <w:t>。</w:t>
      </w:r>
    </w:p>
    <w:p w14:paraId="7C07A2D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yellow"/>
        </w:rPr>
      </w:pPr>
      <w:r>
        <w:rPr>
          <w:rFonts w:hint="default" w:ascii="Times New Roman" w:hAnsi="Times New Roman" w:eastAsia="方正仿宋_GBK" w:cs="Times New Roman"/>
          <w:b w:val="0"/>
          <w:sz w:val="32"/>
          <w:szCs w:val="32"/>
        </w:rPr>
        <w:t>9.卫生健康支出（类）行政事业单位医疗（款）行政单位医疗（项）：支出决算数为114.33万元，比上年决算增加8.35万元，增长7.88%，主要原因是</w:t>
      </w:r>
      <w:r>
        <w:rPr>
          <w:rFonts w:hint="default" w:ascii="Times New Roman" w:hAnsi="Times New Roman" w:eastAsia="方正仿宋_GBK" w:cs="Times New Roman"/>
          <w:b w:val="0"/>
          <w:sz w:val="32"/>
          <w:szCs w:val="32"/>
          <w:highlight w:val="none"/>
        </w:rPr>
        <w:t>：</w:t>
      </w:r>
      <w:r>
        <w:rPr>
          <w:rFonts w:hint="eastAsia" w:ascii="Times New Roman" w:hAnsi="Times New Roman" w:eastAsia="方正仿宋_GBK" w:cs="Times New Roman"/>
          <w:b w:val="0"/>
          <w:sz w:val="32"/>
          <w:szCs w:val="32"/>
          <w:highlight w:val="none"/>
          <w:lang w:val="en-US" w:eastAsia="zh-CN"/>
        </w:rPr>
        <w:t>按照自治区基本</w:t>
      </w:r>
      <w:r>
        <w:rPr>
          <w:rFonts w:hint="default" w:ascii="Times New Roman" w:hAnsi="Times New Roman" w:eastAsia="方正仿宋_GBK" w:cs="Times New Roman"/>
          <w:color w:val="000000"/>
          <w:sz w:val="32"/>
          <w:szCs w:val="32"/>
          <w:highlight w:val="none"/>
          <w:lang w:val="en-US" w:eastAsia="zh-CN"/>
        </w:rPr>
        <w:t>医疗</w:t>
      </w:r>
      <w:r>
        <w:rPr>
          <w:rFonts w:hint="eastAsia" w:ascii="Times New Roman" w:hAnsi="Times New Roman" w:eastAsia="方正仿宋_GBK" w:cs="Times New Roman"/>
          <w:color w:val="000000"/>
          <w:sz w:val="32"/>
          <w:szCs w:val="32"/>
          <w:highlight w:val="none"/>
          <w:lang w:val="en-US" w:eastAsia="zh-CN"/>
        </w:rPr>
        <w:t>保险政策规定，调增单位基准缴费费率，</w:t>
      </w:r>
      <w:r>
        <w:rPr>
          <w:rFonts w:hint="default" w:ascii="Times New Roman" w:hAnsi="Times New Roman" w:eastAsia="方正仿宋_GBK" w:cs="Times New Roman"/>
          <w:b w:val="0"/>
          <w:sz w:val="32"/>
          <w:szCs w:val="32"/>
          <w:highlight w:val="none"/>
        </w:rPr>
        <w:t>支出</w:t>
      </w:r>
      <w:r>
        <w:rPr>
          <w:rFonts w:hint="eastAsia" w:ascii="Times New Roman" w:hAnsi="Times New Roman" w:eastAsia="方正仿宋_GBK" w:cs="Times New Roman"/>
          <w:b w:val="0"/>
          <w:color w:val="auto"/>
          <w:sz w:val="32"/>
          <w:szCs w:val="32"/>
          <w:highlight w:val="none"/>
          <w:lang w:eastAsia="zh-CN"/>
        </w:rPr>
        <w:t>较上年增加</w:t>
      </w:r>
      <w:r>
        <w:rPr>
          <w:rFonts w:hint="default" w:ascii="Times New Roman" w:hAnsi="Times New Roman" w:eastAsia="方正仿宋_GBK" w:cs="Times New Roman"/>
          <w:b w:val="0"/>
          <w:sz w:val="32"/>
          <w:szCs w:val="32"/>
          <w:highlight w:val="none"/>
        </w:rPr>
        <w:t>。</w:t>
      </w:r>
    </w:p>
    <w:p w14:paraId="07AF8F2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10.卫生健康支出（类）行政事业单位医疗（款）事业单位医疗（项）：支出决算数为24.24万元，比上年决算增加2.83万元，增长13.22%，主要原因是</w:t>
      </w:r>
      <w:r>
        <w:rPr>
          <w:rFonts w:hint="default" w:ascii="Times New Roman" w:hAnsi="Times New Roman" w:eastAsia="方正仿宋_GBK" w:cs="Times New Roman"/>
          <w:b w:val="0"/>
          <w:sz w:val="32"/>
          <w:szCs w:val="32"/>
          <w:highlight w:val="none"/>
        </w:rPr>
        <w:t>：</w:t>
      </w:r>
      <w:r>
        <w:rPr>
          <w:rFonts w:hint="eastAsia" w:ascii="Times New Roman" w:hAnsi="Times New Roman" w:eastAsia="方正仿宋_GBK" w:cs="Times New Roman"/>
          <w:b w:val="0"/>
          <w:sz w:val="32"/>
          <w:szCs w:val="32"/>
          <w:highlight w:val="none"/>
          <w:lang w:val="en-US" w:eastAsia="zh-CN"/>
        </w:rPr>
        <w:t>按照自治区基本</w:t>
      </w:r>
      <w:r>
        <w:rPr>
          <w:rFonts w:hint="default" w:ascii="Times New Roman" w:hAnsi="Times New Roman" w:eastAsia="方正仿宋_GBK" w:cs="Times New Roman"/>
          <w:color w:val="000000"/>
          <w:sz w:val="32"/>
          <w:szCs w:val="32"/>
          <w:highlight w:val="none"/>
          <w:lang w:val="en-US" w:eastAsia="zh-CN"/>
        </w:rPr>
        <w:t>医疗</w:t>
      </w:r>
      <w:r>
        <w:rPr>
          <w:rFonts w:hint="eastAsia" w:ascii="Times New Roman" w:hAnsi="Times New Roman" w:eastAsia="方正仿宋_GBK" w:cs="Times New Roman"/>
          <w:color w:val="000000"/>
          <w:sz w:val="32"/>
          <w:szCs w:val="32"/>
          <w:highlight w:val="none"/>
          <w:lang w:val="en-US" w:eastAsia="zh-CN"/>
        </w:rPr>
        <w:t>保险政策规定，调增单位基准缴费费率，</w:t>
      </w:r>
      <w:r>
        <w:rPr>
          <w:rFonts w:hint="default" w:ascii="Times New Roman" w:hAnsi="Times New Roman" w:eastAsia="方正仿宋_GBK" w:cs="Times New Roman"/>
          <w:b w:val="0"/>
          <w:sz w:val="32"/>
          <w:szCs w:val="32"/>
          <w:highlight w:val="none"/>
        </w:rPr>
        <w:t>支出</w:t>
      </w:r>
      <w:r>
        <w:rPr>
          <w:rFonts w:hint="eastAsia" w:ascii="Times New Roman" w:hAnsi="Times New Roman" w:eastAsia="方正仿宋_GBK" w:cs="Times New Roman"/>
          <w:b w:val="0"/>
          <w:color w:val="auto"/>
          <w:sz w:val="32"/>
          <w:szCs w:val="32"/>
          <w:highlight w:val="none"/>
          <w:lang w:eastAsia="zh-CN"/>
        </w:rPr>
        <w:t>较上年增加</w:t>
      </w:r>
      <w:r>
        <w:rPr>
          <w:rFonts w:hint="default" w:ascii="Times New Roman" w:hAnsi="Times New Roman" w:eastAsia="方正仿宋_GBK" w:cs="Times New Roman"/>
          <w:b w:val="0"/>
          <w:sz w:val="32"/>
          <w:szCs w:val="32"/>
          <w:highlight w:val="none"/>
        </w:rPr>
        <w:t>。</w:t>
      </w:r>
    </w:p>
    <w:p w14:paraId="516020C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11.卫生健康支出（类）行政事业单位医疗（款）公务员医疗补助（项）：支出决算数为110.68万元，比上年决算减少8.21万元，下降6.91%，</w:t>
      </w:r>
      <w:r>
        <w:rPr>
          <w:rFonts w:hint="default" w:ascii="Times New Roman" w:hAnsi="Times New Roman" w:eastAsia="方正仿宋_GBK" w:cs="Times New Roman"/>
          <w:b w:val="0"/>
          <w:sz w:val="32"/>
          <w:szCs w:val="32"/>
          <w:highlight w:val="none"/>
        </w:rPr>
        <w:t>主要原因是：</w:t>
      </w:r>
      <w:r>
        <w:rPr>
          <w:rFonts w:hint="eastAsia" w:ascii="Times New Roman" w:hAnsi="Times New Roman" w:eastAsia="方正仿宋_GBK" w:cs="Times New Roman"/>
          <w:b w:val="0"/>
          <w:sz w:val="32"/>
          <w:szCs w:val="32"/>
          <w:highlight w:val="none"/>
          <w:lang w:eastAsia="zh-CN"/>
        </w:rPr>
        <w:t>在职人员减少</w:t>
      </w:r>
      <w:r>
        <w:rPr>
          <w:rFonts w:hint="default" w:ascii="Times New Roman" w:hAnsi="Times New Roman" w:eastAsia="方正仿宋_GBK" w:cs="Times New Roman"/>
          <w:b w:val="0"/>
          <w:sz w:val="32"/>
          <w:szCs w:val="32"/>
          <w:highlight w:val="none"/>
        </w:rPr>
        <w:t>，支出</w:t>
      </w:r>
      <w:r>
        <w:rPr>
          <w:rFonts w:hint="eastAsia" w:ascii="Times New Roman" w:hAnsi="Times New Roman" w:eastAsia="方正仿宋_GBK" w:cs="Times New Roman"/>
          <w:b w:val="0"/>
          <w:color w:val="auto"/>
          <w:sz w:val="32"/>
          <w:szCs w:val="32"/>
          <w:highlight w:val="none"/>
          <w:lang w:eastAsia="zh-CN"/>
        </w:rPr>
        <w:t>较上年</w:t>
      </w:r>
      <w:r>
        <w:rPr>
          <w:rFonts w:hint="default" w:ascii="Times New Roman" w:hAnsi="Times New Roman" w:eastAsia="方正仿宋_GBK" w:cs="Times New Roman"/>
          <w:b w:val="0"/>
          <w:sz w:val="32"/>
          <w:szCs w:val="32"/>
          <w:highlight w:val="none"/>
        </w:rPr>
        <w:t>减少</w:t>
      </w:r>
      <w:r>
        <w:rPr>
          <w:rFonts w:hint="default" w:ascii="Times New Roman" w:hAnsi="Times New Roman" w:eastAsia="方正仿宋_GBK" w:cs="Times New Roman"/>
          <w:color w:val="000000"/>
          <w:sz w:val="32"/>
          <w:szCs w:val="32"/>
          <w:highlight w:val="none"/>
          <w:lang w:val="en-US" w:eastAsia="zh-CN"/>
        </w:rPr>
        <w:t>。</w:t>
      </w:r>
    </w:p>
    <w:p w14:paraId="25BD213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12.住房保障支出（类）住房改革支出（款）住房公积金（项）：支出决算数为189.73万元，比上年决算减少14.09万元，下降6.91%，</w:t>
      </w:r>
      <w:r>
        <w:rPr>
          <w:rFonts w:hint="default" w:ascii="Times New Roman" w:hAnsi="Times New Roman" w:eastAsia="方正仿宋_GBK" w:cs="Times New Roman"/>
          <w:b w:val="0"/>
          <w:sz w:val="32"/>
          <w:szCs w:val="32"/>
          <w:highlight w:val="none"/>
        </w:rPr>
        <w:t>主要原因是：</w:t>
      </w:r>
      <w:r>
        <w:rPr>
          <w:rFonts w:hint="default" w:ascii="Times New Roman" w:hAnsi="Times New Roman" w:eastAsia="方正仿宋_GBK" w:cs="Times New Roman"/>
          <w:b w:val="0"/>
          <w:sz w:val="32"/>
          <w:szCs w:val="32"/>
        </w:rPr>
        <w:t>在职人员减少，</w:t>
      </w:r>
      <w:r>
        <w:rPr>
          <w:rFonts w:hint="default" w:ascii="Times New Roman" w:hAnsi="Times New Roman" w:eastAsia="方正仿宋_GBK" w:cs="Times New Roman"/>
          <w:b w:val="0"/>
          <w:sz w:val="32"/>
          <w:szCs w:val="32"/>
          <w:highlight w:val="none"/>
        </w:rPr>
        <w:t>支出</w:t>
      </w:r>
      <w:r>
        <w:rPr>
          <w:rFonts w:hint="eastAsia" w:ascii="Times New Roman" w:hAnsi="Times New Roman" w:eastAsia="方正仿宋_GBK" w:cs="Times New Roman"/>
          <w:b w:val="0"/>
          <w:color w:val="auto"/>
          <w:sz w:val="32"/>
          <w:szCs w:val="32"/>
          <w:highlight w:val="none"/>
          <w:lang w:eastAsia="zh-CN"/>
        </w:rPr>
        <w:t>较上年</w:t>
      </w:r>
      <w:r>
        <w:rPr>
          <w:rFonts w:hint="default" w:ascii="Times New Roman" w:hAnsi="Times New Roman" w:eastAsia="方正仿宋_GBK" w:cs="Times New Roman"/>
          <w:b w:val="0"/>
          <w:sz w:val="32"/>
          <w:szCs w:val="32"/>
        </w:rPr>
        <w:t>减少</w:t>
      </w:r>
      <w:r>
        <w:rPr>
          <w:rFonts w:hint="default" w:ascii="Times New Roman" w:hAnsi="Times New Roman" w:eastAsia="方正仿宋_GBK" w:cs="Times New Roman"/>
          <w:color w:val="auto"/>
          <w:sz w:val="32"/>
          <w:szCs w:val="32"/>
          <w:highlight w:val="none"/>
          <w:lang w:val="en-US" w:eastAsia="zh-CN"/>
        </w:rPr>
        <w:t>。</w:t>
      </w:r>
    </w:p>
    <w:p w14:paraId="43309B0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六、一般公共预算财政拨款基本支出决算情况说明</w:t>
      </w:r>
    </w:p>
    <w:p w14:paraId="019C060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2025年度一般公共预算财政拨款基本支出3,757.36万元，其中：</w:t>
      </w:r>
      <w:r>
        <w:rPr>
          <w:rFonts w:hint="default" w:ascii="Times New Roman" w:hAnsi="Times New Roman" w:eastAsia="方正仿宋_GBK" w:cs="Times New Roman"/>
          <w:b/>
          <w:bCs/>
          <w:sz w:val="32"/>
          <w:szCs w:val="32"/>
        </w:rPr>
        <w:t>人员经费3,245.78万元，</w:t>
      </w:r>
      <w:r>
        <w:rPr>
          <w:rFonts w:hint="default" w:ascii="Times New Roman" w:hAnsi="Times New Roman" w:eastAsia="方正仿宋_GBK" w:cs="Times New Roman"/>
          <w:b w:val="0"/>
          <w:sz w:val="32"/>
          <w:szCs w:val="32"/>
        </w:rPr>
        <w:t>包括：基本工资、津贴补贴、奖金、绩效工资、机关事业单位基本养老保险缴费、职业年金缴费、职工基本医疗保险缴费、公务员医疗补助缴费、其他社会保障缴费、住房公积金、其他工资福利支出、离休费、退休费、抚恤金和其他对个人和家庭的补助。</w:t>
      </w:r>
    </w:p>
    <w:p w14:paraId="696C109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公用经费511.57万元，</w:t>
      </w:r>
      <w:r>
        <w:rPr>
          <w:rFonts w:hint="default" w:ascii="Times New Roman" w:hAnsi="Times New Roman" w:eastAsia="方正仿宋_GBK" w:cs="Times New Roman"/>
          <w:b w:val="0"/>
          <w:sz w:val="32"/>
          <w:szCs w:val="32"/>
        </w:rPr>
        <w:t>包括：办公费、印刷费、手续费、水费、电费、邮电费、取暖费、物业管理费、差旅费、维修（护）费、会议费、公务接待费、劳务费、委托业务费、工会经费、福利费、公务用车运行维护费和其他商品和服务支出。</w:t>
      </w:r>
    </w:p>
    <w:p w14:paraId="19477C5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七、政府性基金预算财政拨款收入支出决算情况说明</w:t>
      </w:r>
    </w:p>
    <w:p w14:paraId="28E7613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按照党中央、国务院关于党政机关习惯过紧日子的有关要求，厉行节约办一切事业，严控一般性支出。同时坚持有保有</w:t>
      </w:r>
      <w:r>
        <w:rPr>
          <w:rFonts w:hint="default" w:ascii="Times New Roman" w:hAnsi="Times New Roman" w:eastAsia="方正仿宋_GBK" w:cs="Times New Roman"/>
          <w:b w:val="0"/>
          <w:sz w:val="32"/>
          <w:szCs w:val="32"/>
          <w:highlight w:val="none"/>
        </w:rPr>
        <w:t>压，优化支出结构，提高资金使用效率，合理保障</w:t>
      </w:r>
      <w:r>
        <w:rPr>
          <w:rFonts w:hint="eastAsia" w:ascii="Times New Roman" w:hAnsi="Times New Roman" w:eastAsia="方正仿宋_GBK" w:cs="Times New Roman"/>
          <w:b w:val="0"/>
          <w:sz w:val="32"/>
          <w:szCs w:val="32"/>
          <w:highlight w:val="none"/>
          <w:lang w:eastAsia="zh-CN"/>
        </w:rPr>
        <w:t>老年人福利、残疾人福利、社会公益事业</w:t>
      </w:r>
      <w:r>
        <w:rPr>
          <w:rFonts w:hint="default" w:ascii="Times New Roman" w:hAnsi="Times New Roman" w:eastAsia="方正仿宋_GBK" w:cs="Times New Roman"/>
          <w:b w:val="0"/>
          <w:sz w:val="32"/>
          <w:szCs w:val="32"/>
          <w:highlight w:val="none"/>
        </w:rPr>
        <w:t>等重点支出，体现在有关支出科目中。</w:t>
      </w:r>
    </w:p>
    <w:p w14:paraId="2756D77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2025年度政府性基金预算财政拨款收入总计2,587.86万元，</w:t>
      </w:r>
      <w:r>
        <w:rPr>
          <w:rFonts w:hint="default" w:ascii="Times New Roman" w:hAnsi="Times New Roman" w:eastAsia="方正仿宋_GBK" w:cs="Times New Roman"/>
          <w:b w:val="0"/>
          <w:sz w:val="32"/>
          <w:szCs w:val="32"/>
        </w:rPr>
        <w:t>其中：年初结转和结余0.00万元，本年收入2,587.86万元。</w:t>
      </w:r>
      <w:r>
        <w:rPr>
          <w:rFonts w:hint="default" w:ascii="Times New Roman" w:hAnsi="Times New Roman" w:eastAsia="方正仿宋_GBK" w:cs="Times New Roman"/>
          <w:b/>
          <w:bCs/>
          <w:sz w:val="32"/>
          <w:szCs w:val="32"/>
        </w:rPr>
        <w:t>政府性基金预算财政拨款支出总计2,587.86万元，</w:t>
      </w:r>
      <w:r>
        <w:rPr>
          <w:rFonts w:hint="default" w:ascii="Times New Roman" w:hAnsi="Times New Roman" w:eastAsia="方正仿宋_GBK" w:cs="Times New Roman"/>
          <w:b w:val="0"/>
          <w:sz w:val="32"/>
          <w:szCs w:val="32"/>
        </w:rPr>
        <w:t>其中：年末结转和结余0.00万元，本年支出2,587.86万元。</w:t>
      </w:r>
    </w:p>
    <w:p w14:paraId="5D13889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Times New Roman" w:hAnsi="Times New Roman" w:eastAsia="方正仿宋_GBK" w:cs="Times New Roman"/>
          <w:b w:val="0"/>
          <w:sz w:val="32"/>
          <w:szCs w:val="32"/>
          <w:lang w:eastAsia="zh-CN"/>
        </w:rPr>
      </w:pPr>
      <w:r>
        <w:rPr>
          <w:rFonts w:hint="default" w:ascii="Times New Roman" w:hAnsi="Times New Roman" w:eastAsia="方正仿宋_GBK" w:cs="Times New Roman"/>
          <w:b/>
          <w:bCs/>
          <w:sz w:val="32"/>
          <w:szCs w:val="32"/>
        </w:rPr>
        <w:t>政府性基金预算财政拨款收入支出总体与上年相比，</w:t>
      </w:r>
      <w:r>
        <w:rPr>
          <w:rFonts w:hint="default" w:ascii="Times New Roman" w:hAnsi="Times New Roman" w:eastAsia="方正仿宋_GBK" w:cs="Times New Roman"/>
          <w:b w:val="0"/>
          <w:sz w:val="32"/>
          <w:szCs w:val="32"/>
        </w:rPr>
        <w:t>减少970.51万元，下降27.27%，</w:t>
      </w:r>
      <w:r>
        <w:rPr>
          <w:rFonts w:hint="default" w:ascii="Times New Roman" w:hAnsi="Times New Roman" w:eastAsia="方正仿宋_GBK" w:cs="Times New Roman"/>
          <w:b w:val="0"/>
          <w:sz w:val="32"/>
          <w:szCs w:val="32"/>
          <w:highlight w:val="none"/>
        </w:rPr>
        <w:t>主要原因是：</w:t>
      </w:r>
      <w:r>
        <w:rPr>
          <w:rFonts w:hint="default" w:ascii="Times New Roman" w:hAnsi="Times New Roman" w:eastAsia="方正仿宋_GBK" w:cs="Times New Roman"/>
          <w:b w:val="0"/>
          <w:bCs w:val="0"/>
          <w:color w:val="000000"/>
          <w:sz w:val="32"/>
          <w:szCs w:val="32"/>
          <w:highlight w:val="none"/>
          <w:lang w:val="en-US" w:eastAsia="zh-CN"/>
        </w:rPr>
        <w:t>2025年支持乡村振兴公益事业发展、养老服务能力提升项目、政府购买精康融合行动服务等项目资金较上年减少，</w:t>
      </w:r>
      <w:r>
        <w:rPr>
          <w:rFonts w:hint="default" w:ascii="Times New Roman" w:hAnsi="Times New Roman" w:eastAsia="方正仿宋_GBK" w:cs="Times New Roman"/>
          <w:b w:val="0"/>
          <w:sz w:val="32"/>
          <w:szCs w:val="32"/>
          <w:highlight w:val="none"/>
        </w:rPr>
        <w:t>支出</w:t>
      </w:r>
      <w:r>
        <w:rPr>
          <w:rFonts w:hint="eastAsia" w:ascii="Times New Roman" w:hAnsi="Times New Roman" w:eastAsia="方正仿宋_GBK" w:cs="Times New Roman"/>
          <w:b w:val="0"/>
          <w:color w:val="auto"/>
          <w:sz w:val="32"/>
          <w:szCs w:val="32"/>
          <w:highlight w:val="none"/>
          <w:lang w:eastAsia="zh-CN"/>
        </w:rPr>
        <w:t>较上年</w:t>
      </w:r>
      <w:r>
        <w:rPr>
          <w:rFonts w:hint="default" w:ascii="Times New Roman" w:hAnsi="Times New Roman" w:eastAsia="方正仿宋_GBK" w:cs="Times New Roman"/>
          <w:b w:val="0"/>
          <w:sz w:val="32"/>
          <w:szCs w:val="32"/>
        </w:rPr>
        <w:t>减少</w:t>
      </w:r>
      <w:r>
        <w:rPr>
          <w:rFonts w:hint="eastAsia" w:ascii="Times New Roman" w:hAnsi="Times New Roman" w:eastAsia="方正仿宋_GBK" w:cs="Times New Roman"/>
          <w:b w:val="0"/>
          <w:sz w:val="32"/>
          <w:szCs w:val="32"/>
          <w:lang w:eastAsia="zh-CN"/>
        </w:rPr>
        <w:t>。</w:t>
      </w:r>
    </w:p>
    <w:p w14:paraId="5089AEB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eastAsia" w:ascii="方正仿宋_GBK" w:hAnsi="方正仿宋_GBK" w:eastAsia="方正仿宋_GBK" w:cs="方正仿宋_GBK"/>
          <w:b/>
          <w:bCs/>
          <w:sz w:val="32"/>
          <w:szCs w:val="32"/>
        </w:rPr>
        <w:t>与年初预算相比，</w:t>
      </w:r>
      <w:r>
        <w:rPr>
          <w:rFonts w:hint="eastAsia" w:ascii="方正仿宋_GBK" w:hAnsi="方正仿宋_GBK" w:eastAsia="方正仿宋_GBK" w:cs="方正仿宋_GBK"/>
          <w:b w:val="0"/>
          <w:sz w:val="32"/>
          <w:szCs w:val="32"/>
        </w:rPr>
        <w:t>年初预算数</w:t>
      </w:r>
      <w:r>
        <w:rPr>
          <w:rFonts w:hint="default" w:ascii="Times New Roman" w:hAnsi="Times New Roman" w:eastAsia="方正仿宋_GBK" w:cs="Times New Roman"/>
          <w:b w:val="0"/>
          <w:sz w:val="32"/>
          <w:szCs w:val="32"/>
        </w:rPr>
        <w:t>2,331.10万元，决算数2,587.86万元，预决算差异率11.01%，</w:t>
      </w:r>
      <w:r>
        <w:rPr>
          <w:rFonts w:hint="default" w:ascii="Times New Roman" w:hAnsi="Times New Roman" w:eastAsia="方正仿宋_GBK" w:cs="Times New Roman"/>
          <w:b w:val="0"/>
          <w:sz w:val="32"/>
          <w:szCs w:val="32"/>
          <w:highlight w:val="none"/>
        </w:rPr>
        <w:t>主要原因</w:t>
      </w:r>
      <w:r>
        <w:rPr>
          <w:rFonts w:hint="default" w:ascii="Times New Roman" w:hAnsi="Times New Roman" w:eastAsia="方正仿宋_GBK" w:cs="Times New Roman"/>
          <w:b w:val="0"/>
          <w:sz w:val="32"/>
          <w:szCs w:val="32"/>
          <w:highlight w:val="none"/>
          <w:lang w:eastAsia="zh-CN"/>
        </w:rPr>
        <w:t>：</w:t>
      </w:r>
      <w:r>
        <w:rPr>
          <w:rFonts w:hint="eastAsia" w:ascii="Times New Roman" w:hAnsi="Times New Roman" w:eastAsia="方正仿宋_GBK" w:cs="Times New Roman"/>
          <w:b w:val="0"/>
          <w:sz w:val="32"/>
          <w:szCs w:val="32"/>
          <w:highlight w:val="none"/>
          <w:lang w:eastAsia="zh-CN"/>
        </w:rPr>
        <w:t>自治区财政年中下达</w:t>
      </w:r>
      <w:r>
        <w:rPr>
          <w:rFonts w:hint="default" w:ascii="Times New Roman" w:hAnsi="Times New Roman" w:eastAsia="方正仿宋_GBK" w:cs="Times New Roman"/>
          <w:b w:val="0"/>
          <w:sz w:val="32"/>
          <w:szCs w:val="32"/>
          <w:highlight w:val="none"/>
        </w:rPr>
        <w:t>残疾人康复辅具机构技术改造</w:t>
      </w:r>
      <w:r>
        <w:rPr>
          <w:rFonts w:hint="default" w:ascii="Times New Roman" w:hAnsi="Times New Roman" w:eastAsia="方正仿宋_GBK" w:cs="Times New Roman"/>
          <w:b w:val="0"/>
          <w:sz w:val="32"/>
          <w:szCs w:val="32"/>
          <w:highlight w:val="none"/>
          <w:lang w:eastAsia="zh-CN"/>
        </w:rPr>
        <w:t>项目</w:t>
      </w:r>
      <w:r>
        <w:rPr>
          <w:rFonts w:hint="eastAsia" w:ascii="Times New Roman" w:hAnsi="Times New Roman" w:eastAsia="方正仿宋_GBK" w:cs="Times New Roman"/>
          <w:b w:val="0"/>
          <w:sz w:val="32"/>
          <w:szCs w:val="32"/>
          <w:highlight w:val="none"/>
          <w:lang w:eastAsia="zh-CN"/>
        </w:rPr>
        <w:t>资金</w:t>
      </w:r>
      <w:r>
        <w:rPr>
          <w:rFonts w:hint="default" w:ascii="Times New Roman" w:hAnsi="Times New Roman" w:eastAsia="方正仿宋_GBK" w:cs="Times New Roman"/>
          <w:b w:val="0"/>
          <w:sz w:val="32"/>
          <w:szCs w:val="32"/>
          <w:highlight w:val="none"/>
        </w:rPr>
        <w:t>。</w:t>
      </w:r>
    </w:p>
    <w:p w14:paraId="64E01AC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政府性基金预算财政拨款本年支出2,587.86万元。具体情况如下：</w:t>
      </w:r>
    </w:p>
    <w:p w14:paraId="58DCA44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yellow"/>
        </w:rPr>
      </w:pPr>
      <w:r>
        <w:rPr>
          <w:rFonts w:hint="default" w:ascii="Times New Roman" w:hAnsi="Times New Roman" w:eastAsia="方正仿宋_GBK" w:cs="Times New Roman"/>
          <w:b w:val="0"/>
          <w:sz w:val="32"/>
          <w:szCs w:val="32"/>
        </w:rPr>
        <w:t>1</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其他支出（类）彩票公益金安排的支出（款）用于社会福利的彩票公益金支出（项）：支出决算数为2,587.86万元，比上年决算减少970.51万元，下降27.27%</w:t>
      </w:r>
      <w:r>
        <w:rPr>
          <w:rFonts w:hint="default" w:ascii="Times New Roman" w:hAnsi="Times New Roman" w:eastAsia="方正仿宋_GBK" w:cs="Times New Roman"/>
          <w:b w:val="0"/>
          <w:sz w:val="32"/>
          <w:szCs w:val="32"/>
          <w:highlight w:val="none"/>
        </w:rPr>
        <w:t>，主要原因是：</w:t>
      </w:r>
      <w:r>
        <w:rPr>
          <w:rFonts w:hint="default" w:ascii="Times New Roman" w:hAnsi="Times New Roman" w:eastAsia="方正仿宋_GBK" w:cs="Times New Roman"/>
          <w:b w:val="0"/>
          <w:bCs w:val="0"/>
          <w:color w:val="000000"/>
          <w:sz w:val="32"/>
          <w:szCs w:val="32"/>
          <w:highlight w:val="none"/>
          <w:lang w:val="en-US" w:eastAsia="zh-CN"/>
        </w:rPr>
        <w:t>2025年支持乡村振兴公益事业发展、养老服务能力提升项目、政府购买精康融合行动服务等项目资金较上年减少，</w:t>
      </w:r>
      <w:r>
        <w:rPr>
          <w:rFonts w:hint="default" w:ascii="Times New Roman" w:hAnsi="Times New Roman" w:eastAsia="方正仿宋_GBK" w:cs="Times New Roman"/>
          <w:b w:val="0"/>
          <w:sz w:val="32"/>
          <w:szCs w:val="32"/>
          <w:highlight w:val="none"/>
        </w:rPr>
        <w:t>支出</w:t>
      </w:r>
      <w:r>
        <w:rPr>
          <w:rFonts w:hint="eastAsia" w:ascii="Times New Roman" w:hAnsi="Times New Roman" w:eastAsia="方正仿宋_GBK" w:cs="Times New Roman"/>
          <w:b w:val="0"/>
          <w:color w:val="auto"/>
          <w:sz w:val="32"/>
          <w:szCs w:val="32"/>
          <w:highlight w:val="none"/>
          <w:lang w:eastAsia="zh-CN"/>
        </w:rPr>
        <w:t>较上年</w:t>
      </w:r>
      <w:r>
        <w:rPr>
          <w:rFonts w:hint="default" w:ascii="Times New Roman" w:hAnsi="Times New Roman" w:eastAsia="方正仿宋_GBK" w:cs="Times New Roman"/>
          <w:b w:val="0"/>
          <w:sz w:val="32"/>
          <w:szCs w:val="32"/>
        </w:rPr>
        <w:t>减少</w:t>
      </w:r>
      <w:r>
        <w:rPr>
          <w:rFonts w:hint="eastAsia" w:ascii="Times New Roman" w:hAnsi="Times New Roman" w:eastAsia="方正仿宋_GBK" w:cs="Times New Roman"/>
          <w:b w:val="0"/>
          <w:sz w:val="32"/>
          <w:szCs w:val="32"/>
          <w:lang w:eastAsia="zh-CN"/>
        </w:rPr>
        <w:t>。</w:t>
      </w:r>
    </w:p>
    <w:p w14:paraId="08CE351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八、国有资本经营预算财政拨款收入支出决算情况说明</w:t>
      </w:r>
    </w:p>
    <w:p w14:paraId="44C8657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本单位本年度无国有资本经营预算财政拨款收入、支出及结转和结余，国有资本经营预算财政拨款收入支出决算表为空表。</w:t>
      </w:r>
    </w:p>
    <w:p w14:paraId="5A485BD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九、财政拨款“三公”经费支出决算情况说明</w:t>
      </w:r>
    </w:p>
    <w:p w14:paraId="5A2410D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2025年度财政拨款“三公”经费支出41.32万元，</w:t>
      </w:r>
      <w:r>
        <w:rPr>
          <w:rFonts w:hint="default" w:ascii="Times New Roman" w:hAnsi="Times New Roman" w:eastAsia="方正仿宋_GBK" w:cs="Times New Roman"/>
          <w:b w:val="0"/>
          <w:sz w:val="32"/>
          <w:szCs w:val="32"/>
        </w:rPr>
        <w:t>比上年减少0.64万元，下降1.53%，</w:t>
      </w:r>
      <w:r>
        <w:rPr>
          <w:rFonts w:hint="default" w:ascii="Times New Roman" w:hAnsi="Times New Roman" w:eastAsia="方正仿宋_GBK" w:cs="Times New Roman"/>
          <w:b w:val="0"/>
          <w:sz w:val="32"/>
          <w:szCs w:val="32"/>
          <w:highlight w:val="none"/>
        </w:rPr>
        <w:t>主要原因是：公务接待费支出比上年减少0.64万元。</w:t>
      </w:r>
      <w:r>
        <w:rPr>
          <w:rFonts w:hint="default" w:ascii="Times New Roman" w:hAnsi="Times New Roman" w:eastAsia="方正仿宋_GBK" w:cs="Times New Roman"/>
          <w:b w:val="0"/>
          <w:sz w:val="32"/>
          <w:szCs w:val="32"/>
        </w:rPr>
        <w:t>其中：因公出国（境）费用支出0.00万元,占0.00%，与上年相比无变化，主要原因是：</w:t>
      </w:r>
      <w:r>
        <w:rPr>
          <w:rFonts w:hint="default" w:ascii="Times New Roman" w:hAnsi="Times New Roman" w:eastAsia="方正仿宋_GBK" w:cs="Times New Roman"/>
          <w:b w:val="0"/>
          <w:sz w:val="32"/>
          <w:szCs w:val="32"/>
          <w:lang w:eastAsia="zh-CN"/>
        </w:rPr>
        <w:t>我单位本年度无</w:t>
      </w:r>
      <w:r>
        <w:rPr>
          <w:rFonts w:hint="default" w:ascii="Times New Roman" w:hAnsi="Times New Roman" w:eastAsia="方正仿宋_GBK" w:cs="Times New Roman"/>
          <w:b w:val="0"/>
          <w:sz w:val="32"/>
          <w:szCs w:val="32"/>
        </w:rPr>
        <w:t>因公出国（境）活动，无因公出国（境）费支出；公务用车购置及运行维护费支出40.00万元，占96.81%，与上年相比无变化，主要原因是</w:t>
      </w:r>
      <w:r>
        <w:rPr>
          <w:rFonts w:hint="default" w:ascii="Times New Roman" w:hAnsi="Times New Roman" w:eastAsia="方正仿宋_GBK" w:cs="Times New Roman"/>
          <w:b w:val="0"/>
          <w:sz w:val="32"/>
          <w:szCs w:val="32"/>
          <w:highlight w:val="none"/>
        </w:rPr>
        <w:t>：</w:t>
      </w:r>
      <w:r>
        <w:rPr>
          <w:rFonts w:hint="eastAsia" w:ascii="Times New Roman" w:hAnsi="Times New Roman" w:eastAsia="方正仿宋_GBK" w:cs="Times New Roman"/>
          <w:b w:val="0"/>
          <w:sz w:val="32"/>
          <w:szCs w:val="32"/>
          <w:highlight w:val="none"/>
          <w:lang w:val="en-US" w:eastAsia="zh-CN"/>
        </w:rPr>
        <w:t>厉行节约，严格公务用车管理，严控公务用车支出，支出与上年一致</w:t>
      </w:r>
      <w:r>
        <w:rPr>
          <w:rFonts w:hint="default" w:ascii="Times New Roman" w:hAnsi="Times New Roman" w:eastAsia="方正仿宋_GBK" w:cs="Times New Roman"/>
          <w:b w:val="0"/>
          <w:sz w:val="32"/>
          <w:szCs w:val="32"/>
        </w:rPr>
        <w:t>；公务接待费支出1.32万元，占3.19%，比上年减少0.64万元，下降32.65%，</w:t>
      </w:r>
      <w:r>
        <w:rPr>
          <w:rFonts w:hint="default" w:ascii="Times New Roman" w:hAnsi="Times New Roman" w:eastAsia="方正仿宋_GBK" w:cs="Times New Roman"/>
          <w:b w:val="0"/>
          <w:sz w:val="32"/>
          <w:szCs w:val="32"/>
          <w:highlight w:val="none"/>
        </w:rPr>
        <w:t>主要原因是：</w:t>
      </w:r>
      <w:r>
        <w:rPr>
          <w:rFonts w:hint="default" w:ascii="Times New Roman" w:hAnsi="Times New Roman" w:eastAsia="方正仿宋_GBK" w:cs="Times New Roman"/>
          <w:snapToGrid/>
          <w:spacing w:val="0"/>
          <w:kern w:val="2"/>
          <w:sz w:val="32"/>
          <w:szCs w:val="32"/>
          <w:highlight w:val="none"/>
          <w:lang w:val="en-US" w:eastAsia="zh-CN" w:bidi="ar-SA"/>
        </w:rPr>
        <w:t>落实</w:t>
      </w:r>
      <w:r>
        <w:rPr>
          <w:rFonts w:hint="eastAsia" w:ascii="Times New Roman" w:hAnsi="Times New Roman" w:eastAsia="方正仿宋_GBK" w:cs="Times New Roman"/>
          <w:snapToGrid/>
          <w:spacing w:val="0"/>
          <w:kern w:val="2"/>
          <w:sz w:val="32"/>
          <w:szCs w:val="32"/>
          <w:highlight w:val="none"/>
          <w:lang w:val="en-US" w:eastAsia="zh-CN" w:bidi="ar-SA"/>
        </w:rPr>
        <w:t>党政机关带头“过紧日子”要求</w:t>
      </w:r>
      <w:r>
        <w:rPr>
          <w:rFonts w:hint="default" w:ascii="Times New Roman" w:hAnsi="Times New Roman" w:eastAsia="方正仿宋_GBK" w:cs="Times New Roman"/>
          <w:snapToGrid/>
          <w:spacing w:val="0"/>
          <w:kern w:val="2"/>
          <w:sz w:val="32"/>
          <w:szCs w:val="32"/>
          <w:highlight w:val="none"/>
          <w:lang w:val="en-US" w:eastAsia="zh-CN" w:bidi="ar-SA"/>
        </w:rPr>
        <w:t>，严格</w:t>
      </w:r>
      <w:r>
        <w:rPr>
          <w:rFonts w:hint="default" w:ascii="Times New Roman" w:hAnsi="Times New Roman" w:eastAsia="方正仿宋_GBK" w:cs="Times New Roman"/>
          <w:b w:val="0"/>
          <w:sz w:val="32"/>
          <w:szCs w:val="32"/>
        </w:rPr>
        <w:t>公务接待</w:t>
      </w:r>
      <w:r>
        <w:rPr>
          <w:rFonts w:hint="eastAsia" w:ascii="Times New Roman" w:hAnsi="Times New Roman" w:eastAsia="方正仿宋_GBK" w:cs="Times New Roman"/>
          <w:snapToGrid/>
          <w:spacing w:val="0"/>
          <w:kern w:val="2"/>
          <w:sz w:val="32"/>
          <w:szCs w:val="32"/>
          <w:highlight w:val="none"/>
          <w:lang w:val="en-US" w:eastAsia="zh-CN" w:bidi="ar-SA"/>
        </w:rPr>
        <w:t>管理</w:t>
      </w:r>
      <w:r>
        <w:rPr>
          <w:rFonts w:hint="default" w:ascii="Times New Roman" w:hAnsi="Times New Roman" w:eastAsia="方正仿宋_GBK" w:cs="Times New Roman"/>
          <w:snapToGrid/>
          <w:spacing w:val="0"/>
          <w:kern w:val="2"/>
          <w:sz w:val="32"/>
          <w:szCs w:val="32"/>
          <w:highlight w:val="none"/>
          <w:lang w:val="en-US" w:eastAsia="zh-CN" w:bidi="ar-SA"/>
        </w:rPr>
        <w:t>，</w:t>
      </w:r>
      <w:r>
        <w:rPr>
          <w:rFonts w:hint="eastAsia" w:ascii="Times New Roman" w:hAnsi="Times New Roman" w:eastAsia="方正仿宋_GBK" w:cs="Times New Roman"/>
          <w:b w:val="0"/>
          <w:sz w:val="32"/>
          <w:szCs w:val="32"/>
          <w:highlight w:val="none"/>
          <w:lang w:val="en-US" w:eastAsia="zh-CN"/>
        </w:rPr>
        <w:t>严控</w:t>
      </w:r>
      <w:r>
        <w:rPr>
          <w:rFonts w:hint="default" w:ascii="Times New Roman" w:hAnsi="Times New Roman" w:eastAsia="方正仿宋_GBK" w:cs="Times New Roman"/>
          <w:b w:val="0"/>
          <w:sz w:val="32"/>
          <w:szCs w:val="32"/>
        </w:rPr>
        <w:t>公务接待</w:t>
      </w:r>
      <w:r>
        <w:rPr>
          <w:rFonts w:hint="default" w:ascii="Times New Roman" w:hAnsi="Times New Roman" w:eastAsia="方正仿宋_GBK" w:cs="Times New Roman"/>
          <w:snapToGrid/>
          <w:spacing w:val="0"/>
          <w:kern w:val="2"/>
          <w:sz w:val="32"/>
          <w:szCs w:val="32"/>
          <w:highlight w:val="none"/>
          <w:lang w:val="en-US" w:eastAsia="zh-CN" w:bidi="ar-SA"/>
        </w:rPr>
        <w:t>支出</w:t>
      </w:r>
      <w:r>
        <w:rPr>
          <w:rFonts w:hint="eastAsia" w:ascii="Times New Roman" w:hAnsi="Times New Roman" w:eastAsia="方正仿宋_GBK" w:cs="Times New Roman"/>
          <w:snapToGrid/>
          <w:spacing w:val="0"/>
          <w:kern w:val="2"/>
          <w:sz w:val="32"/>
          <w:szCs w:val="32"/>
          <w:highlight w:val="none"/>
          <w:lang w:val="en-US" w:eastAsia="zh-CN" w:bidi="ar-SA"/>
        </w:rPr>
        <w:t>，</w:t>
      </w:r>
      <w:r>
        <w:rPr>
          <w:rFonts w:hint="default" w:ascii="Times New Roman" w:hAnsi="Times New Roman" w:eastAsia="方正仿宋_GBK" w:cs="Times New Roman"/>
          <w:b w:val="0"/>
          <w:sz w:val="32"/>
          <w:szCs w:val="32"/>
          <w:highlight w:val="none"/>
        </w:rPr>
        <w:t>支出</w:t>
      </w:r>
      <w:r>
        <w:rPr>
          <w:rFonts w:hint="eastAsia" w:ascii="Times New Roman" w:hAnsi="Times New Roman" w:eastAsia="方正仿宋_GBK" w:cs="Times New Roman"/>
          <w:b w:val="0"/>
          <w:color w:val="auto"/>
          <w:sz w:val="32"/>
          <w:szCs w:val="32"/>
          <w:highlight w:val="none"/>
          <w:lang w:eastAsia="zh-CN"/>
        </w:rPr>
        <w:t>较上年</w:t>
      </w:r>
      <w:r>
        <w:rPr>
          <w:rFonts w:hint="default" w:ascii="Times New Roman" w:hAnsi="Times New Roman" w:eastAsia="方正仿宋_GBK" w:cs="Times New Roman"/>
          <w:b w:val="0"/>
          <w:sz w:val="32"/>
          <w:szCs w:val="32"/>
        </w:rPr>
        <w:t>减少</w:t>
      </w:r>
      <w:r>
        <w:rPr>
          <w:rFonts w:hint="default" w:ascii="Times New Roman" w:hAnsi="Times New Roman" w:eastAsia="方正仿宋_GBK" w:cs="Times New Roman"/>
          <w:b w:val="0"/>
          <w:sz w:val="32"/>
          <w:szCs w:val="32"/>
          <w:highlight w:val="none"/>
        </w:rPr>
        <w:t>。</w:t>
      </w:r>
    </w:p>
    <w:p w14:paraId="56AC28B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具体情况如下：</w:t>
      </w:r>
    </w:p>
    <w:p w14:paraId="62A20E7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因公出国（境）费用0.00万元，开支内容包括我单位无因公出国（境）费支出。单位全年安排的因公出国（境）团组0个，因公出国（境）0人次。</w:t>
      </w:r>
    </w:p>
    <w:p w14:paraId="0983B14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公务用车购置及运行维护费40.00万元，其中：公务用车购置费0.00万元，公务用车运行维护费40.00万元。公务用车运行维护费开支内容包括公务用车燃料费、维修费、保险费等支出。公务用车购置数0辆，公务用车保有量17辆。国有资产占用情况中固定资产车辆61辆，与公务用车保有量差异原因是：国有资产占用情况中固定资产车辆存在历史遗留问题待报废车辆。</w:t>
      </w:r>
    </w:p>
    <w:p w14:paraId="58EFFCA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公务接待费1.32万元，开支内容包括</w:t>
      </w:r>
      <w:r>
        <w:rPr>
          <w:rFonts w:hint="default" w:ascii="Times New Roman" w:hAnsi="Times New Roman" w:eastAsia="方正仿宋_GBK" w:cs="Times New Roman"/>
          <w:b w:val="0"/>
          <w:sz w:val="32"/>
          <w:szCs w:val="32"/>
          <w:lang w:eastAsia="zh-CN"/>
        </w:rPr>
        <w:t>接待兄弟省份民政厅等单位前来交流调研费用</w:t>
      </w:r>
      <w:r>
        <w:rPr>
          <w:rFonts w:hint="default" w:ascii="Times New Roman" w:hAnsi="Times New Roman" w:eastAsia="方正仿宋_GBK" w:cs="Times New Roman"/>
          <w:b w:val="0"/>
          <w:sz w:val="32"/>
          <w:szCs w:val="32"/>
        </w:rPr>
        <w:t>。单位全年安排的国内公务接待13批次，101人次。</w:t>
      </w:r>
    </w:p>
    <w:p w14:paraId="28D8C4F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与全年预算相比，</w:t>
      </w:r>
      <w:r>
        <w:rPr>
          <w:rFonts w:hint="default" w:ascii="Times New Roman" w:hAnsi="Times New Roman" w:eastAsia="方正仿宋_GBK" w:cs="Times New Roman"/>
          <w:b w:val="0"/>
          <w:sz w:val="32"/>
          <w:szCs w:val="32"/>
        </w:rPr>
        <w:t>财政拨款“三公”经费支出全年预算数42.00万元，决算数41.32万元，预决算差异率-1.62%，</w:t>
      </w:r>
      <w:r>
        <w:rPr>
          <w:rFonts w:hint="default" w:ascii="Times New Roman" w:hAnsi="Times New Roman" w:eastAsia="方正仿宋_GBK" w:cs="Times New Roman"/>
          <w:b w:val="0"/>
          <w:sz w:val="32"/>
          <w:szCs w:val="32"/>
          <w:highlight w:val="none"/>
        </w:rPr>
        <w:t>主要原因是：</w:t>
      </w:r>
      <w:r>
        <w:rPr>
          <w:rFonts w:hint="default" w:ascii="Times New Roman" w:hAnsi="Times New Roman" w:eastAsia="方正仿宋_GBK" w:cs="Times New Roman"/>
          <w:snapToGrid/>
          <w:spacing w:val="0"/>
          <w:kern w:val="2"/>
          <w:sz w:val="32"/>
          <w:szCs w:val="32"/>
          <w:highlight w:val="none"/>
          <w:lang w:val="en-US" w:eastAsia="zh-CN" w:bidi="ar-SA"/>
        </w:rPr>
        <w:t>落实</w:t>
      </w:r>
      <w:r>
        <w:rPr>
          <w:rFonts w:hint="eastAsia" w:ascii="Times New Roman" w:hAnsi="Times New Roman" w:eastAsia="方正仿宋_GBK" w:cs="Times New Roman"/>
          <w:snapToGrid/>
          <w:spacing w:val="0"/>
          <w:kern w:val="2"/>
          <w:sz w:val="32"/>
          <w:szCs w:val="32"/>
          <w:highlight w:val="none"/>
          <w:lang w:val="en-US" w:eastAsia="zh-CN" w:bidi="ar-SA"/>
        </w:rPr>
        <w:t>中央八项规定和党政机关带头“过紧日子”要求</w:t>
      </w:r>
      <w:r>
        <w:rPr>
          <w:rFonts w:hint="default" w:ascii="Times New Roman" w:hAnsi="Times New Roman" w:eastAsia="方正仿宋_GBK" w:cs="Times New Roman"/>
          <w:snapToGrid/>
          <w:spacing w:val="0"/>
          <w:kern w:val="2"/>
          <w:sz w:val="32"/>
          <w:szCs w:val="32"/>
          <w:highlight w:val="none"/>
          <w:lang w:val="en-US" w:eastAsia="zh-CN" w:bidi="ar-SA"/>
        </w:rPr>
        <w:t>，严格</w:t>
      </w:r>
      <w:r>
        <w:rPr>
          <w:rFonts w:hint="default" w:ascii="Times New Roman" w:hAnsi="Times New Roman" w:eastAsia="方正仿宋_GBK" w:cs="Times New Roman"/>
          <w:b w:val="0"/>
          <w:sz w:val="32"/>
          <w:szCs w:val="32"/>
        </w:rPr>
        <w:t>公务接待</w:t>
      </w:r>
      <w:r>
        <w:rPr>
          <w:rFonts w:hint="eastAsia" w:ascii="Times New Roman" w:hAnsi="Times New Roman" w:eastAsia="方正仿宋_GBK" w:cs="Times New Roman"/>
          <w:snapToGrid/>
          <w:spacing w:val="0"/>
          <w:kern w:val="2"/>
          <w:sz w:val="32"/>
          <w:szCs w:val="32"/>
          <w:highlight w:val="none"/>
          <w:lang w:val="en-US" w:eastAsia="zh-CN" w:bidi="ar-SA"/>
        </w:rPr>
        <w:t>审批</w:t>
      </w:r>
      <w:r>
        <w:rPr>
          <w:rFonts w:hint="default" w:ascii="Times New Roman" w:hAnsi="Times New Roman" w:eastAsia="方正仿宋_GBK" w:cs="Times New Roman"/>
          <w:snapToGrid/>
          <w:spacing w:val="0"/>
          <w:kern w:val="2"/>
          <w:sz w:val="32"/>
          <w:szCs w:val="32"/>
          <w:highlight w:val="none"/>
          <w:lang w:val="en-US" w:eastAsia="zh-CN" w:bidi="ar-SA"/>
        </w:rPr>
        <w:t>，压</w:t>
      </w:r>
      <w:r>
        <w:rPr>
          <w:rFonts w:hint="eastAsia" w:ascii="Times New Roman" w:hAnsi="Times New Roman" w:eastAsia="方正仿宋_GBK" w:cs="Times New Roman"/>
          <w:snapToGrid/>
          <w:spacing w:val="0"/>
          <w:kern w:val="2"/>
          <w:sz w:val="32"/>
          <w:szCs w:val="32"/>
          <w:highlight w:val="none"/>
          <w:lang w:val="en-US" w:eastAsia="zh-CN" w:bidi="ar-SA"/>
        </w:rPr>
        <w:t>减</w:t>
      </w:r>
      <w:r>
        <w:rPr>
          <w:rFonts w:hint="default" w:ascii="Times New Roman" w:hAnsi="Times New Roman" w:eastAsia="方正仿宋_GBK" w:cs="Times New Roman"/>
          <w:snapToGrid/>
          <w:spacing w:val="0"/>
          <w:kern w:val="2"/>
          <w:sz w:val="32"/>
          <w:szCs w:val="32"/>
          <w:highlight w:val="none"/>
          <w:lang w:val="en-US" w:eastAsia="zh-CN" w:bidi="ar-SA"/>
        </w:rPr>
        <w:t>公务接待支出</w:t>
      </w:r>
      <w:r>
        <w:rPr>
          <w:rFonts w:hint="default" w:ascii="Times New Roman" w:hAnsi="Times New Roman" w:eastAsia="方正仿宋_GBK" w:cs="Times New Roman"/>
          <w:b w:val="0"/>
          <w:sz w:val="32"/>
          <w:szCs w:val="32"/>
          <w:highlight w:val="none"/>
        </w:rPr>
        <w:t>。</w:t>
      </w:r>
      <w:r>
        <w:rPr>
          <w:rFonts w:hint="default" w:ascii="Times New Roman" w:hAnsi="Times New Roman" w:eastAsia="方正仿宋_GBK" w:cs="Times New Roman"/>
          <w:b w:val="0"/>
          <w:sz w:val="32"/>
          <w:szCs w:val="32"/>
        </w:rPr>
        <w:t>其中：因公出国（境）费用全年预算数0.00万元，决算数0.00万元，预决算差异率0.00%，主要原因是：我单位</w:t>
      </w:r>
      <w:r>
        <w:rPr>
          <w:rFonts w:hint="default" w:ascii="Times New Roman" w:hAnsi="Times New Roman" w:eastAsia="方正仿宋_GBK" w:cs="Times New Roman"/>
          <w:b w:val="0"/>
          <w:sz w:val="32"/>
          <w:szCs w:val="32"/>
          <w:lang w:eastAsia="zh-CN"/>
        </w:rPr>
        <w:t>本年度</w:t>
      </w:r>
      <w:r>
        <w:rPr>
          <w:rFonts w:hint="default" w:ascii="Times New Roman" w:hAnsi="Times New Roman" w:eastAsia="方正仿宋_GBK" w:cs="Times New Roman"/>
          <w:b w:val="0"/>
          <w:sz w:val="32"/>
          <w:szCs w:val="32"/>
        </w:rPr>
        <w:t>无因公出国（境）费支出；公务用车购置费全年预算数0.00万元，决算数0.00万元，预决算差异率0.00%，主要原因是：我单位</w:t>
      </w:r>
      <w:r>
        <w:rPr>
          <w:rFonts w:hint="default" w:ascii="Times New Roman" w:hAnsi="Times New Roman" w:eastAsia="方正仿宋_GBK" w:cs="Times New Roman"/>
          <w:b w:val="0"/>
          <w:sz w:val="32"/>
          <w:szCs w:val="32"/>
          <w:lang w:eastAsia="zh-CN"/>
        </w:rPr>
        <w:t>本年度</w:t>
      </w:r>
      <w:r>
        <w:rPr>
          <w:rFonts w:hint="default" w:ascii="Times New Roman" w:hAnsi="Times New Roman" w:eastAsia="方正仿宋_GBK" w:cs="Times New Roman"/>
          <w:b w:val="0"/>
          <w:sz w:val="32"/>
          <w:szCs w:val="32"/>
        </w:rPr>
        <w:t>无公务用车购置费；公务用车运行维护费全年预算数40.00万元，决算数40.00万元，预决算差异率0.00%，主要原因是：</w:t>
      </w:r>
      <w:r>
        <w:rPr>
          <w:rFonts w:hint="eastAsia" w:ascii="Times New Roman" w:hAnsi="Times New Roman" w:eastAsia="方正仿宋_GBK" w:cs="Times New Roman"/>
          <w:b w:val="0"/>
          <w:sz w:val="32"/>
          <w:szCs w:val="32"/>
          <w:highlight w:val="none"/>
          <w:lang w:val="en-US" w:eastAsia="zh-CN"/>
        </w:rPr>
        <w:t>厉行节约，严格公务用车管理，严控公务用车支出，支出与上年一致</w:t>
      </w:r>
      <w:r>
        <w:rPr>
          <w:rFonts w:hint="default" w:ascii="Times New Roman" w:hAnsi="Times New Roman" w:eastAsia="方正仿宋_GBK" w:cs="Times New Roman"/>
          <w:b w:val="0"/>
          <w:sz w:val="32"/>
          <w:szCs w:val="32"/>
        </w:rPr>
        <w:t>；公务接待费全年预算数2.00万元，决算数1.32万元，预决算差异率-34.00%，</w:t>
      </w:r>
      <w:r>
        <w:rPr>
          <w:rFonts w:hint="default" w:ascii="Times New Roman" w:hAnsi="Times New Roman" w:eastAsia="方正仿宋_GBK" w:cs="Times New Roman"/>
          <w:b w:val="0"/>
          <w:sz w:val="32"/>
          <w:szCs w:val="32"/>
          <w:highlight w:val="none"/>
        </w:rPr>
        <w:t>主要原因是：</w:t>
      </w:r>
      <w:r>
        <w:rPr>
          <w:rFonts w:hint="default" w:ascii="Times New Roman" w:hAnsi="Times New Roman" w:eastAsia="方正仿宋_GBK" w:cs="Times New Roman"/>
          <w:snapToGrid/>
          <w:spacing w:val="0"/>
          <w:kern w:val="2"/>
          <w:sz w:val="32"/>
          <w:szCs w:val="32"/>
          <w:highlight w:val="none"/>
          <w:lang w:val="en-US" w:eastAsia="zh-CN" w:bidi="ar-SA"/>
        </w:rPr>
        <w:t>落实</w:t>
      </w:r>
      <w:r>
        <w:rPr>
          <w:rFonts w:hint="eastAsia" w:ascii="Times New Roman" w:hAnsi="Times New Roman" w:eastAsia="方正仿宋_GBK" w:cs="Times New Roman"/>
          <w:snapToGrid/>
          <w:spacing w:val="0"/>
          <w:kern w:val="2"/>
          <w:sz w:val="32"/>
          <w:szCs w:val="32"/>
          <w:highlight w:val="none"/>
          <w:lang w:val="en-US" w:eastAsia="zh-CN" w:bidi="ar-SA"/>
        </w:rPr>
        <w:t>中央八项规定和党政机关带头“过紧日子”要求</w:t>
      </w:r>
      <w:r>
        <w:rPr>
          <w:rFonts w:hint="default" w:ascii="Times New Roman" w:hAnsi="Times New Roman" w:eastAsia="方正仿宋_GBK" w:cs="Times New Roman"/>
          <w:snapToGrid/>
          <w:spacing w:val="0"/>
          <w:kern w:val="2"/>
          <w:sz w:val="32"/>
          <w:szCs w:val="32"/>
          <w:highlight w:val="none"/>
          <w:lang w:val="en-US" w:eastAsia="zh-CN" w:bidi="ar-SA"/>
        </w:rPr>
        <w:t>，严格</w:t>
      </w:r>
      <w:r>
        <w:rPr>
          <w:rFonts w:hint="default" w:ascii="Times New Roman" w:hAnsi="Times New Roman" w:eastAsia="方正仿宋_GBK" w:cs="Times New Roman"/>
          <w:b w:val="0"/>
          <w:sz w:val="32"/>
          <w:szCs w:val="32"/>
        </w:rPr>
        <w:t>公务接待</w:t>
      </w:r>
      <w:r>
        <w:rPr>
          <w:rFonts w:hint="eastAsia" w:ascii="Times New Roman" w:hAnsi="Times New Roman" w:eastAsia="方正仿宋_GBK" w:cs="Times New Roman"/>
          <w:snapToGrid/>
          <w:spacing w:val="0"/>
          <w:kern w:val="2"/>
          <w:sz w:val="32"/>
          <w:szCs w:val="32"/>
          <w:highlight w:val="none"/>
          <w:lang w:val="en-US" w:eastAsia="zh-CN" w:bidi="ar-SA"/>
        </w:rPr>
        <w:t>审批</w:t>
      </w:r>
      <w:r>
        <w:rPr>
          <w:rFonts w:hint="default" w:ascii="Times New Roman" w:hAnsi="Times New Roman" w:eastAsia="方正仿宋_GBK" w:cs="Times New Roman"/>
          <w:snapToGrid/>
          <w:spacing w:val="0"/>
          <w:kern w:val="2"/>
          <w:sz w:val="32"/>
          <w:szCs w:val="32"/>
          <w:highlight w:val="none"/>
          <w:lang w:val="en-US" w:eastAsia="zh-CN" w:bidi="ar-SA"/>
        </w:rPr>
        <w:t>，压</w:t>
      </w:r>
      <w:r>
        <w:rPr>
          <w:rFonts w:hint="eastAsia" w:ascii="Times New Roman" w:hAnsi="Times New Roman" w:eastAsia="方正仿宋_GBK" w:cs="Times New Roman"/>
          <w:snapToGrid/>
          <w:spacing w:val="0"/>
          <w:kern w:val="2"/>
          <w:sz w:val="32"/>
          <w:szCs w:val="32"/>
          <w:highlight w:val="none"/>
          <w:lang w:val="en-US" w:eastAsia="zh-CN" w:bidi="ar-SA"/>
        </w:rPr>
        <w:t>减</w:t>
      </w:r>
      <w:r>
        <w:rPr>
          <w:rFonts w:hint="default" w:ascii="Times New Roman" w:hAnsi="Times New Roman" w:eastAsia="方正仿宋_GBK" w:cs="Times New Roman"/>
          <w:snapToGrid/>
          <w:spacing w:val="0"/>
          <w:kern w:val="2"/>
          <w:sz w:val="32"/>
          <w:szCs w:val="32"/>
          <w:highlight w:val="none"/>
          <w:lang w:val="en-US" w:eastAsia="zh-CN" w:bidi="ar-SA"/>
        </w:rPr>
        <w:t>公务接待支出</w:t>
      </w:r>
      <w:r>
        <w:rPr>
          <w:rFonts w:hint="default" w:ascii="Times New Roman" w:hAnsi="Times New Roman" w:eastAsia="方正仿宋_GBK" w:cs="Times New Roman"/>
          <w:b w:val="0"/>
          <w:sz w:val="32"/>
          <w:szCs w:val="32"/>
          <w:highlight w:val="none"/>
        </w:rPr>
        <w:t>。</w:t>
      </w:r>
    </w:p>
    <w:p w14:paraId="11F6F93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十、其他重要事项的情况说明</w:t>
      </w:r>
    </w:p>
    <w:p w14:paraId="3FEE2F2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2"/>
        <w:rPr>
          <w:rFonts w:hint="eastAsia" w:ascii="方正楷体_GBK" w:hAnsi="方正楷体_GBK" w:eastAsia="方正楷体_GBK" w:cs="方正楷体_GBK"/>
          <w:b w:val="0"/>
          <w:bCs w:val="0"/>
          <w:sz w:val="32"/>
          <w:szCs w:val="32"/>
        </w:rPr>
      </w:pPr>
      <w:r>
        <w:rPr>
          <w:rFonts w:hint="eastAsia" w:ascii="方正楷体_GBK" w:hAnsi="方正楷体_GBK" w:eastAsia="方正楷体_GBK" w:cs="方正楷体_GBK"/>
          <w:b w:val="0"/>
          <w:bCs w:val="0"/>
          <w:sz w:val="32"/>
          <w:szCs w:val="32"/>
        </w:rPr>
        <w:t>（一）机关运行经费及公用经费支出情况</w:t>
      </w:r>
    </w:p>
    <w:p w14:paraId="1DF851C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yellow"/>
        </w:rPr>
      </w:pPr>
      <w:r>
        <w:rPr>
          <w:rFonts w:hint="default" w:ascii="Times New Roman" w:hAnsi="Times New Roman" w:eastAsia="方正仿宋_GBK" w:cs="Times New Roman"/>
          <w:b w:val="0"/>
          <w:sz w:val="32"/>
          <w:szCs w:val="32"/>
        </w:rPr>
        <w:t>2025年度新疆维吾尔自治区民政厅（本级）（行政单位和参照公务员法管理事业单位）机关运行经费支出511.57万元，比上年增加3.85万元，增长0.76%，</w:t>
      </w:r>
      <w:r>
        <w:rPr>
          <w:rFonts w:hint="default" w:ascii="Times New Roman" w:hAnsi="Times New Roman" w:eastAsia="方正仿宋_GBK" w:cs="Times New Roman"/>
          <w:b w:val="0"/>
          <w:sz w:val="32"/>
          <w:szCs w:val="32"/>
          <w:highlight w:val="none"/>
        </w:rPr>
        <w:t>主要原因是：</w:t>
      </w:r>
      <w:r>
        <w:rPr>
          <w:rFonts w:hint="eastAsia" w:ascii="Times New Roman" w:hAnsi="Times New Roman" w:eastAsia="方正仿宋_GBK" w:cs="Times New Roman"/>
          <w:b w:val="0"/>
          <w:sz w:val="32"/>
          <w:szCs w:val="32"/>
          <w:highlight w:val="none"/>
          <w:lang w:val="en-US" w:eastAsia="zh-CN"/>
        </w:rPr>
        <w:t>2025年取暖费缴费标准提高，取暖费支出较上年增加。</w:t>
      </w:r>
    </w:p>
    <w:p w14:paraId="6E39E52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2"/>
        <w:rPr>
          <w:rFonts w:hint="default" w:ascii="方正楷体_GBK" w:hAnsi="方正楷体_GBK" w:eastAsia="方正楷体_GBK" w:cs="方正楷体_GBK"/>
          <w:b w:val="0"/>
          <w:bCs w:val="0"/>
          <w:sz w:val="32"/>
          <w:szCs w:val="32"/>
        </w:rPr>
      </w:pPr>
      <w:r>
        <w:rPr>
          <w:rFonts w:hint="default" w:ascii="方正楷体_GBK" w:hAnsi="方正楷体_GBK" w:eastAsia="方正楷体_GBK" w:cs="方正楷体_GBK"/>
          <w:b w:val="0"/>
          <w:bCs w:val="0"/>
          <w:sz w:val="32"/>
          <w:szCs w:val="32"/>
        </w:rPr>
        <w:t>（二）政府采购情况</w:t>
      </w:r>
    </w:p>
    <w:p w14:paraId="587018C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2025年度政府采购支出总额1,613.69万元，其中：政府采购货物支出382.01万元、政府采购工程支出0.00万元、政府采购服务支出1,231.68万元。</w:t>
      </w:r>
    </w:p>
    <w:p w14:paraId="55EC461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授予中小企业合同金额764.27万元，占政府采购支出总额的47.36%，其中：授予小微企业合同金额718.08万元，占政府采购支出总额的44.50%。</w:t>
      </w:r>
    </w:p>
    <w:p w14:paraId="11E74EE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2"/>
        <w:rPr>
          <w:rFonts w:hint="default" w:ascii="方正楷体_GBK" w:hAnsi="方正楷体_GBK" w:eastAsia="方正楷体_GBK" w:cs="方正楷体_GBK"/>
          <w:b w:val="0"/>
          <w:bCs w:val="0"/>
          <w:sz w:val="32"/>
          <w:szCs w:val="32"/>
        </w:rPr>
      </w:pPr>
      <w:r>
        <w:rPr>
          <w:rFonts w:hint="default" w:ascii="方正楷体_GBK" w:hAnsi="方正楷体_GBK" w:eastAsia="方正楷体_GBK" w:cs="方正楷体_GBK"/>
          <w:b w:val="0"/>
          <w:bCs w:val="0"/>
          <w:sz w:val="32"/>
          <w:szCs w:val="32"/>
        </w:rPr>
        <w:t>（三）国有资产占用情况说明</w:t>
      </w:r>
    </w:p>
    <w:p w14:paraId="1789B30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截至2025年12月31日，房屋70,454.40平方米，价值18,304.11万元。车辆61辆，价值1,010.61万元，其中：副部（省）级及以上领导用车0辆、主要负责人用车6辆、机要通信用车0辆、应急保障用车0辆、执法执勤用车0辆、特种专业技术用车0辆、离退休干部服务用车2辆、其他用车53辆，其他用车主要是</w:t>
      </w:r>
      <w:r>
        <w:rPr>
          <w:rFonts w:hint="eastAsia"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保障专项业务开展和办公运行的公务用车及业务用车;单价100万元（含）以上设备（不含车辆）2台（套）。</w:t>
      </w:r>
    </w:p>
    <w:p w14:paraId="6CE24B3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十一、预算绩效的情况说明</w:t>
      </w:r>
    </w:p>
    <w:p w14:paraId="1DEA7C7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ascii="仿宋_GB2312" w:eastAsia="仿宋_GB2312"/>
          <w:sz w:val="32"/>
          <w:szCs w:val="32"/>
        </w:rPr>
      </w:pPr>
      <w:r>
        <w:rPr>
          <w:rFonts w:hint="default" w:ascii="Times New Roman" w:hAnsi="Times New Roman" w:eastAsia="方正仿宋_GBK" w:cs="Times New Roman"/>
          <w:b w:val="0"/>
          <w:sz w:val="32"/>
          <w:szCs w:val="32"/>
        </w:rPr>
        <w:t>根据预算绩效管理要求，</w:t>
      </w:r>
      <w:r>
        <w:rPr>
          <w:rFonts w:hint="eastAsia" w:ascii="Times New Roman" w:hAnsi="Times New Roman" w:eastAsia="方正仿宋_GBK" w:cs="Times New Roman"/>
          <w:b w:val="0"/>
          <w:sz w:val="32"/>
          <w:szCs w:val="32"/>
          <w:lang w:eastAsia="zh-CN"/>
        </w:rPr>
        <w:t>本</w:t>
      </w:r>
      <w:r>
        <w:rPr>
          <w:rFonts w:hint="default" w:ascii="Times New Roman" w:hAnsi="Times New Roman" w:eastAsia="方正仿宋_GBK" w:cs="Times New Roman"/>
          <w:b w:val="0"/>
          <w:sz w:val="32"/>
          <w:szCs w:val="32"/>
        </w:rPr>
        <w:t>单位2025年度预算绩效</w:t>
      </w:r>
      <w:r>
        <w:rPr>
          <w:rFonts w:hint="eastAsia" w:ascii="Times New Roman" w:hAnsi="Times New Roman" w:eastAsia="方正仿宋_GBK" w:cs="Times New Roman"/>
          <w:b w:val="0"/>
          <w:sz w:val="32"/>
          <w:szCs w:val="32"/>
          <w:lang w:eastAsia="zh-CN"/>
        </w:rPr>
        <w:t>评价项目</w:t>
      </w:r>
      <w:r>
        <w:rPr>
          <w:rFonts w:hint="default" w:ascii="Times New Roman" w:hAnsi="Times New Roman" w:eastAsia="方正仿宋_GBK" w:cs="Times New Roman"/>
          <w:b w:val="0"/>
          <w:sz w:val="32"/>
          <w:szCs w:val="32"/>
        </w:rPr>
        <w:t>10个，全年预算数</w:t>
      </w:r>
      <w:r>
        <w:rPr>
          <w:rFonts w:hint="eastAsia" w:ascii="Times New Roman" w:hAnsi="Times New Roman" w:eastAsia="方正仿宋_GBK" w:cs="Times New Roman"/>
          <w:b w:val="0"/>
          <w:sz w:val="32"/>
          <w:szCs w:val="32"/>
          <w:lang w:val="en-US" w:eastAsia="zh-CN"/>
        </w:rPr>
        <w:t>3482</w:t>
      </w:r>
      <w:r>
        <w:rPr>
          <w:rFonts w:hint="default" w:ascii="Times New Roman" w:hAnsi="Times New Roman" w:eastAsia="方正仿宋_GBK" w:cs="Times New Roman"/>
          <w:b w:val="0"/>
          <w:sz w:val="32"/>
          <w:szCs w:val="32"/>
        </w:rPr>
        <w:t xml:space="preserve">万元，全年执行数 </w:t>
      </w:r>
      <w:r>
        <w:rPr>
          <w:rFonts w:hint="eastAsia" w:ascii="Times New Roman" w:hAnsi="Times New Roman" w:eastAsia="方正仿宋_GBK" w:cs="Times New Roman"/>
          <w:b w:val="0"/>
          <w:sz w:val="32"/>
          <w:szCs w:val="32"/>
          <w:lang w:val="en-US" w:eastAsia="zh-CN"/>
        </w:rPr>
        <w:t>3138.29</w:t>
      </w:r>
      <w:r>
        <w:rPr>
          <w:rFonts w:hint="default" w:ascii="Times New Roman" w:hAnsi="Times New Roman" w:eastAsia="方正仿宋_GBK" w:cs="Times New Roman"/>
          <w:b w:val="0"/>
          <w:sz w:val="32"/>
          <w:szCs w:val="32"/>
        </w:rPr>
        <w:t>万元。预算绩效管理取得的成效：一是认真履行预算绩效管理责任，预算绩效管理覆盖率达100%，提升了工作管理水平；二是及时发现风险隐患的苗头，进行预警，该纠正的及时纠正，敢于较真碰硬，确保资金使用依法依规、安全有效。发现的问题及原因：一是绩效工作认识不够深入。对预算绩效管理认识有局限，持续改善管理的重视程度不够，绩效目标管理、绩效运行监控、绩效评价、评价结果与应用全过程绩效管理理念仍未形成。二是基础工作不够扎实。预算执行过程监管不到位，绩效运行监控情况填写过于简单，缺少原因分析；绩效自评不够客观规范等。没有充分发挥预算绩效管理促进资金高效使用的作用。下一步改进措施：一是持续强化预算绩效管理意识。从传统预算管理方式向绩效管理方式转型，从重资金投入管理转向重预算编制、执行和监管全过程绩效管理，让预算绩效管理完全渗透到单位的资金和项目管理中，进一步牢固树立绩效管理意识。二是更深入的将绩效管理结果同预算编制相结合。将评价结果作为安排以后年度预算的重要依据。具体附整体支出绩效自评表、项目支出绩效自评表及项目支出绩效评价报告。</w:t>
      </w:r>
    </w:p>
    <w:p w14:paraId="75439D9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sz w:val="32"/>
          <w:szCs w:val="32"/>
        </w:rPr>
        <w:t>十二、其他需说明的事项</w:t>
      </w:r>
    </w:p>
    <w:p w14:paraId="1AD56FD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养老机构服务能力提升项目</w:t>
      </w:r>
      <w:r>
        <w:rPr>
          <w:rFonts w:hint="default" w:ascii="Times New Roman" w:hAnsi="Times New Roman" w:eastAsia="方正仿宋_GBK" w:cs="Times New Roman"/>
          <w:b w:val="0"/>
          <w:sz w:val="32"/>
          <w:szCs w:val="32"/>
          <w:highlight w:val="none"/>
          <w:lang w:val="en-US" w:eastAsia="zh-CN"/>
        </w:rPr>
        <w:t>416.0</w:t>
      </w:r>
      <w:r>
        <w:rPr>
          <w:rFonts w:hint="default" w:ascii="Times New Roman" w:hAnsi="Times New Roman" w:eastAsia="方正仿宋_GBK" w:cs="Times New Roman"/>
          <w:b w:val="0"/>
          <w:sz w:val="32"/>
          <w:szCs w:val="32"/>
          <w:highlight w:val="none"/>
        </w:rPr>
        <w:t>0万元，支持乡村振兴公益事业发展项目</w:t>
      </w:r>
      <w:r>
        <w:rPr>
          <w:rFonts w:hint="default" w:ascii="Times New Roman" w:hAnsi="Times New Roman" w:eastAsia="方正仿宋_GBK" w:cs="Times New Roman"/>
          <w:b w:val="0"/>
          <w:sz w:val="32"/>
          <w:szCs w:val="32"/>
          <w:highlight w:val="none"/>
          <w:lang w:val="en-US" w:eastAsia="zh-CN"/>
        </w:rPr>
        <w:t>369.00</w:t>
      </w:r>
      <w:r>
        <w:rPr>
          <w:rFonts w:hint="default" w:ascii="Times New Roman" w:hAnsi="Times New Roman" w:eastAsia="方正仿宋_GBK" w:cs="Times New Roman"/>
          <w:b w:val="0"/>
          <w:sz w:val="32"/>
          <w:szCs w:val="32"/>
          <w:highlight w:val="none"/>
        </w:rPr>
        <w:t>万元，</w:t>
      </w:r>
      <w:r>
        <w:rPr>
          <w:rFonts w:hint="default" w:ascii="Times New Roman" w:hAnsi="Times New Roman" w:eastAsia="方正仿宋_GBK" w:cs="Times New Roman"/>
          <w:b w:val="0"/>
          <w:sz w:val="32"/>
          <w:szCs w:val="32"/>
          <w:highlight w:val="none"/>
          <w:lang w:eastAsia="zh-CN"/>
        </w:rPr>
        <w:t>社会组织能力提升购买服务辅助性项目</w:t>
      </w:r>
      <w:r>
        <w:rPr>
          <w:rFonts w:hint="default" w:ascii="Times New Roman" w:hAnsi="Times New Roman" w:eastAsia="方正仿宋_GBK" w:cs="Times New Roman"/>
          <w:b w:val="0"/>
          <w:sz w:val="32"/>
          <w:szCs w:val="32"/>
          <w:highlight w:val="none"/>
          <w:lang w:val="en-US" w:eastAsia="zh-CN"/>
        </w:rPr>
        <w:t>196.5</w:t>
      </w:r>
      <w:r>
        <w:rPr>
          <w:rFonts w:hint="default" w:ascii="Times New Roman" w:hAnsi="Times New Roman" w:eastAsia="方正仿宋_GBK" w:cs="Times New Roman"/>
          <w:b w:val="0"/>
          <w:sz w:val="32"/>
          <w:szCs w:val="32"/>
          <w:highlight w:val="none"/>
        </w:rPr>
        <w:t>0万元</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以上</w:t>
      </w:r>
      <w:r>
        <w:rPr>
          <w:rFonts w:hint="default" w:ascii="Times New Roman" w:hAnsi="Times New Roman" w:eastAsia="方正仿宋_GBK" w:cs="Times New Roman"/>
          <w:b w:val="0"/>
          <w:sz w:val="32"/>
          <w:szCs w:val="32"/>
          <w:highlight w:val="none"/>
          <w:lang w:val="en-US" w:eastAsia="zh-CN"/>
        </w:rPr>
        <w:t>3</w:t>
      </w:r>
      <w:r>
        <w:rPr>
          <w:rFonts w:hint="default" w:ascii="Times New Roman" w:hAnsi="Times New Roman" w:eastAsia="方正仿宋_GBK" w:cs="Times New Roman"/>
          <w:b w:val="0"/>
          <w:sz w:val="32"/>
          <w:szCs w:val="32"/>
          <w:highlight w:val="none"/>
        </w:rPr>
        <w:t>个项目绩效评价表由</w:t>
      </w:r>
      <w:r>
        <w:rPr>
          <w:rFonts w:hint="default" w:ascii="Times New Roman" w:hAnsi="Times New Roman" w:eastAsia="方正仿宋_GBK" w:cs="Times New Roman"/>
          <w:b w:val="0"/>
          <w:sz w:val="32"/>
          <w:szCs w:val="32"/>
          <w:highlight w:val="none"/>
          <w:lang w:eastAsia="zh-CN"/>
        </w:rPr>
        <w:t>新疆维吾尔自治区民政厅部门</w:t>
      </w:r>
      <w:r>
        <w:rPr>
          <w:rFonts w:hint="default" w:ascii="Times New Roman" w:hAnsi="Times New Roman" w:eastAsia="方正仿宋_GBK" w:cs="Times New Roman"/>
          <w:b w:val="0"/>
          <w:sz w:val="32"/>
          <w:szCs w:val="32"/>
          <w:highlight w:val="none"/>
        </w:rPr>
        <w:t>公开。</w:t>
      </w:r>
    </w:p>
    <w:p w14:paraId="3ACA9AB7">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5D84ECD0">
      <w:pPr>
        <w:widowControl/>
        <w:spacing w:before="0" w:beforeLines="0" w:beforeAutospacing="0" w:after="0" w:afterLines="0" w:afterAutospacing="0" w:line="240" w:lineRule="auto"/>
        <w:jc w:val="center"/>
        <w:outlineLvl w:val="0"/>
        <w:rPr>
          <w:rFonts w:hint="eastAsia" w:ascii="方正小标宋简体" w:hAnsi="方正小标宋简体" w:eastAsia="方正小标宋简体" w:cs="方正小标宋简体"/>
          <w:b w:val="0"/>
          <w:sz w:val="44"/>
          <w:szCs w:val="44"/>
        </w:rPr>
      </w:pPr>
    </w:p>
    <w:p w14:paraId="592CBC3A">
      <w:pPr>
        <w:widowControl/>
        <w:spacing w:before="0" w:beforeLines="0" w:beforeAutospacing="0" w:after="0" w:afterLines="0" w:afterAutospacing="0" w:line="240" w:lineRule="auto"/>
        <w:jc w:val="center"/>
        <w:outlineLvl w:val="0"/>
        <w:rPr>
          <w:rFonts w:hint="eastAsia" w:ascii="方正小标宋简体" w:hAnsi="方正小标宋简体" w:eastAsia="方正小标宋简体" w:cs="方正小标宋简体"/>
          <w:b w:val="0"/>
          <w:sz w:val="44"/>
          <w:szCs w:val="44"/>
        </w:rPr>
      </w:pPr>
      <w:r>
        <w:rPr>
          <w:rFonts w:hint="eastAsia" w:ascii="方正小标宋简体" w:hAnsi="方正小标宋简体" w:eastAsia="方正小标宋简体" w:cs="方正小标宋简体"/>
          <w:b w:val="0"/>
          <w:sz w:val="44"/>
          <w:szCs w:val="44"/>
        </w:rPr>
        <w:t>第三部分</w:t>
      </w:r>
      <w:r>
        <w:rPr>
          <w:rFonts w:hint="eastAsia" w:ascii="方正小标宋简体" w:hAnsi="方正小标宋简体" w:eastAsia="方正小标宋简体" w:cs="方正小标宋简体"/>
          <w:b w:val="0"/>
          <w:sz w:val="44"/>
          <w:szCs w:val="44"/>
          <w:lang w:val="en-US" w:eastAsia="zh-CN"/>
        </w:rPr>
        <w:t xml:space="preserve">  </w:t>
      </w:r>
      <w:r>
        <w:rPr>
          <w:rFonts w:hint="eastAsia" w:ascii="方正小标宋简体" w:hAnsi="方正小标宋简体" w:eastAsia="方正小标宋简体" w:cs="方正小标宋简体"/>
          <w:b w:val="0"/>
          <w:sz w:val="44"/>
          <w:szCs w:val="44"/>
        </w:rPr>
        <w:t>专业名词解释</w:t>
      </w:r>
    </w:p>
    <w:p w14:paraId="564204B1">
      <w:pPr>
        <w:widowControl/>
        <w:spacing w:before="0" w:beforeLines="0" w:beforeAutospacing="0" w:after="0" w:afterLines="0" w:afterAutospacing="0" w:line="240" w:lineRule="auto"/>
        <w:jc w:val="center"/>
        <w:outlineLvl w:val="0"/>
        <w:rPr>
          <w:rFonts w:hint="eastAsia" w:ascii="方正小标宋简体" w:hAnsi="方正小标宋简体" w:eastAsia="方正小标宋简体" w:cs="方正小标宋简体"/>
          <w:b w:val="0"/>
          <w:sz w:val="44"/>
          <w:szCs w:val="44"/>
        </w:rPr>
      </w:pPr>
    </w:p>
    <w:p w14:paraId="1B1BD75D">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一、财政拨款收入：</w:t>
      </w:r>
      <w:r>
        <w:rPr>
          <w:rFonts w:hint="eastAsia" w:ascii="方正仿宋_GBK" w:hAnsi="方正仿宋_GBK" w:eastAsia="方正仿宋_GBK" w:cs="方正仿宋_GBK"/>
          <w:b w:val="0"/>
          <w:sz w:val="32"/>
          <w:szCs w:val="32"/>
        </w:rPr>
        <w:t>指单位本年度从同级财政</w:t>
      </w:r>
      <w:bookmarkStart w:id="0" w:name="_GoBack"/>
      <w:bookmarkEnd w:id="0"/>
      <w:r>
        <w:rPr>
          <w:rFonts w:hint="eastAsia" w:ascii="方正仿宋_GBK" w:hAnsi="方正仿宋_GBK" w:eastAsia="方正仿宋_GBK" w:cs="方正仿宋_GBK"/>
          <w:b w:val="0"/>
          <w:sz w:val="32"/>
          <w:szCs w:val="32"/>
        </w:rPr>
        <w:t>部门取得的财政拨款，包括一般公共预算财政拨款、政府性基金预算财政拨款和国有资本经营预算财政拨款。</w:t>
      </w:r>
    </w:p>
    <w:p w14:paraId="3DC334E2">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二、上级补助收入：</w:t>
      </w:r>
      <w:r>
        <w:rPr>
          <w:rFonts w:hint="eastAsia" w:ascii="方正仿宋_GBK" w:hAnsi="方正仿宋_GBK" w:eastAsia="方正仿宋_GBK" w:cs="方正仿宋_GBK"/>
          <w:b w:val="0"/>
          <w:sz w:val="32"/>
          <w:szCs w:val="32"/>
        </w:rPr>
        <w:t>指事业单位从主管部门和上级单位取得的非财政补助收入。</w:t>
      </w:r>
    </w:p>
    <w:p w14:paraId="7FC840BC">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三、事业收入：</w:t>
      </w:r>
      <w:r>
        <w:rPr>
          <w:rFonts w:hint="eastAsia" w:ascii="方正仿宋_GBK" w:hAnsi="方正仿宋_GBK" w:eastAsia="方正仿宋_GBK" w:cs="方正仿宋_GBK"/>
          <w:b w:val="0"/>
          <w:sz w:val="32"/>
          <w:szCs w:val="32"/>
        </w:rPr>
        <w:t>指事业单位开展专业业务活动及其辅助活动取得的收入。</w:t>
      </w:r>
    </w:p>
    <w:p w14:paraId="052681A0">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四、经营收入：</w:t>
      </w:r>
      <w:r>
        <w:rPr>
          <w:rFonts w:hint="eastAsia" w:ascii="方正仿宋_GBK" w:hAnsi="方正仿宋_GBK" w:eastAsia="方正仿宋_GBK" w:cs="方正仿宋_GBK"/>
          <w:b w:val="0"/>
          <w:sz w:val="32"/>
          <w:szCs w:val="32"/>
        </w:rPr>
        <w:t>指事业单位在专业业务活动及其辅助活动之外开展非独立核算经营活动取得的收入。</w:t>
      </w:r>
    </w:p>
    <w:p w14:paraId="2B68837A">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五、附属单位上缴收入：</w:t>
      </w:r>
      <w:r>
        <w:rPr>
          <w:rFonts w:hint="eastAsia" w:ascii="方正仿宋_GBK" w:hAnsi="方正仿宋_GBK" w:eastAsia="方正仿宋_GBK" w:cs="方正仿宋_GBK"/>
          <w:b w:val="0"/>
          <w:sz w:val="32"/>
          <w:szCs w:val="32"/>
        </w:rPr>
        <w:t>指事业单位附属独立核算单位按照有关规定上缴的收入。</w:t>
      </w:r>
    </w:p>
    <w:p w14:paraId="297AE1CD">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六、其他收入：</w:t>
      </w:r>
      <w:r>
        <w:rPr>
          <w:rFonts w:hint="eastAsia" w:ascii="方正仿宋_GBK" w:hAnsi="方正仿宋_GBK" w:eastAsia="方正仿宋_GBK" w:cs="方正仿宋_GBK"/>
          <w:b w:val="0"/>
          <w:sz w:val="32"/>
          <w:szCs w:val="32"/>
        </w:rPr>
        <w:t>指单位取得的除上述“财政拨款收入”“上级补助收入”“事业收入”“经营收入”“附属单位上缴收入”以外的各项收入。</w:t>
      </w:r>
    </w:p>
    <w:p w14:paraId="1CA2FDCF">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七、年初结转和结余：</w:t>
      </w:r>
      <w:r>
        <w:rPr>
          <w:rFonts w:hint="eastAsia" w:ascii="方正仿宋_GBK" w:hAnsi="方正仿宋_GBK" w:eastAsia="方正仿宋_GBK" w:cs="方正仿宋_GBK"/>
          <w:b w:val="0"/>
          <w:sz w:val="32"/>
          <w:szCs w:val="32"/>
        </w:rPr>
        <w:t>指单位上年结转本年使用的基本支出结转、项目支出结转和结余、经营结余。</w:t>
      </w:r>
    </w:p>
    <w:p w14:paraId="2BE118C3">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八、使用非财政拨款结余（含专用结余）：</w:t>
      </w:r>
      <w:r>
        <w:rPr>
          <w:rFonts w:hint="eastAsia" w:ascii="方正仿宋_GBK" w:hAnsi="方正仿宋_GBK" w:eastAsia="方正仿宋_GBK" w:cs="方正仿宋_GBK"/>
          <w:b w:val="0"/>
          <w:sz w:val="32"/>
          <w:szCs w:val="32"/>
        </w:rPr>
        <w:t>指单位按照预算管理要求使用非财政拨款结余弥补收支差额的金额，以及使用专用结余安排支出的金额。</w:t>
      </w:r>
    </w:p>
    <w:p w14:paraId="1F4CF93E">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九、结余分配：</w:t>
      </w:r>
      <w:r>
        <w:rPr>
          <w:rFonts w:hint="eastAsia" w:ascii="方正仿宋_GBK" w:hAnsi="方正仿宋_GBK" w:eastAsia="方正仿宋_GBK" w:cs="方正仿宋_GBK"/>
          <w:b w:val="0"/>
          <w:sz w:val="32"/>
          <w:szCs w:val="32"/>
        </w:rPr>
        <w:t>指单位缴纳企业所得税以及从非财政拨款结余或经营结余中提取各类结余的情况。</w:t>
      </w:r>
    </w:p>
    <w:p w14:paraId="5D1310A4">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十、年末结转和结余：</w:t>
      </w:r>
      <w:r>
        <w:rPr>
          <w:rFonts w:hint="eastAsia" w:ascii="方正仿宋_GBK" w:hAnsi="方正仿宋_GBK" w:eastAsia="方正仿宋_GBK" w:cs="方正仿宋_GBK"/>
          <w:b w:val="0"/>
          <w:sz w:val="32"/>
          <w:szCs w:val="32"/>
        </w:rPr>
        <w:t>指单位结转下年的基本支出结转、项目支出结转和结余、经营结余。</w:t>
      </w:r>
    </w:p>
    <w:p w14:paraId="7E18E18D">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十一、基本支出：</w:t>
      </w:r>
      <w:r>
        <w:rPr>
          <w:rFonts w:hint="eastAsia" w:ascii="方正仿宋_GBK" w:hAnsi="方正仿宋_GBK" w:eastAsia="方正仿宋_GBK" w:cs="方正仿宋_GBK"/>
          <w:b w:val="0"/>
          <w:bCs/>
          <w:sz w:val="32"/>
          <w:szCs w:val="32"/>
        </w:rPr>
        <w:t>指</w:t>
      </w:r>
      <w:r>
        <w:rPr>
          <w:rFonts w:hint="eastAsia" w:ascii="方正仿宋_GBK" w:hAnsi="方正仿宋_GBK" w:eastAsia="方正仿宋_GBK" w:cs="方正仿宋_GBK"/>
          <w:b w:val="0"/>
          <w:sz w:val="32"/>
          <w:szCs w:val="32"/>
        </w:rPr>
        <w:t>单位为保障机构正常运转、完成日常工作任务而发生的各项支出。</w:t>
      </w:r>
    </w:p>
    <w:p w14:paraId="5D91BE3A">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十二、项目支出：</w:t>
      </w:r>
      <w:r>
        <w:rPr>
          <w:rFonts w:hint="eastAsia" w:ascii="方正仿宋_GBK" w:hAnsi="方正仿宋_GBK" w:eastAsia="方正仿宋_GBK" w:cs="方正仿宋_GBK"/>
          <w:b w:val="0"/>
          <w:sz w:val="32"/>
          <w:szCs w:val="32"/>
        </w:rPr>
        <w:t>指单位为完成特定的行政工作任务或事业发展目标，在基本支出之外发生的各项支出。</w:t>
      </w:r>
    </w:p>
    <w:p w14:paraId="6F2C839F">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十三、上缴上级支出：</w:t>
      </w:r>
      <w:r>
        <w:rPr>
          <w:rFonts w:hint="eastAsia" w:ascii="方正仿宋_GBK" w:hAnsi="方正仿宋_GBK" w:eastAsia="方正仿宋_GBK" w:cs="方正仿宋_GBK"/>
          <w:b w:val="0"/>
          <w:sz w:val="32"/>
          <w:szCs w:val="32"/>
        </w:rPr>
        <w:t>指事业单位按照财政部门和主管部门的规定上缴上级单位的支出。</w:t>
      </w:r>
    </w:p>
    <w:p w14:paraId="22D404B8">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十四、经营支出：</w:t>
      </w:r>
      <w:r>
        <w:rPr>
          <w:rFonts w:hint="eastAsia" w:ascii="方正仿宋_GBK" w:hAnsi="方正仿宋_GBK" w:eastAsia="方正仿宋_GBK" w:cs="方正仿宋_GBK"/>
          <w:b w:val="0"/>
          <w:sz w:val="32"/>
          <w:szCs w:val="32"/>
        </w:rPr>
        <w:t>指事业单位在专业活动及辅助活动之外开展非独立核算经营活动发生的支出。</w:t>
      </w:r>
    </w:p>
    <w:p w14:paraId="4F36CA66">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十五、对附属单位补助支出：</w:t>
      </w:r>
      <w:r>
        <w:rPr>
          <w:rFonts w:hint="eastAsia" w:ascii="方正仿宋_GBK" w:hAnsi="方正仿宋_GBK" w:eastAsia="方正仿宋_GBK" w:cs="方正仿宋_GBK"/>
          <w:b w:val="0"/>
          <w:sz w:val="32"/>
          <w:szCs w:val="32"/>
        </w:rPr>
        <w:t>指事业单位用财政补助收入之外的收入对附属单位补助发生的支出。</w:t>
      </w:r>
    </w:p>
    <w:p w14:paraId="64653FCF">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十六、“三公”经费：</w:t>
      </w:r>
      <w:r>
        <w:rPr>
          <w:rFonts w:hint="eastAsia" w:ascii="方正仿宋_GBK" w:hAnsi="方正仿宋_GBK" w:eastAsia="方正仿宋_GBK" w:cs="方正仿宋_GBK"/>
          <w:b w:val="0"/>
          <w:sz w:val="32"/>
          <w:szCs w:val="32"/>
        </w:rPr>
        <w:t>指单位使用财政拨款安排的因公出国（境）费用、公务用车购置及运行维护费和公务接待费。其中，因公出国（境）费用反映单位公务出国（境）的国际旅费、国外城市间交通费、住宿费、伙食费、培训费、公杂费等支出；公务用车购置费反映公务用车购置支出（含车辆购置税、牌照费）；公务用车运行维护费反映单位按规定保留的公务用车燃料费、新能源汽车充电费、维修费、过路过桥费、保险费、安全奖励费用等支出；公务接待费反映单位按规定开支的各类公务接待（含外宾接待）费用。</w:t>
      </w:r>
    </w:p>
    <w:p w14:paraId="23257863">
      <w:pPr>
        <w:widowControl/>
        <w:spacing w:before="0" w:beforeLines="0" w:beforeAutospacing="0" w:after="0" w:afterLines="0" w:afterAutospacing="0" w:line="240" w:lineRule="auto"/>
        <w:ind w:firstLine="640" w:firstLineChars="200"/>
        <w:jc w:val="left"/>
        <w:rPr>
          <w:rFonts w:hint="eastAsia" w:ascii="方正仿宋_GBK" w:hAnsi="方正仿宋_GBK" w:eastAsia="方正仿宋_GBK" w:cs="方正仿宋_GBK"/>
          <w:sz w:val="32"/>
          <w:szCs w:val="32"/>
        </w:rPr>
      </w:pPr>
      <w:r>
        <w:rPr>
          <w:rFonts w:hint="eastAsia" w:ascii="方正黑体_GBK" w:hAnsi="方正黑体_GBK" w:eastAsia="方正黑体_GBK" w:cs="方正黑体_GBK"/>
          <w:b w:val="0"/>
          <w:bCs/>
          <w:sz w:val="32"/>
          <w:szCs w:val="32"/>
        </w:rPr>
        <w:t>十七、机关运行经费：</w:t>
      </w:r>
      <w:r>
        <w:rPr>
          <w:rFonts w:hint="eastAsia" w:ascii="方正仿宋_GBK" w:hAnsi="方正仿宋_GBK" w:eastAsia="方正仿宋_GBK" w:cs="方正仿宋_GBK"/>
          <w:b w:val="0"/>
          <w:sz w:val="32"/>
          <w:szCs w:val="32"/>
        </w:rPr>
        <w:t>指行政单位和参照公务员法管理的事业单位财政拨款基本支出中的公用经费支出。</w:t>
      </w:r>
    </w:p>
    <w:p w14:paraId="46195A4D">
      <w:pPr>
        <w:widowControl/>
      </w:pPr>
      <w:r>
        <w:rPr>
          <w:b w:val="0"/>
          <w:sz w:val="0"/>
          <w:szCs w:val="0"/>
        </w:rPr>
        <w:br w:type="page"/>
      </w:r>
    </w:p>
    <w:p w14:paraId="2B77FB69">
      <w:pPr>
        <w:widowControl/>
        <w:spacing w:before="0" w:beforeLines="0" w:beforeAutospacing="0" w:after="0" w:afterLines="0" w:afterAutospacing="0" w:line="240" w:lineRule="auto"/>
        <w:jc w:val="center"/>
        <w:outlineLvl w:val="0"/>
        <w:rPr>
          <w:rFonts w:hint="eastAsia" w:ascii="方正小标宋简体" w:hAnsi="方正小标宋简体" w:eastAsia="方正小标宋简体" w:cs="方正小标宋简体"/>
          <w:b w:val="0"/>
          <w:sz w:val="44"/>
          <w:szCs w:val="44"/>
        </w:rPr>
      </w:pPr>
    </w:p>
    <w:p w14:paraId="0332724B">
      <w:pPr>
        <w:widowControl/>
        <w:spacing w:before="0" w:beforeLines="0" w:beforeAutospacing="0" w:after="0" w:afterLines="0" w:afterAutospacing="0" w:line="240" w:lineRule="auto"/>
        <w:jc w:val="center"/>
        <w:outlineLvl w:val="0"/>
        <w:rPr>
          <w:rFonts w:hint="eastAsia" w:ascii="方正小标宋简体" w:hAnsi="方正小标宋简体" w:eastAsia="方正小标宋简体" w:cs="方正小标宋简体"/>
          <w:b w:val="0"/>
          <w:sz w:val="44"/>
          <w:szCs w:val="44"/>
        </w:rPr>
      </w:pPr>
      <w:r>
        <w:rPr>
          <w:rFonts w:hint="eastAsia" w:ascii="方正小标宋简体" w:hAnsi="方正小标宋简体" w:eastAsia="方正小标宋简体" w:cs="方正小标宋简体"/>
          <w:b w:val="0"/>
          <w:sz w:val="44"/>
          <w:szCs w:val="44"/>
        </w:rPr>
        <w:t xml:space="preserve">第四部分 </w:t>
      </w:r>
      <w:r>
        <w:rPr>
          <w:rFonts w:hint="eastAsia" w:ascii="方正小标宋简体" w:hAnsi="方正小标宋简体" w:eastAsia="方正小标宋简体" w:cs="方正小标宋简体"/>
          <w:b w:val="0"/>
          <w:sz w:val="44"/>
          <w:szCs w:val="44"/>
          <w:lang w:val="en-US" w:eastAsia="zh-CN"/>
        </w:rPr>
        <w:t xml:space="preserve"> </w:t>
      </w:r>
      <w:r>
        <w:rPr>
          <w:rFonts w:hint="eastAsia" w:ascii="方正小标宋简体" w:hAnsi="方正小标宋简体" w:eastAsia="方正小标宋简体" w:cs="方正小标宋简体"/>
          <w:b w:val="0"/>
          <w:sz w:val="44"/>
          <w:szCs w:val="44"/>
        </w:rPr>
        <w:t>部门决算报表（见附表）</w:t>
      </w:r>
    </w:p>
    <w:p w14:paraId="0603D0DA">
      <w:pPr>
        <w:widowControl/>
        <w:spacing w:before="0" w:beforeLines="0" w:beforeAutospacing="0" w:after="0" w:afterLines="0" w:afterAutospacing="0" w:line="240" w:lineRule="auto"/>
        <w:jc w:val="center"/>
        <w:outlineLvl w:val="0"/>
        <w:rPr>
          <w:rFonts w:hint="eastAsia" w:ascii="方正小标宋简体" w:hAnsi="方正小标宋简体" w:eastAsia="方正小标宋简体" w:cs="方正小标宋简体"/>
          <w:b w:val="0"/>
          <w:sz w:val="44"/>
          <w:szCs w:val="44"/>
        </w:rPr>
      </w:pPr>
    </w:p>
    <w:p w14:paraId="2790CBB4">
      <w:pPr>
        <w:widowControl/>
        <w:spacing w:before="0" w:beforeLines="0" w:beforeAutospacing="0" w:after="0" w:afterLines="0" w:afterAutospacing="0" w:line="240" w:lineRule="auto"/>
        <w:ind w:firstLine="640" w:firstLineChars="20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一、《收入支出决算总表》</w:t>
      </w:r>
    </w:p>
    <w:p w14:paraId="7C82EA10">
      <w:pPr>
        <w:widowControl/>
        <w:spacing w:before="0" w:beforeLines="0" w:beforeAutospacing="0" w:after="0" w:afterLines="0" w:afterAutospacing="0" w:line="240" w:lineRule="auto"/>
        <w:ind w:firstLine="640" w:firstLineChars="20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二、《收入决算表》</w:t>
      </w:r>
    </w:p>
    <w:p w14:paraId="08FF6246">
      <w:pPr>
        <w:widowControl/>
        <w:spacing w:before="0" w:beforeLines="0" w:beforeAutospacing="0" w:after="0" w:afterLines="0" w:afterAutospacing="0" w:line="240" w:lineRule="auto"/>
        <w:ind w:firstLine="640" w:firstLineChars="20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三、《支出决算表》</w:t>
      </w:r>
    </w:p>
    <w:p w14:paraId="40658E75">
      <w:pPr>
        <w:widowControl/>
        <w:spacing w:before="0" w:beforeLines="0" w:beforeAutospacing="0" w:after="0" w:afterLines="0" w:afterAutospacing="0" w:line="240" w:lineRule="auto"/>
        <w:ind w:firstLine="640" w:firstLineChars="20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四、《财政拨款收入支出决算总表》</w:t>
      </w:r>
    </w:p>
    <w:p w14:paraId="28A29A74">
      <w:pPr>
        <w:widowControl/>
        <w:spacing w:before="0" w:beforeLines="0" w:beforeAutospacing="0" w:after="0" w:afterLines="0" w:afterAutospacing="0" w:line="240" w:lineRule="auto"/>
        <w:ind w:firstLine="640" w:firstLineChars="20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五、《一般公共预算财政拨款支出决算表》</w:t>
      </w:r>
    </w:p>
    <w:p w14:paraId="64FF32B8">
      <w:pPr>
        <w:widowControl/>
        <w:spacing w:before="0" w:beforeLines="0" w:beforeAutospacing="0" w:after="0" w:afterLines="0" w:afterAutospacing="0" w:line="240" w:lineRule="auto"/>
        <w:ind w:firstLine="640" w:firstLineChars="20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六、《一般公共预算财政拨款基本支出决算表》</w:t>
      </w:r>
    </w:p>
    <w:p w14:paraId="33AFB7EA">
      <w:pPr>
        <w:widowControl/>
        <w:spacing w:before="0" w:beforeLines="0" w:beforeAutospacing="0" w:after="0" w:afterLines="0" w:afterAutospacing="0" w:line="240" w:lineRule="auto"/>
        <w:ind w:firstLine="640" w:firstLineChars="20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七、《政府性基金预算财政拨款收入支出决算表》</w:t>
      </w:r>
    </w:p>
    <w:p w14:paraId="205EA617">
      <w:pPr>
        <w:widowControl/>
        <w:spacing w:before="0" w:beforeLines="0" w:beforeAutospacing="0" w:after="0" w:afterLines="0" w:afterAutospacing="0" w:line="240" w:lineRule="auto"/>
        <w:ind w:firstLine="640" w:firstLineChars="20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八、《国有资本经营预算财政拨款收入支出决算表》</w:t>
      </w:r>
    </w:p>
    <w:p w14:paraId="632675DC">
      <w:pPr>
        <w:widowControl/>
        <w:spacing w:before="0" w:beforeLines="0" w:beforeAutospacing="0" w:after="0" w:afterLines="0" w:afterAutospacing="0" w:line="240" w:lineRule="auto"/>
        <w:ind w:firstLine="640" w:firstLineChars="20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九、《财政拨款“三公”经费支出决算表》</w:t>
      </w:r>
    </w:p>
    <w:sectPr>
      <w:footerReference r:id="rId5" w:type="default"/>
      <w:pgSz w:w="12240" w:h="15840"/>
      <w:pgMar w:top="2098" w:right="1531" w:bottom="1984" w:left="1531" w:header="720" w:footer="720" w:gutter="0"/>
      <w:pgNumType w:fmt="numberInDash"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30304000000000000"/>
    <w:charset w:val="86"/>
    <w:family w:val="auto"/>
    <w:pitch w:val="default"/>
    <w:sig w:usb0="E7FFAEFF" w:usb1="F9FFFFFF" w:usb2="000FFDFF" w:usb3="00000000" w:csb0="603F01FF" w:csb1="FFFF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86"/>
    <w:family w:val="swiss"/>
    <w:pitch w:val="default"/>
    <w:sig w:usb0="00000000" w:usb1="00000000" w:usb2="00000001" w:usb3="00000000" w:csb0="0000019F" w:csb1="00000000"/>
  </w:font>
  <w:font w:name="Calibri">
    <w:altName w:val="Times New Roman"/>
    <w:panose1 w:val="020F0502020204030204"/>
    <w:charset w:val="86"/>
    <w:family w:val="swiss"/>
    <w:pitch w:val="default"/>
    <w:sig w:usb0="00000000" w:usb1="00000000" w:usb2="00000001" w:usb3="00000000" w:csb0="0000019F" w:csb1="00000000"/>
  </w:font>
  <w:font w:name="Calibri">
    <w:altName w:val="Times New Roman"/>
    <w:panose1 w:val="00000000000000000000"/>
    <w:charset w:val="00"/>
    <w:family w:val="auto"/>
    <w:pitch w:val="default"/>
    <w:sig w:usb0="00000000" w:usb1="00000000" w:usb2="00000000" w:usb3="00000000" w:csb0="00000000" w:csb1="00000000"/>
  </w:font>
  <w:font w:name="Cambria">
    <w:altName w:val="FreeSerif"/>
    <w:panose1 w:val="02040503050406030204"/>
    <w:charset w:val="00"/>
    <w:family w:val="auto"/>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小标宋简体">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38224">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D4CF24">
                          <w:pPr>
                            <w:pStyle w:val="8"/>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9D4CF24">
                    <w:pPr>
                      <w:pStyle w:val="8"/>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3547D"/>
    <w:rsid w:val="156D44E4"/>
    <w:rsid w:val="1FEFAEA7"/>
    <w:rsid w:val="2FBF3D5C"/>
    <w:rsid w:val="2FFBBB0D"/>
    <w:rsid w:val="3EEB55F1"/>
    <w:rsid w:val="3F7F111E"/>
    <w:rsid w:val="48F74542"/>
    <w:rsid w:val="4FD3BA5A"/>
    <w:rsid w:val="51AB1A30"/>
    <w:rsid w:val="52045C59"/>
    <w:rsid w:val="5F579ACF"/>
    <w:rsid w:val="5FFA9295"/>
    <w:rsid w:val="67BD5247"/>
    <w:rsid w:val="697C4F9C"/>
    <w:rsid w:val="6B7389D7"/>
    <w:rsid w:val="6F8DA6E1"/>
    <w:rsid w:val="6FB77E0C"/>
    <w:rsid w:val="777C96C8"/>
    <w:rsid w:val="7CD7C8D1"/>
    <w:rsid w:val="7D7DDCF1"/>
    <w:rsid w:val="7DFE01C5"/>
    <w:rsid w:val="7EFF8BAE"/>
    <w:rsid w:val="7F3553D9"/>
    <w:rsid w:val="7FEB9312"/>
    <w:rsid w:val="7FFDFD7C"/>
    <w:rsid w:val="7FFE936F"/>
    <w:rsid w:val="8FAC1DF2"/>
    <w:rsid w:val="9E7A90D3"/>
    <w:rsid w:val="A23D93F8"/>
    <w:rsid w:val="ABFDD4A0"/>
    <w:rsid w:val="C4DE30BA"/>
    <w:rsid w:val="CEBDD1DF"/>
    <w:rsid w:val="DF7DB12A"/>
    <w:rsid w:val="E65D6E87"/>
    <w:rsid w:val="E937DE16"/>
    <w:rsid w:val="EF7FEFA1"/>
    <w:rsid w:val="F3F78786"/>
    <w:rsid w:val="F9D32EAB"/>
    <w:rsid w:val="FBFD0CCD"/>
    <w:rsid w:val="FCBFF14F"/>
    <w:rsid w:val="FDF5D20E"/>
    <w:rsid w:val="FEA7757A"/>
    <w:rsid w:val="FFBF6A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9"/>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0"/>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21"/>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8">
    <w:name w:val="footer"/>
    <w:basedOn w:val="1"/>
    <w:semiHidden/>
    <w:unhideWhenUsed/>
    <w:qFormat/>
    <w:uiPriority w:val="99"/>
    <w:pPr>
      <w:tabs>
        <w:tab w:val="center" w:pos="4153"/>
        <w:tab w:val="right" w:pos="8306"/>
      </w:tabs>
      <w:snapToGrid w:val="0"/>
      <w:jc w:val="left"/>
    </w:pPr>
    <w:rPr>
      <w:sz w:val="18"/>
    </w:rPr>
  </w:style>
  <w:style w:type="paragraph" w:styleId="9">
    <w:name w:val="header"/>
    <w:basedOn w:val="1"/>
    <w:link w:val="17"/>
    <w:unhideWhenUsed/>
    <w:qFormat/>
    <w:uiPriority w:val="99"/>
    <w:pPr>
      <w:tabs>
        <w:tab w:val="center" w:pos="4680"/>
        <w:tab w:val="right" w:pos="9360"/>
      </w:tabs>
    </w:pPr>
  </w:style>
  <w:style w:type="paragraph" w:styleId="10">
    <w:name w:val="Subtitle"/>
    <w:basedOn w:val="1"/>
    <w:next w:val="1"/>
    <w:link w:val="22"/>
    <w:qFormat/>
    <w:uiPriority w:val="11"/>
    <w:pPr>
      <w:ind w:left="86"/>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1">
    <w:name w:val="Title"/>
    <w:basedOn w:val="1"/>
    <w:next w:val="1"/>
    <w:link w:val="23"/>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table" w:styleId="13">
    <w:name w:val="Table Grid"/>
    <w:basedOn w:val="12"/>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5">
    <w:name w:val="Emphasis"/>
    <w:basedOn w:val="14"/>
    <w:qFormat/>
    <w:uiPriority w:val="20"/>
    <w:rPr>
      <w:i/>
      <w:iCs/>
    </w:rPr>
  </w:style>
  <w:style w:type="character" w:styleId="16">
    <w:name w:val="Hyperlink"/>
    <w:basedOn w:val="14"/>
    <w:unhideWhenUsed/>
    <w:qFormat/>
    <w:uiPriority w:val="99"/>
    <w:rPr>
      <w:color w:val="0000FF" w:themeColor="hyperlink"/>
      <w:u w:val="single"/>
      <w14:textFill>
        <w14:solidFill>
          <w14:schemeClr w14:val="hlink"/>
        </w14:solidFill>
      </w14:textFill>
    </w:rPr>
  </w:style>
  <w:style w:type="character" w:customStyle="1" w:styleId="17">
    <w:name w:val="Header Char"/>
    <w:basedOn w:val="14"/>
    <w:link w:val="9"/>
    <w:qFormat/>
    <w:uiPriority w:val="99"/>
  </w:style>
  <w:style w:type="character" w:customStyle="1" w:styleId="18">
    <w:name w:val="Heading 1 Char"/>
    <w:basedOn w:val="14"/>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9">
    <w:name w:val="Heading 2 Char"/>
    <w:basedOn w:val="14"/>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0">
    <w:name w:val="Heading 3 Char"/>
    <w:basedOn w:val="14"/>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1">
    <w:name w:val="Heading 4 Char"/>
    <w:basedOn w:val="14"/>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2">
    <w:name w:val="Subtitle Char"/>
    <w:basedOn w:val="14"/>
    <w:link w:val="10"/>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3">
    <w:name w:val="Title Char"/>
    <w:basedOn w:val="14"/>
    <w:link w:val="11"/>
    <w:qFormat/>
    <w:uiPriority w:val="10"/>
    <w:rPr>
      <w:rFonts w:asciiTheme="majorHAnsi" w:hAnsiTheme="majorHAnsi" w:eastAsiaTheme="majorEastAsia" w:cstheme="majorBidi"/>
      <w:color w:val="17375E" w:themeColor="text2" w:themeShade="BF"/>
      <w:spacing w:val="5"/>
      <w:kern w:val="28"/>
      <w:sz w:val="52"/>
      <w:szCs w:val="5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20</Pages>
  <Words>7450</Words>
  <Characters>8339</Characters>
  <TotalTime>43</TotalTime>
  <ScaleCrop>false</ScaleCrop>
  <LinksUpToDate>false</LinksUpToDate>
  <CharactersWithSpaces>8349</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2026-08-20T17:16:00Z</dcterms:created>
  <dc:creator>user</dc:creator>
  <cp:lastModifiedBy>user</cp:lastModifiedBy>
  <cp:lastPrinted>2026-08-25T04:00:00Z</cp:lastPrinted>
  <dcterms:modified xsi:type="dcterms:W3CDTF">2026-08-24T20:14:37Z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5216EBA35BE4482CA4B4EFB9283B40DE_13</vt:lpwstr>
  </property>
  <property fmtid="{D5CDD505-2E9C-101B-9397-08002B2CF9AE}" pid="4" name="KSOTemplateDocerSaveRecord">
    <vt:lpwstr>eyJoZGlkIjoiNThiYTJlOTYyYzMwNDc1MWQ0MmQ0MjM2MDYyN2M3NmYiLCJ1c2VySWQiOiIyNDIxODUzMzcifQ==</vt:lpwstr>
  </property>
</Properties>
</file>