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D8A0AE">
      <w:pPr>
        <w:widowControl/>
        <w:spacing w:before="0" w:beforeLines="0" w:beforeAutospacing="0" w:after="0" w:afterLines="0" w:afterAutospacing="0" w:line="240" w:lineRule="auto"/>
        <w:jc w:val="left"/>
        <w:rPr>
          <w:rFonts w:hint="eastAsia" w:ascii="宋体" w:eastAsia="宋体"/>
          <w:sz w:val="32"/>
          <w:szCs w:val="32"/>
          <w:lang w:eastAsia="zh-CN"/>
        </w:rPr>
      </w:pPr>
    </w:p>
    <w:p w14:paraId="1A5C9A49">
      <w:pPr>
        <w:widowControl/>
        <w:spacing w:before="0" w:beforeLines="0" w:beforeAutospacing="0" w:after="0" w:afterLines="0" w:afterAutospacing="0" w:line="240" w:lineRule="auto"/>
        <w:jc w:val="left"/>
        <w:rPr>
          <w:rFonts w:ascii="宋体" w:eastAsia="宋体"/>
          <w:sz w:val="44"/>
          <w:szCs w:val="44"/>
        </w:rPr>
      </w:pPr>
    </w:p>
    <w:p w14:paraId="0EA98FFD">
      <w:pPr>
        <w:widowControl/>
        <w:spacing w:before="0" w:beforeLines="0" w:beforeAutospacing="0" w:after="0" w:afterLines="0" w:afterAutospacing="0" w:line="240" w:lineRule="auto"/>
        <w:jc w:val="left"/>
        <w:rPr>
          <w:rFonts w:ascii="宋体" w:eastAsia="宋体"/>
          <w:sz w:val="44"/>
          <w:szCs w:val="44"/>
        </w:rPr>
      </w:pPr>
    </w:p>
    <w:p w14:paraId="060D1380">
      <w:pPr>
        <w:widowControl/>
        <w:spacing w:before="0" w:beforeLines="0" w:beforeAutospacing="0" w:after="0" w:afterLines="0" w:afterAutospacing="0" w:line="240" w:lineRule="auto"/>
        <w:jc w:val="left"/>
        <w:rPr>
          <w:rFonts w:ascii="宋体" w:eastAsia="宋体"/>
          <w:sz w:val="44"/>
          <w:szCs w:val="44"/>
        </w:rPr>
      </w:pPr>
    </w:p>
    <w:p w14:paraId="358F6E66">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r>
        <w:rPr>
          <w:rFonts w:hint="eastAsia" w:ascii="方正小标宋_GBK" w:hAnsi="宋体" w:eastAsia="方正小标宋_GBK" w:cs="Times New Roman"/>
          <w:kern w:val="2"/>
          <w:sz w:val="44"/>
          <w:szCs w:val="44"/>
          <w:highlight w:val="none"/>
          <w:lang w:eastAsia="zh-CN"/>
        </w:rPr>
        <w:t>新疆维吾尔自治区地名标准化中心</w:t>
      </w:r>
    </w:p>
    <w:p w14:paraId="02D29F49">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r>
        <w:rPr>
          <w:rFonts w:hint="eastAsia" w:ascii="方正小标宋_GBK" w:hAnsi="宋体" w:eastAsia="方正小标宋_GBK" w:cs="Times New Roman"/>
          <w:kern w:val="2"/>
          <w:sz w:val="44"/>
          <w:szCs w:val="44"/>
          <w:highlight w:val="none"/>
          <w:lang w:eastAsia="zh-CN"/>
        </w:rPr>
        <w:t>2025年度部门决算公开说明</w:t>
      </w:r>
    </w:p>
    <w:p w14:paraId="76CD8689">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6F0ED037">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6F5FBB32">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39869AF9">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6016D924">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2BAAE4FC">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076396B5">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1CC13675">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4BD071B9">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73EC9AA1">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4FED3B87">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392EFFEE">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73168B94">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67306790">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0F08941F">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方正小标宋_GBK" w:hAnsi="宋体" w:eastAsia="方正小标宋_GBK" w:cs="Times New Roman"/>
          <w:kern w:val="2"/>
          <w:sz w:val="44"/>
          <w:szCs w:val="44"/>
          <w:highlight w:val="none"/>
          <w:lang w:eastAsia="zh-CN"/>
        </w:rPr>
      </w:pPr>
    </w:p>
    <w:p w14:paraId="1B6172D7">
      <w:pPr>
        <w:keepNext w:val="0"/>
        <w:keepLines w:val="0"/>
        <w:pageBreakBefore w:val="0"/>
        <w:widowControl w:val="0"/>
        <w:kinsoku/>
        <w:wordWrap/>
        <w:overflowPunct/>
        <w:topLinePunct w:val="0"/>
        <w:autoSpaceDE/>
        <w:autoSpaceDN/>
        <w:bidi w:val="0"/>
        <w:adjustRightInd/>
        <w:snapToGrid/>
        <w:spacing w:after="0" w:line="640" w:lineRule="exact"/>
        <w:jc w:val="center"/>
        <w:textAlignment w:val="auto"/>
        <w:rPr>
          <w:rFonts w:hint="eastAsia" w:ascii="宋体" w:hAnsi="宋体" w:eastAsia="宋体" w:cs="宋体"/>
          <w:b/>
          <w:bCs/>
          <w:kern w:val="2"/>
          <w:sz w:val="44"/>
          <w:szCs w:val="44"/>
          <w:highlight w:val="none"/>
          <w:lang w:eastAsia="zh-CN"/>
        </w:rPr>
      </w:pPr>
      <w:r>
        <w:rPr>
          <w:rFonts w:hint="eastAsia" w:ascii="宋体" w:hAnsi="宋体" w:eastAsia="宋体" w:cs="宋体"/>
          <w:b/>
          <w:bCs/>
          <w:kern w:val="2"/>
          <w:sz w:val="44"/>
          <w:szCs w:val="44"/>
          <w:highlight w:val="none"/>
          <w:lang w:eastAsia="zh-CN"/>
        </w:rPr>
        <w:t>目录</w:t>
      </w:r>
    </w:p>
    <w:p w14:paraId="5D0CBE77">
      <w:pPr>
        <w:keepNext w:val="0"/>
        <w:keepLines w:val="0"/>
        <w:pageBreakBefore w:val="0"/>
        <w:widowControl w:val="0"/>
        <w:kinsoku/>
        <w:wordWrap/>
        <w:overflowPunct/>
        <w:topLinePunct w:val="0"/>
        <w:autoSpaceDE/>
        <w:autoSpaceDN/>
        <w:bidi w:val="0"/>
        <w:adjustRightInd/>
        <w:snapToGrid/>
        <w:spacing w:after="0" w:line="640" w:lineRule="exact"/>
        <w:jc w:val="both"/>
        <w:textAlignment w:val="auto"/>
        <w:rPr>
          <w:rFonts w:hint="eastAsia" w:ascii="仿宋_GB2312" w:hAnsi="仿宋_GB2312" w:eastAsia="仿宋_GB2312" w:cs="仿宋_GB2312"/>
          <w:b/>
          <w:bCs/>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第一部分 单位概况</w:t>
      </w:r>
    </w:p>
    <w:p w14:paraId="22936F11">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一、主要职能</w:t>
      </w:r>
    </w:p>
    <w:p w14:paraId="4D2A0719">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二、机构设置</w:t>
      </w:r>
    </w:p>
    <w:p w14:paraId="1AAAF47E">
      <w:pPr>
        <w:widowControl/>
        <w:spacing w:before="0" w:beforeLines="0" w:beforeAutospacing="0" w:after="0" w:afterLines="0" w:afterAutospacing="0" w:line="240" w:lineRule="auto"/>
        <w:jc w:val="left"/>
        <w:rPr>
          <w:rFonts w:hint="eastAsia" w:ascii="仿宋_GB2312" w:hAnsi="仿宋_GB2312" w:eastAsia="仿宋_GB2312" w:cs="仿宋_GB2312"/>
          <w:b/>
          <w:bCs/>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第二部分 部门决算情况说明</w:t>
      </w:r>
    </w:p>
    <w:p w14:paraId="5BE04F42">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一、收入支出决算总体情况说明</w:t>
      </w:r>
    </w:p>
    <w:p w14:paraId="73C58E62">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二、收入决算情况说明</w:t>
      </w:r>
    </w:p>
    <w:p w14:paraId="158B2904">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三、支出决算情况说明</w:t>
      </w:r>
    </w:p>
    <w:p w14:paraId="3EB59819">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四、财政拨款收入支出决算总体情况说明</w:t>
      </w:r>
    </w:p>
    <w:p w14:paraId="4EE3DA77">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五、一般公共预算财政拨款支出决算情况说明</w:t>
      </w:r>
    </w:p>
    <w:p w14:paraId="1173A1D9">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（一）一般公共预算财政拨款支出决算总体情况</w:t>
      </w:r>
    </w:p>
    <w:p w14:paraId="085B141F">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（二）一般公共预算财政拨款支出决算结构情况</w:t>
      </w:r>
    </w:p>
    <w:p w14:paraId="3F29DC25">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（三）一般公共预算财政拨款支出决算具体情况</w:t>
      </w:r>
    </w:p>
    <w:p w14:paraId="4D096DCF">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firstLine="320" w:firstLineChars="1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六、一般公共预算财政拨款基本支出决算情况说明</w:t>
      </w:r>
    </w:p>
    <w:p w14:paraId="0F19065C">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firstLine="320" w:firstLineChars="1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七、政府性基金预算财政拨款收入支出决算情况说明</w:t>
      </w:r>
    </w:p>
    <w:p w14:paraId="3047C5EF">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firstLine="320" w:firstLineChars="1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八、国有资本经营预算财政拨款收入支出决算情况说明</w:t>
      </w:r>
    </w:p>
    <w:p w14:paraId="0C7AC473">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firstLine="320" w:firstLineChars="1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九、财政拨款“三公”经费支出决算情况说明</w:t>
      </w:r>
    </w:p>
    <w:p w14:paraId="3F9ACCC0">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firstLine="320" w:firstLineChars="1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十、其他重要事项的情况说明</w:t>
      </w:r>
    </w:p>
    <w:p w14:paraId="16D5DF9F">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（一）机关运行经费及公用经费支出情况</w:t>
      </w:r>
    </w:p>
    <w:p w14:paraId="046140B2">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（二）政府采购情况</w:t>
      </w:r>
    </w:p>
    <w:p w14:paraId="1BE486BA">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left="0" w:leftChars="0" w:firstLine="640" w:firstLineChars="2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（三）国有资产占用情况说明</w:t>
      </w:r>
    </w:p>
    <w:p w14:paraId="6CB12189">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firstLine="320" w:firstLineChars="1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十一、预算绩效的情况说明</w:t>
      </w:r>
    </w:p>
    <w:p w14:paraId="201D0346">
      <w:pPr>
        <w:pStyle w:val="11"/>
        <w:keepNext w:val="0"/>
        <w:keepLines w:val="0"/>
        <w:pageBreakBefore w:val="0"/>
        <w:widowControl w:val="0"/>
        <w:tabs>
          <w:tab w:val="right" w:leader="dot" w:pos="8306"/>
        </w:tabs>
        <w:kinsoku/>
        <w:wordWrap/>
        <w:overflowPunct/>
        <w:topLinePunct w:val="0"/>
        <w:autoSpaceDE/>
        <w:autoSpaceDN/>
        <w:bidi w:val="0"/>
        <w:adjustRightInd/>
        <w:snapToGrid/>
        <w:spacing w:after="0" w:line="600" w:lineRule="exact"/>
        <w:ind w:firstLine="320" w:firstLineChars="100"/>
        <w:jc w:val="both"/>
        <w:textAlignment w:val="auto"/>
        <w:rPr>
          <w:rFonts w:hint="eastAsia" w:ascii="仿宋_GB2312" w:hAnsi="仿宋_GB2312" w:eastAsia="仿宋_GB2312" w:cs="仿宋_GB2312"/>
          <w:kern w:val="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rPr>
        <w:t>十二、其他需说明的事项</w:t>
      </w:r>
    </w:p>
    <w:p w14:paraId="41F0A9BB">
      <w:pPr>
        <w:widowControl/>
        <w:spacing w:before="0" w:beforeLines="0" w:beforeAutospacing="0" w:after="0" w:afterLines="0" w:afterAutospacing="0" w:line="240" w:lineRule="auto"/>
        <w:jc w:val="left"/>
        <w:rPr>
          <w:rFonts w:hint="eastAsia" w:ascii="仿宋_GB2312" w:hAnsi="仿宋_GB2312" w:eastAsia="仿宋_GB2312" w:cs="仿宋_GB2312"/>
          <w:b/>
          <w:bCs/>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第三部分 专业名词解释</w:t>
      </w:r>
    </w:p>
    <w:p w14:paraId="1B3C4661">
      <w:pPr>
        <w:widowControl/>
        <w:spacing w:before="0" w:beforeLines="0" w:beforeAutospacing="0" w:after="0" w:afterLines="0" w:afterAutospacing="0" w:line="240" w:lineRule="auto"/>
        <w:jc w:val="left"/>
        <w:rPr>
          <w:rFonts w:hint="eastAsia" w:ascii="仿宋_GB2312" w:hAnsi="仿宋_GB2312" w:eastAsia="仿宋_GB2312" w:cs="仿宋_GB2312"/>
          <w:b/>
          <w:bCs/>
          <w:kern w:val="2"/>
          <w:sz w:val="32"/>
          <w:szCs w:val="32"/>
          <w:highlight w:val="none"/>
          <w:lang w:val="en-US" w:eastAsia="zh-CN" w:bidi="ar-SA"/>
        </w:rPr>
      </w:pPr>
      <w:r>
        <w:rPr>
          <w:rFonts w:hint="eastAsia" w:ascii="仿宋_GB2312" w:hAnsi="仿宋_GB2312" w:eastAsia="仿宋_GB2312" w:cs="仿宋_GB2312"/>
          <w:b/>
          <w:bCs/>
          <w:kern w:val="2"/>
          <w:sz w:val="32"/>
          <w:szCs w:val="32"/>
          <w:highlight w:val="none"/>
          <w:lang w:val="en-US" w:eastAsia="zh-CN" w:bidi="ar-SA"/>
        </w:rPr>
        <w:t>第四部分 部门决算报表（见附表）</w:t>
      </w:r>
    </w:p>
    <w:p w14:paraId="4C5E51FC">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一、《收入支出决算总表》</w:t>
      </w:r>
    </w:p>
    <w:p w14:paraId="6BC46E5A">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二、《收入决算表》</w:t>
      </w:r>
    </w:p>
    <w:p w14:paraId="72742E8F">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三、《支出决算表》</w:t>
      </w:r>
    </w:p>
    <w:p w14:paraId="2636F790">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四、《财政拨款收入支出决算总表》</w:t>
      </w:r>
    </w:p>
    <w:p w14:paraId="413E0BDE">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五、《一般公共预算财政拨款支出决算表》</w:t>
      </w:r>
    </w:p>
    <w:p w14:paraId="5960326F">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六、《一般公共预算财政拨款基本支出决算表》</w:t>
      </w:r>
    </w:p>
    <w:p w14:paraId="33E9B7D9">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七、《政府性基金预算财政拨款收入支出决算表》</w:t>
      </w:r>
    </w:p>
    <w:p w14:paraId="2B96A81C">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八、《国有资本经营预算财政拨款收入支出决算表》</w:t>
      </w:r>
    </w:p>
    <w:p w14:paraId="30AFEEE8">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九、《财政拨款“三公”经费支出决算表》</w:t>
      </w:r>
    </w:p>
    <w:p w14:paraId="28EC4EA6">
      <w:pPr>
        <w:keepNext w:val="0"/>
        <w:keepLines w:val="0"/>
        <w:pageBreakBefore w:val="0"/>
        <w:widowControl w:val="0"/>
        <w:kinsoku/>
        <w:wordWrap/>
        <w:overflowPunct/>
        <w:topLinePunct w:val="0"/>
        <w:autoSpaceDE/>
        <w:autoSpaceDN/>
        <w:bidi w:val="0"/>
        <w:adjustRightInd/>
        <w:snapToGrid/>
        <w:spacing w:after="0" w:line="600" w:lineRule="exact"/>
        <w:ind w:firstLine="600" w:firstLineChars="200"/>
        <w:jc w:val="both"/>
        <w:textAlignment w:val="auto"/>
        <w:rPr>
          <w:rFonts w:hint="eastAsia" w:ascii="仿宋_GB2312" w:hAnsi="仿宋_GB2312" w:eastAsia="仿宋_GB2312" w:cs="仿宋_GB2312"/>
          <w:kern w:val="2"/>
          <w:sz w:val="30"/>
          <w:szCs w:val="30"/>
          <w:highlight w:val="none"/>
          <w:lang w:val="en-US" w:eastAsia="zh-CN" w:bidi="ar-SA"/>
        </w:rPr>
      </w:pPr>
      <w:r>
        <w:rPr>
          <w:rFonts w:hint="eastAsia" w:ascii="仿宋_GB2312" w:hAnsi="仿宋_GB2312" w:eastAsia="仿宋_GB2312" w:cs="仿宋_GB2312"/>
          <w:kern w:val="2"/>
          <w:sz w:val="30"/>
          <w:szCs w:val="30"/>
          <w:highlight w:val="none"/>
          <w:lang w:val="en-US" w:eastAsia="zh-CN" w:bidi="ar-SA"/>
        </w:rPr>
        <w:br w:type="page"/>
      </w:r>
    </w:p>
    <w:p w14:paraId="2767264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outlineLvl w:val="0"/>
        <w:rPr>
          <w:rFonts w:hint="eastAsia" w:ascii="方正小标宋_GBK" w:hAnsi="方正小标宋_GBK" w:eastAsia="方正小标宋_GBK" w:cs="方正小标宋_GBK"/>
          <w:kern w:val="2"/>
          <w:sz w:val="44"/>
          <w:szCs w:val="44"/>
          <w:highlight w:val="none"/>
          <w:lang w:val="en-US" w:eastAsia="zh-CN"/>
        </w:rPr>
      </w:pPr>
      <w:r>
        <w:rPr>
          <w:rFonts w:hint="eastAsia" w:ascii="方正小标宋_GBK" w:hAnsi="方正小标宋_GBK" w:eastAsia="方正小标宋_GBK" w:cs="方正小标宋_GBK"/>
          <w:kern w:val="2"/>
          <w:sz w:val="44"/>
          <w:szCs w:val="44"/>
          <w:highlight w:val="none"/>
          <w:lang w:val="en-US" w:eastAsia="zh-CN"/>
        </w:rPr>
        <w:t>第一部分  单位概况</w:t>
      </w:r>
    </w:p>
    <w:p w14:paraId="446ED2C9">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outlineLvl w:val="1"/>
        <w:rPr>
          <w:rFonts w:hint="eastAsia" w:ascii="黑体" w:hAnsi="黑体" w:eastAsia="黑体" w:cs="宋体"/>
          <w:bCs/>
          <w:kern w:val="0"/>
          <w:sz w:val="32"/>
          <w:szCs w:val="32"/>
          <w:highlight w:val="none"/>
          <w:lang w:val="en-US" w:eastAsia="zh-CN"/>
        </w:rPr>
      </w:pPr>
    </w:p>
    <w:p w14:paraId="42CA7EBB">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一、主要职能</w:t>
      </w:r>
    </w:p>
    <w:p w14:paraId="07E64253">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仿宋_GB2312" w:cs="Times New Roman"/>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承接全疆地名标准化处理，草拟地名的各种技术标准，开展地名命名，更名的应用工作，发布标准地名，收集、整理、保管全疆地名档案资料。</w:t>
      </w:r>
    </w:p>
    <w:p w14:paraId="7DD5B730">
      <w:pPr>
        <w:keepNext w:val="0"/>
        <w:keepLines w:val="0"/>
        <w:pageBreakBefore w:val="0"/>
        <w:widowControl w:val="0"/>
        <w:kinsoku/>
        <w:wordWrap/>
        <w:overflowPunct/>
        <w:topLinePunct w:val="0"/>
        <w:autoSpaceDE/>
        <w:autoSpaceDN/>
        <w:bidi w:val="0"/>
        <w:adjustRightInd/>
        <w:snapToGrid/>
        <w:spacing w:after="0" w:line="240" w:lineRule="auto"/>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二、机构设置</w:t>
      </w:r>
    </w:p>
    <w:p w14:paraId="4682BF21">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新疆维吾尔自治区地名标准化中心无下属预算单位。</w:t>
      </w:r>
    </w:p>
    <w:p w14:paraId="12C4BBB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仿宋_GB2312" w:cs="Times New Roman"/>
          <w:color w:val="auto"/>
          <w:kern w:val="2"/>
          <w:sz w:val="32"/>
          <w:szCs w:val="32"/>
          <w:lang w:val="en-US" w:eastAsia="zh-CN" w:bidi="ar-SA"/>
        </w:rPr>
      </w:pPr>
      <w:r>
        <w:rPr>
          <w:rFonts w:hint="eastAsia" w:ascii="Times New Roman" w:hAnsi="Times New Roman" w:eastAsia="仿宋_GB2312" w:cs="Times New Roman"/>
          <w:color w:val="auto"/>
          <w:kern w:val="2"/>
          <w:sz w:val="32"/>
          <w:szCs w:val="32"/>
          <w:lang w:val="en-US" w:eastAsia="zh-CN" w:bidi="ar-SA"/>
        </w:rPr>
        <w:br w:type="page"/>
      </w:r>
    </w:p>
    <w:p w14:paraId="54E3C63F">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firstLine="1760" w:firstLineChars="400"/>
        <w:jc w:val="both"/>
        <w:textAlignment w:val="auto"/>
        <w:outlineLvl w:val="0"/>
        <w:rPr>
          <w:rFonts w:hint="eastAsia" w:ascii="黑体" w:hAnsi="黑体" w:eastAsia="黑体" w:cs="宋体"/>
          <w:bCs/>
          <w:kern w:val="0"/>
          <w:sz w:val="32"/>
          <w:szCs w:val="32"/>
          <w:highlight w:val="none"/>
          <w:lang w:val="en-US" w:eastAsia="zh-CN"/>
        </w:rPr>
      </w:pPr>
      <w:r>
        <w:rPr>
          <w:rFonts w:hint="eastAsia" w:ascii="方正小标宋_GBK" w:hAnsi="方正小标宋_GBK" w:eastAsia="方正小标宋_GBK" w:cs="方正小标宋_GBK"/>
          <w:kern w:val="2"/>
          <w:sz w:val="44"/>
          <w:szCs w:val="44"/>
          <w:highlight w:val="none"/>
          <w:lang w:val="en-US" w:eastAsia="zh-CN"/>
        </w:rPr>
        <w:t>第二部分  部门决算情况说明</w:t>
      </w:r>
    </w:p>
    <w:p w14:paraId="26820750">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firstLine="880" w:firstLineChars="200"/>
        <w:jc w:val="both"/>
        <w:textAlignment w:val="auto"/>
        <w:outlineLvl w:val="0"/>
        <w:rPr>
          <w:rFonts w:hint="eastAsia" w:ascii="方正小标宋_GBK" w:hAnsi="方正小标宋_GBK" w:eastAsia="方正小标宋_GBK" w:cs="方正小标宋_GBK"/>
          <w:kern w:val="2"/>
          <w:sz w:val="44"/>
          <w:szCs w:val="44"/>
          <w:highlight w:val="none"/>
          <w:lang w:val="en-US" w:eastAsia="zh-CN"/>
        </w:rPr>
      </w:pPr>
    </w:p>
    <w:p w14:paraId="1E236999">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firstLine="640" w:firstLineChars="200"/>
        <w:jc w:val="both"/>
        <w:textAlignment w:val="auto"/>
        <w:outlineLvl w:val="0"/>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一、收入支出决算总体情况说明</w:t>
      </w:r>
    </w:p>
    <w:p w14:paraId="0456F2B5">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b/>
          <w:bCs/>
          <w:color w:val="auto"/>
          <w:kern w:val="2"/>
          <w:sz w:val="32"/>
          <w:szCs w:val="32"/>
          <w:lang w:val="en-US" w:eastAsia="zh-CN" w:bidi="ar-SA"/>
        </w:rPr>
        <w:t>2025年度收入总计924.18万元，</w:t>
      </w:r>
      <w:r>
        <w:rPr>
          <w:rFonts w:hint="default" w:ascii="Times New Roman" w:hAnsi="Times New Roman" w:eastAsia="方正仿宋_GBK" w:cs="Times New Roman"/>
          <w:color w:val="auto"/>
          <w:kern w:val="2"/>
          <w:sz w:val="32"/>
          <w:szCs w:val="32"/>
          <w:lang w:val="en-US" w:eastAsia="zh-CN" w:bidi="ar-SA"/>
        </w:rPr>
        <w:t>其中：本年收入合计894.62万元，使用非财政拨款结余（含专用结余）0.00万元，年初结转和结余29.56万元。</w:t>
      </w:r>
    </w:p>
    <w:p w14:paraId="4E667863">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b/>
          <w:bCs/>
          <w:color w:val="auto"/>
          <w:kern w:val="2"/>
          <w:sz w:val="32"/>
          <w:szCs w:val="32"/>
          <w:lang w:val="en-US" w:eastAsia="zh-CN" w:bidi="ar-SA"/>
        </w:rPr>
        <w:t>2025年度支出总计924.18万元，</w:t>
      </w:r>
      <w:r>
        <w:rPr>
          <w:rFonts w:hint="default" w:ascii="Times New Roman" w:hAnsi="Times New Roman" w:eastAsia="方正仿宋_GBK" w:cs="Times New Roman"/>
          <w:color w:val="auto"/>
          <w:kern w:val="2"/>
          <w:sz w:val="32"/>
          <w:szCs w:val="32"/>
          <w:lang w:val="en-US" w:eastAsia="zh-CN" w:bidi="ar-SA"/>
        </w:rPr>
        <w:t>其中：本年支出合计894.45万元，结余分配0.00万元，年末结转和结余29.74万元。</w:t>
      </w:r>
    </w:p>
    <w:p w14:paraId="1C672A17">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lang w:val="en-US" w:eastAsia="zh-CN" w:bidi="ar-SA"/>
        </w:rPr>
        <w:t>收入支出总体与上年相比，增加128.69万元，增长16.18%，主要原因是：自治区地名档案资料馆抗震加固维修及建设红色地名文化教育基地项目</w:t>
      </w:r>
      <w:r>
        <w:rPr>
          <w:rFonts w:hint="eastAsia" w:ascii="Times New Roman" w:hAnsi="Times New Roman" w:eastAsia="方正仿宋_GBK" w:cs="Times New Roman"/>
          <w:color w:val="auto"/>
          <w:kern w:val="2"/>
          <w:sz w:val="32"/>
          <w:szCs w:val="32"/>
          <w:lang w:val="en-US" w:eastAsia="zh-CN" w:bidi="ar-SA"/>
        </w:rPr>
        <w:t>结转资金增加</w:t>
      </w:r>
      <w:r>
        <w:rPr>
          <w:rFonts w:hint="default" w:ascii="Times New Roman" w:hAnsi="Times New Roman" w:eastAsia="方正仿宋_GBK" w:cs="Times New Roman"/>
          <w:color w:val="auto"/>
          <w:kern w:val="2"/>
          <w:sz w:val="32"/>
          <w:szCs w:val="32"/>
          <w:lang w:val="en-US" w:eastAsia="zh-CN" w:bidi="ar-SA"/>
        </w:rPr>
        <w:t>，</w:t>
      </w:r>
      <w:r>
        <w:rPr>
          <w:rFonts w:hint="eastAsia" w:ascii="Times New Roman" w:hAnsi="Times New Roman" w:eastAsia="方正仿宋_GBK" w:cs="Times New Roman"/>
          <w:color w:val="auto"/>
          <w:kern w:val="2"/>
          <w:sz w:val="32"/>
          <w:szCs w:val="32"/>
          <w:lang w:val="en-US" w:eastAsia="zh-CN" w:bidi="ar-SA"/>
        </w:rPr>
        <w:t>支出较上年增加</w:t>
      </w:r>
      <w:r>
        <w:rPr>
          <w:rFonts w:hint="default" w:ascii="Times New Roman" w:hAnsi="Times New Roman" w:eastAsia="方正仿宋_GBK" w:cs="Times New Roman"/>
          <w:color w:val="auto"/>
          <w:kern w:val="2"/>
          <w:sz w:val="32"/>
          <w:szCs w:val="32"/>
          <w:lang w:val="en-US" w:eastAsia="zh-CN" w:bidi="ar-SA"/>
        </w:rPr>
        <w:t>。</w:t>
      </w:r>
    </w:p>
    <w:p w14:paraId="1CE3E197">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二、收入决算情况说明</w:t>
      </w:r>
    </w:p>
    <w:p w14:paraId="302DC493">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b/>
          <w:bCs/>
          <w:color w:val="auto"/>
          <w:kern w:val="2"/>
          <w:sz w:val="32"/>
          <w:szCs w:val="32"/>
          <w:lang w:val="en-US" w:eastAsia="zh-CN" w:bidi="ar-SA"/>
        </w:rPr>
        <w:t>本年收入894.62万元，</w:t>
      </w:r>
      <w:r>
        <w:rPr>
          <w:rFonts w:hint="eastAsia" w:ascii="Times New Roman" w:hAnsi="Times New Roman" w:eastAsia="方正仿宋_GBK" w:cs="Times New Roman"/>
          <w:color w:val="auto"/>
          <w:kern w:val="2"/>
          <w:sz w:val="32"/>
          <w:szCs w:val="32"/>
          <w:lang w:val="en-US" w:eastAsia="zh-CN" w:bidi="ar-SA"/>
        </w:rPr>
        <w:t>其中：财政拨款收入894.58万元,占100.00%；上级补助收入0.00万元,占0.00%；事业收入0.00万元，占0.00%；经营收入0.00万元,占0.00%；附属单位上缴收入0.00万元，占0.00%；其他收入0.04万元，占0.00%。</w:t>
      </w:r>
    </w:p>
    <w:p w14:paraId="34E06BF7">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三、支出决算情况说明</w:t>
      </w:r>
    </w:p>
    <w:p w14:paraId="0F9CB248">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b/>
          <w:bCs/>
          <w:color w:val="auto"/>
          <w:kern w:val="2"/>
          <w:sz w:val="32"/>
          <w:szCs w:val="32"/>
          <w:lang w:val="en-US" w:eastAsia="zh-CN" w:bidi="ar-SA"/>
        </w:rPr>
        <w:t>本年支出894.45万元，</w:t>
      </w:r>
      <w:r>
        <w:rPr>
          <w:rFonts w:hint="eastAsia" w:ascii="Times New Roman" w:hAnsi="Times New Roman" w:eastAsia="方正仿宋_GBK" w:cs="Times New Roman"/>
          <w:color w:val="auto"/>
          <w:kern w:val="2"/>
          <w:sz w:val="32"/>
          <w:szCs w:val="32"/>
          <w:lang w:val="en-US" w:eastAsia="zh-CN" w:bidi="ar-SA"/>
        </w:rPr>
        <w:t>其中：基本支出573.99万元，占64.17%；项目支出320.45万元，占35.83%；上缴上级支出0.00万元，占0.00%；经营支出0.00万元，占0.00%；对附属单位补助支出0.00万元，占0.00%。</w:t>
      </w:r>
    </w:p>
    <w:p w14:paraId="79C2C9BE">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四、财政拨款收入支出决算总体情况说明</w:t>
      </w:r>
    </w:p>
    <w:p w14:paraId="5A849A92">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b/>
          <w:bCs/>
          <w:color w:val="auto"/>
          <w:kern w:val="2"/>
          <w:sz w:val="32"/>
          <w:szCs w:val="32"/>
          <w:lang w:val="en-US" w:eastAsia="zh-CN" w:bidi="ar-SA"/>
        </w:rPr>
        <w:t>2025年度财政拨款收入总计924.14万元，</w:t>
      </w:r>
      <w:r>
        <w:rPr>
          <w:rFonts w:hint="eastAsia" w:ascii="Times New Roman" w:hAnsi="Times New Roman" w:eastAsia="方正仿宋_GBK" w:cs="Times New Roman"/>
          <w:color w:val="auto"/>
          <w:kern w:val="2"/>
          <w:sz w:val="32"/>
          <w:szCs w:val="32"/>
          <w:lang w:val="en-US" w:eastAsia="zh-CN" w:bidi="ar-SA"/>
        </w:rPr>
        <w:t>其中：年初财政拨款结转和结余29.56万元，本年财政拨款收入894.58万元。</w:t>
      </w:r>
      <w:r>
        <w:rPr>
          <w:rFonts w:hint="eastAsia" w:ascii="Times New Roman" w:hAnsi="Times New Roman" w:eastAsia="方正仿宋_GBK" w:cs="Times New Roman"/>
          <w:b/>
          <w:bCs/>
          <w:color w:val="auto"/>
          <w:kern w:val="2"/>
          <w:sz w:val="32"/>
          <w:szCs w:val="32"/>
          <w:lang w:val="en-US" w:eastAsia="zh-CN" w:bidi="ar-SA"/>
        </w:rPr>
        <w:t>财政拨款支出总计924.14万元，</w:t>
      </w:r>
      <w:r>
        <w:rPr>
          <w:rFonts w:hint="eastAsia" w:ascii="Times New Roman" w:hAnsi="Times New Roman" w:eastAsia="方正仿宋_GBK" w:cs="Times New Roman"/>
          <w:color w:val="auto"/>
          <w:kern w:val="2"/>
          <w:sz w:val="32"/>
          <w:szCs w:val="32"/>
          <w:lang w:val="en-US" w:eastAsia="zh-CN" w:bidi="ar-SA"/>
        </w:rPr>
        <w:t>其中：年末财政拨款结转和结余29.69万元，本年财政拨款支出894.45万元。</w:t>
      </w:r>
    </w:p>
    <w:p w14:paraId="747B80C5">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b/>
          <w:bCs/>
          <w:color w:val="auto"/>
          <w:kern w:val="2"/>
          <w:sz w:val="32"/>
          <w:szCs w:val="32"/>
          <w:lang w:val="en-US" w:eastAsia="zh-CN" w:bidi="ar-SA"/>
        </w:rPr>
        <w:t>财政拨款收入支出总体与上年相比，</w:t>
      </w:r>
      <w:r>
        <w:rPr>
          <w:rFonts w:hint="eastAsia" w:ascii="Times New Roman" w:hAnsi="Times New Roman" w:eastAsia="方正仿宋_GBK" w:cs="Times New Roman"/>
          <w:color w:val="auto"/>
          <w:kern w:val="2"/>
          <w:sz w:val="32"/>
          <w:szCs w:val="32"/>
          <w:lang w:val="en-US" w:eastAsia="zh-CN" w:bidi="ar-SA"/>
        </w:rPr>
        <w:t>增加128.76万元，增长16.19%，主要原因是：自治区地名档案资料馆抗震加固维修及建设红色地名文化教育基地项目结转资金增加，支出较上年增加。</w:t>
      </w:r>
      <w:r>
        <w:rPr>
          <w:rFonts w:hint="eastAsia" w:ascii="Times New Roman" w:hAnsi="Times New Roman" w:eastAsia="方正仿宋_GBK" w:cs="Times New Roman"/>
          <w:b/>
          <w:bCs/>
          <w:color w:val="auto"/>
          <w:kern w:val="2"/>
          <w:sz w:val="32"/>
          <w:szCs w:val="32"/>
          <w:lang w:val="en-US" w:eastAsia="zh-CN" w:bidi="ar-SA"/>
        </w:rPr>
        <w:t>与年初预算相比，</w:t>
      </w:r>
      <w:r>
        <w:rPr>
          <w:rFonts w:hint="eastAsia" w:ascii="Times New Roman" w:hAnsi="Times New Roman" w:eastAsia="方正仿宋_GBK" w:cs="Times New Roman"/>
          <w:color w:val="auto"/>
          <w:kern w:val="2"/>
          <w:sz w:val="32"/>
          <w:szCs w:val="32"/>
          <w:lang w:val="en-US" w:eastAsia="zh-CN" w:bidi="ar-SA"/>
        </w:rPr>
        <w:t>年初预算数807.45万元，决算数924.14万元，预决算差异率14.45%，主要原因是:一是年中调入人员增加，支出增加；二是2025年年中追加机关事业单位职业年金。</w:t>
      </w:r>
    </w:p>
    <w:p w14:paraId="2979DE0B">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五、一般公共预算财政拨款支出决算情况说明</w:t>
      </w:r>
    </w:p>
    <w:p w14:paraId="30FAC051">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按照党中央、国务院关于党政机关习惯过紧日子的有关要求，厉行节约办一切事业，严控一般性支出。同时坚持有保有压，优化支出结构，提高资金使用效率，合理保障人员工资、单位日常运转等重点支出，体现在有关支出科目中。</w:t>
      </w:r>
    </w:p>
    <w:p w14:paraId="3506D52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按照支出功能分类，社会保障和就业支出（类）民政管理事务（款）行政区划和地名管理（项）的支出占本年财政拨款支出总额的比重最高，2025年度决算数为468.07万元，占比52.33%，主要用于保运转、保工资。</w:t>
      </w:r>
    </w:p>
    <w:p w14:paraId="210CA9E8">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方正楷体_GBK" w:hAnsi="方正楷体_GBK" w:eastAsia="方正楷体_GBK" w:cs="方正楷体_GBK"/>
          <w:bCs/>
          <w:kern w:val="0"/>
          <w:sz w:val="32"/>
          <w:szCs w:val="32"/>
          <w:highlight w:val="none"/>
          <w:lang w:val="en-US" w:eastAsia="zh-CN"/>
        </w:rPr>
      </w:pPr>
      <w:r>
        <w:rPr>
          <w:rFonts w:hint="eastAsia" w:ascii="方正楷体_GBK" w:hAnsi="方正楷体_GBK" w:eastAsia="方正楷体_GBK" w:cs="方正楷体_GBK"/>
          <w:bCs/>
          <w:kern w:val="0"/>
          <w:sz w:val="32"/>
          <w:szCs w:val="32"/>
          <w:highlight w:val="none"/>
          <w:lang w:val="en-US" w:eastAsia="zh-CN"/>
        </w:rPr>
        <w:t>（一）一般公共预算财政拨款支出决算总体情况</w:t>
      </w:r>
    </w:p>
    <w:p w14:paraId="507F1522">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b/>
          <w:bCs/>
          <w:color w:val="auto"/>
          <w:kern w:val="2"/>
          <w:sz w:val="32"/>
          <w:szCs w:val="32"/>
          <w:lang w:val="en-US" w:eastAsia="zh-CN" w:bidi="ar-SA"/>
        </w:rPr>
        <w:t>2025年度一般公共预算财政拨款支出644.86万元，</w:t>
      </w:r>
      <w:r>
        <w:rPr>
          <w:rFonts w:hint="eastAsia" w:ascii="Times New Roman" w:hAnsi="Times New Roman" w:eastAsia="方正仿宋_GBK" w:cs="Times New Roman"/>
          <w:color w:val="auto"/>
          <w:kern w:val="2"/>
          <w:sz w:val="32"/>
          <w:szCs w:val="32"/>
          <w:lang w:val="en-US" w:eastAsia="zh-CN" w:bidi="ar-SA"/>
        </w:rPr>
        <w:t>占本年支出合计的72.10%。与上年相比，减少22.28万元，下降3.34%，主要原因是：本年度未安排自治区地名标准化中心办公用房维修改造项目，支出较上年减少。</w:t>
      </w:r>
      <w:r>
        <w:rPr>
          <w:rFonts w:hint="eastAsia" w:ascii="Times New Roman" w:hAnsi="Times New Roman" w:eastAsia="方正仿宋_GBK" w:cs="Times New Roman"/>
          <w:b/>
          <w:bCs/>
          <w:color w:val="auto"/>
          <w:kern w:val="2"/>
          <w:sz w:val="32"/>
          <w:szCs w:val="32"/>
          <w:lang w:val="en-US" w:eastAsia="zh-CN" w:bidi="ar-SA"/>
        </w:rPr>
        <w:t>与年初预算相比，</w:t>
      </w:r>
      <w:r>
        <w:rPr>
          <w:rFonts w:hint="eastAsia" w:ascii="Times New Roman" w:hAnsi="Times New Roman" w:eastAsia="方正仿宋_GBK" w:cs="Times New Roman"/>
          <w:color w:val="auto"/>
          <w:kern w:val="2"/>
          <w:sz w:val="32"/>
          <w:szCs w:val="32"/>
          <w:lang w:val="en-US" w:eastAsia="zh-CN" w:bidi="ar-SA"/>
        </w:rPr>
        <w:t>年初预算数552.14万元，决算数644.86万元，预决算差异率16.79%，主要原因是：年中调入人员增加，支出较上年增加。</w:t>
      </w:r>
    </w:p>
    <w:p w14:paraId="745B2F37">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方正楷体_GBK" w:hAnsi="方正楷体_GBK" w:eastAsia="方正楷体_GBK" w:cs="方正楷体_GBK"/>
          <w:bCs/>
          <w:kern w:val="0"/>
          <w:sz w:val="32"/>
          <w:szCs w:val="32"/>
          <w:highlight w:val="none"/>
          <w:lang w:val="en-US" w:eastAsia="zh-CN"/>
        </w:rPr>
      </w:pPr>
      <w:r>
        <w:rPr>
          <w:rFonts w:hint="eastAsia" w:ascii="方正楷体_GBK" w:hAnsi="方正楷体_GBK" w:eastAsia="方正楷体_GBK" w:cs="方正楷体_GBK"/>
          <w:bCs/>
          <w:kern w:val="0"/>
          <w:sz w:val="32"/>
          <w:szCs w:val="32"/>
          <w:highlight w:val="none"/>
          <w:lang w:val="en-US" w:eastAsia="zh-CN"/>
        </w:rPr>
        <w:t>（二）一般公共预算财政拨款支出决算结构情况</w:t>
      </w:r>
    </w:p>
    <w:p w14:paraId="4517F603">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1.社会保障和就业支出（类）563.97万元，占87.45%。</w:t>
      </w:r>
    </w:p>
    <w:p w14:paraId="2584DB8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2.卫生健康支出（类）51.96万元，占8.06%。</w:t>
      </w:r>
    </w:p>
    <w:p w14:paraId="464A4BFE">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3.住房保障支出（类）28.94万元，占4.49%。</w:t>
      </w:r>
    </w:p>
    <w:p w14:paraId="5C673450">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方正楷体_GBK" w:hAnsi="方正楷体_GBK" w:eastAsia="方正楷体_GBK" w:cs="方正楷体_GBK"/>
          <w:bCs/>
          <w:kern w:val="0"/>
          <w:sz w:val="32"/>
          <w:szCs w:val="32"/>
          <w:highlight w:val="none"/>
          <w:lang w:val="en-US" w:eastAsia="zh-CN"/>
        </w:rPr>
      </w:pPr>
      <w:r>
        <w:rPr>
          <w:rFonts w:hint="eastAsia" w:ascii="方正楷体_GBK" w:hAnsi="方正楷体_GBK" w:eastAsia="方正楷体_GBK" w:cs="方正楷体_GBK"/>
          <w:bCs/>
          <w:kern w:val="0"/>
          <w:sz w:val="32"/>
          <w:szCs w:val="32"/>
          <w:highlight w:val="none"/>
          <w:lang w:val="en-US" w:eastAsia="zh-CN"/>
        </w:rPr>
        <w:t>（三）一般公共预算财政拨款支出决算具体情况</w:t>
      </w:r>
    </w:p>
    <w:p w14:paraId="04439D6B">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1.社会保障和就业支出（类）民政管理事务（款）行政区划和地名管理（项）：支出决算数为468.07万元，比上年决算减少54.15万元，下降10.37%，主要原因是：本年度未安排自治区地名标准化中心办公用房维修改造项目，支出较上年减少。</w:t>
      </w:r>
    </w:p>
    <w:p w14:paraId="5100041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2.社会保障和就业支出（类）行政事业单位养老支出（款）事业单位离退休（项）：支出决算数为22.90万元，比上年决算增加7.04万元，增长44.39%，主要原因是：退休人员增加，退休人员支出增加。</w:t>
      </w:r>
    </w:p>
    <w:p w14:paraId="401D854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3.社会保障和就业支出（类）行政事业单位养老支出（款）机关事业单位基本养老保险缴费支出（项）：支出决算数为48.10万元，比上年决算增加4.27万元，增长9.74%，主要原因是：年中调入人员增加，支出增加。</w:t>
      </w:r>
    </w:p>
    <w:p w14:paraId="181678AD">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4.社会保障和就业支出（类）行政事业单位养老支出（款）机关事业单位职业年金缴费支出（项）：支出决算数为24.90万元，比上年决算增加17.85万元，增长253.19%，主要原因是：按照自治区关于职业年金记实有关政策，记实在职人员职业年金，支出增加。</w:t>
      </w:r>
    </w:p>
    <w:p w14:paraId="7099A41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5.卫生健康支出（类）行政事业单位医疗（款）事业单位医疗（项）：支出决算数为29.13万元，比上年决算增加5.52万元，增长23.38%，主要原因是：年中调入人员增加，支出增加。</w:t>
      </w:r>
    </w:p>
    <w:p w14:paraId="612BF2E5">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6.卫生健康支出（类）行政事业单位医疗（款）公务员医疗补助（项）：支出决算数为22.83万元，比上年决算增加2.44万元，增长11.97%，主要原因是：年中调入人员增加，支出增加。</w:t>
      </w:r>
    </w:p>
    <w:p w14:paraId="531290D9">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7.住房保障支出（类）住房改革支出（款）住房公积金（项）：支出决算数为28.94万元，比上年决算减少5.23万元，下降15.31%，主要原因是：因人员变动，单位整体缴费基数降低，支出较少。</w:t>
      </w:r>
    </w:p>
    <w:p w14:paraId="7F66AA82">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六、一般公共预算财政拨款基本支出决算情况说明</w:t>
      </w:r>
    </w:p>
    <w:p w14:paraId="56EBFE1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2025年度一般公共预算财政拨款基本支出573.99万元，其中：</w:t>
      </w:r>
      <w:r>
        <w:rPr>
          <w:rFonts w:hint="eastAsia" w:ascii="Times New Roman" w:hAnsi="Times New Roman" w:eastAsia="方正仿宋_GBK" w:cs="Times New Roman"/>
          <w:b/>
          <w:bCs/>
          <w:color w:val="auto"/>
          <w:kern w:val="2"/>
          <w:sz w:val="32"/>
          <w:szCs w:val="32"/>
          <w:lang w:val="en-US" w:eastAsia="zh-CN" w:bidi="ar-SA"/>
        </w:rPr>
        <w:t>人员经费541.59万元，</w:t>
      </w:r>
      <w:r>
        <w:rPr>
          <w:rFonts w:hint="eastAsia" w:ascii="Times New Roman" w:hAnsi="Times New Roman" w:eastAsia="方正仿宋_GBK" w:cs="Times New Roman"/>
          <w:color w:val="auto"/>
          <w:kern w:val="2"/>
          <w:sz w:val="32"/>
          <w:szCs w:val="32"/>
          <w:lang w:val="en-US" w:eastAsia="zh-CN" w:bidi="ar-SA"/>
        </w:rPr>
        <w:t>包括：基本工资、津贴补贴、奖金、绩效工资、机关事业单位基本养老保险缴费、职业年金缴费、职工基本医疗保险缴费、公务员医疗补助缴费、其他社会保障缴费、住房公积金、其他工资福利支出、退休费、奖励金和其他对个人和家庭的补助。</w:t>
      </w:r>
    </w:p>
    <w:p w14:paraId="7717D387">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b/>
          <w:bCs/>
          <w:color w:val="auto"/>
          <w:kern w:val="2"/>
          <w:sz w:val="32"/>
          <w:szCs w:val="32"/>
          <w:lang w:val="en-US" w:eastAsia="zh-CN" w:bidi="ar-SA"/>
        </w:rPr>
        <w:t>公用经费32.41万元，</w:t>
      </w:r>
      <w:r>
        <w:rPr>
          <w:rFonts w:hint="eastAsia" w:ascii="Times New Roman" w:hAnsi="Times New Roman" w:eastAsia="方正仿宋_GBK" w:cs="Times New Roman"/>
          <w:color w:val="auto"/>
          <w:kern w:val="2"/>
          <w:sz w:val="32"/>
          <w:szCs w:val="32"/>
          <w:lang w:val="en-US" w:eastAsia="zh-CN" w:bidi="ar-SA"/>
        </w:rPr>
        <w:t>包括：办公费、印刷费、手续费、水费、电费、邮电费、取暖费、差旅费、维修（护）费、培训费、劳务费、委托业务费、工会经费、福利费、公务用车运行维护费、办公设备购置和其他资本性支出。</w:t>
      </w:r>
    </w:p>
    <w:p w14:paraId="299F4A16">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七、政府性基金预算财政拨款收入支出决算情况说明</w:t>
      </w:r>
    </w:p>
    <w:p w14:paraId="55C10F7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按照党中央、国务院关于党政机关习惯过紧日子的有关要求，厉行节约办一切事业，严控一般性支出。同时坚持有保有压，优化支出结构，提高资金使用效率，合理保障建设红色地名文化教育基地社会公益事业等重点支出，体现在有关支出科目中。</w:t>
      </w:r>
    </w:p>
    <w:p w14:paraId="7F7BD63C">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b/>
          <w:bCs/>
          <w:color w:val="auto"/>
          <w:kern w:val="2"/>
          <w:sz w:val="32"/>
          <w:szCs w:val="32"/>
          <w:lang w:val="en-US" w:eastAsia="zh-CN" w:bidi="ar-SA"/>
        </w:rPr>
        <w:t>2025年度政府性基金预算财政拨款收入总计249.58万元，</w:t>
      </w:r>
      <w:r>
        <w:rPr>
          <w:rFonts w:hint="eastAsia" w:ascii="Times New Roman" w:hAnsi="Times New Roman" w:eastAsia="方正仿宋_GBK" w:cs="Times New Roman"/>
          <w:color w:val="auto"/>
          <w:kern w:val="2"/>
          <w:sz w:val="32"/>
          <w:szCs w:val="32"/>
          <w:lang w:val="en-US" w:eastAsia="zh-CN" w:bidi="ar-SA"/>
        </w:rPr>
        <w:t>其中：年初结转和结余0.00万元，本年收入249.58万元。</w:t>
      </w:r>
      <w:r>
        <w:rPr>
          <w:rFonts w:hint="eastAsia" w:ascii="Times New Roman" w:hAnsi="Times New Roman" w:eastAsia="方正仿宋_GBK" w:cs="Times New Roman"/>
          <w:b/>
          <w:bCs/>
          <w:color w:val="auto"/>
          <w:kern w:val="2"/>
          <w:sz w:val="32"/>
          <w:szCs w:val="32"/>
          <w:lang w:val="en-US" w:eastAsia="zh-CN" w:bidi="ar-SA"/>
        </w:rPr>
        <w:t>政府性基金预算财政拨款支出总计249.58万元，</w:t>
      </w:r>
      <w:r>
        <w:rPr>
          <w:rFonts w:hint="eastAsia" w:ascii="Times New Roman" w:hAnsi="Times New Roman" w:eastAsia="方正仿宋_GBK" w:cs="Times New Roman"/>
          <w:color w:val="auto"/>
          <w:kern w:val="2"/>
          <w:sz w:val="32"/>
          <w:szCs w:val="32"/>
          <w:lang w:val="en-US" w:eastAsia="zh-CN" w:bidi="ar-SA"/>
        </w:rPr>
        <w:t>其中：年末结转和结余0.00万元，本年支出249.58万元。</w:t>
      </w:r>
    </w:p>
    <w:p w14:paraId="041F1116">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b/>
          <w:bCs/>
          <w:color w:val="auto"/>
          <w:kern w:val="2"/>
          <w:sz w:val="32"/>
          <w:szCs w:val="32"/>
          <w:lang w:val="en-US" w:eastAsia="zh-CN" w:bidi="ar-SA"/>
        </w:rPr>
        <w:t>政府性基金预算财政拨款收入支出总体与上年相比，</w:t>
      </w:r>
      <w:r>
        <w:rPr>
          <w:rFonts w:hint="eastAsia" w:ascii="Times New Roman" w:hAnsi="Times New Roman" w:eastAsia="方正仿宋_GBK" w:cs="Times New Roman"/>
          <w:color w:val="auto"/>
          <w:kern w:val="2"/>
          <w:sz w:val="32"/>
          <w:szCs w:val="32"/>
          <w:lang w:val="en-US" w:eastAsia="zh-CN" w:bidi="ar-SA"/>
        </w:rPr>
        <w:t>增加150.90万元，增长152.92%，主要原因是：自治区地名档案资料馆抗震加固维修及建设红色地名文化教育基地项目结转资金增加，政府性基金支出增加。</w:t>
      </w:r>
      <w:r>
        <w:rPr>
          <w:rFonts w:hint="eastAsia" w:ascii="Times New Roman" w:hAnsi="Times New Roman" w:eastAsia="方正仿宋_GBK" w:cs="Times New Roman"/>
          <w:b/>
          <w:bCs/>
          <w:color w:val="auto"/>
          <w:kern w:val="2"/>
          <w:sz w:val="32"/>
          <w:szCs w:val="32"/>
          <w:lang w:val="en-US" w:eastAsia="zh-CN" w:bidi="ar-SA"/>
        </w:rPr>
        <w:t>与年初预算相比，</w:t>
      </w:r>
      <w:r>
        <w:rPr>
          <w:rFonts w:hint="eastAsia" w:ascii="Times New Roman" w:hAnsi="Times New Roman" w:eastAsia="方正仿宋_GBK" w:cs="Times New Roman"/>
          <w:color w:val="auto"/>
          <w:kern w:val="2"/>
          <w:sz w:val="32"/>
          <w:szCs w:val="32"/>
          <w:lang w:val="en-US" w:eastAsia="zh-CN" w:bidi="ar-SA"/>
        </w:rPr>
        <w:t>年初预算数255.32万元，决算数249.58万元，预决算差异率-2.25%，主要原因是：向财政上缴自治区地名档案资料馆抗震加固维修及建设红色地名文化教育基地项目结余资金。</w:t>
      </w:r>
    </w:p>
    <w:p w14:paraId="4A000359">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b/>
          <w:bCs/>
          <w:color w:val="auto"/>
          <w:kern w:val="2"/>
          <w:sz w:val="32"/>
          <w:szCs w:val="32"/>
          <w:lang w:val="en-US" w:eastAsia="zh-CN" w:bidi="ar-SA"/>
        </w:rPr>
        <w:t>政府性基金预算财政拨款本年支出249.58万元。具体情况如下：</w:t>
      </w:r>
    </w:p>
    <w:p w14:paraId="743F0A75">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1.</w:t>
      </w:r>
      <w:bookmarkStart w:id="0" w:name="_GoBack"/>
      <w:bookmarkEnd w:id="0"/>
      <w:r>
        <w:rPr>
          <w:rFonts w:hint="eastAsia" w:ascii="Times New Roman" w:hAnsi="Times New Roman" w:eastAsia="方正仿宋_GBK" w:cs="Times New Roman"/>
          <w:color w:val="auto"/>
          <w:kern w:val="2"/>
          <w:sz w:val="32"/>
          <w:szCs w:val="32"/>
          <w:lang w:val="en-US" w:eastAsia="zh-CN" w:bidi="ar-SA"/>
        </w:rPr>
        <w:t>其他支出（类）彩票公益金安排的支出（款）用于社会福利的彩票公益金支出（项）：支出决算数为249.58万元，比上年决算增加150.90万元，增长152.92%，主要原因是：自治区地名档案资料馆抗震加固维修及建设红色地名文化教育基地项目结转资金增加，彩票公益金支出增加。</w:t>
      </w:r>
    </w:p>
    <w:p w14:paraId="055C9F36">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八、国有资本经营预算财政拨款收入支出决算情况说明</w:t>
      </w:r>
    </w:p>
    <w:p w14:paraId="6421ABBB">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本单位本年度无国有资本经营预算财政拨款收入、支出及结转和结余，国有资本经营预算财政拨款收入支出决算表为空表。</w:t>
      </w:r>
    </w:p>
    <w:p w14:paraId="226E4A6C">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九、财政拨款“三公”经费支出决算情况说明</w:t>
      </w:r>
    </w:p>
    <w:p w14:paraId="137D48ED">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b/>
          <w:bCs/>
          <w:color w:val="auto"/>
          <w:kern w:val="2"/>
          <w:sz w:val="32"/>
          <w:szCs w:val="32"/>
          <w:lang w:val="en-US" w:eastAsia="zh-CN" w:bidi="ar-SA"/>
        </w:rPr>
        <w:t>2025年度财政拨款“三公”经费支出1.30万元，</w:t>
      </w:r>
      <w:r>
        <w:rPr>
          <w:rFonts w:hint="eastAsia" w:ascii="Times New Roman" w:hAnsi="Times New Roman" w:eastAsia="方正仿宋_GBK" w:cs="Times New Roman"/>
          <w:color w:val="auto"/>
          <w:kern w:val="2"/>
          <w:sz w:val="32"/>
          <w:szCs w:val="32"/>
          <w:lang w:val="en-US" w:eastAsia="zh-CN" w:bidi="ar-SA"/>
        </w:rPr>
        <w:t>比上年增加0.84万元，增长182.61%，主要原因是：因公务用车使用年限较长，向财政报公务用车维护成本等使用情况，严格按照年度预算执行。其中：因公出国（境）费用支出0.00万元,占0.00%，与上年相比无变化，主要原因是：2025年单位无因公出国（境）费支出，与上年一致；公务用车购置及运行维护费支出1.30万元，占100.00%，比上年增加0.84万元，增长182.61%，主要原因是：因公务用车使用年限较长，向财政报公务用车维护成本等使用情况，严格按照年度预算执行；公务接待费支出0.00万元，占0.00%，与上年相比无变化，主要原因是：2025年单位无公务接待费支出，与上年一致。</w:t>
      </w:r>
    </w:p>
    <w:p w14:paraId="4CA5E800">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_GBK" w:cs="Times New Roman"/>
          <w:b/>
          <w:bCs/>
          <w:color w:val="auto"/>
          <w:kern w:val="2"/>
          <w:sz w:val="32"/>
          <w:szCs w:val="32"/>
          <w:lang w:val="en-US" w:eastAsia="zh-CN" w:bidi="ar-SA"/>
        </w:rPr>
      </w:pPr>
      <w:r>
        <w:rPr>
          <w:rFonts w:hint="eastAsia" w:ascii="Times New Roman" w:hAnsi="Times New Roman" w:eastAsia="方正仿宋_GBK" w:cs="Times New Roman"/>
          <w:b/>
          <w:bCs/>
          <w:color w:val="auto"/>
          <w:kern w:val="2"/>
          <w:sz w:val="32"/>
          <w:szCs w:val="32"/>
          <w:lang w:val="en-US" w:eastAsia="zh-CN" w:bidi="ar-SA"/>
        </w:rPr>
        <w:t>具体情况如下：</w:t>
      </w:r>
    </w:p>
    <w:p w14:paraId="7520CB2D">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因公出国（境）费用0.00万元，开支内容包括我单位无因公出国（境）支出。单位全年安排的因公出国（境）团组0个，因公出国（境）0人次。</w:t>
      </w:r>
    </w:p>
    <w:p w14:paraId="5A0A7E9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公务用车购置及运行维护费1.30万元，其中：公务用车购置费0.00万元，公务用车运行维护费1.30万元。公务用车运行维护费开支内容包括车辆保险费、加油费、年检费、维修费等。公务用车购置数0辆，公务用车保有量1辆。国有资产占用情况中固定资产车辆1辆，与公务用车保有量差异原因是：公务用车保有量和固定资产车辆数据一致，不存在差异。</w:t>
      </w:r>
    </w:p>
    <w:p w14:paraId="758CD5E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公务接待费0.00万元，开支内容包括我单位无公务接待支出。单位全年安排的国内公务接待0批次，0人次。</w:t>
      </w:r>
    </w:p>
    <w:p w14:paraId="33C33CCE">
      <w:pPr>
        <w:keepNext w:val="0"/>
        <w:keepLines w:val="0"/>
        <w:pageBreakBefore w:val="0"/>
        <w:widowControl w:val="0"/>
        <w:kinsoku/>
        <w:wordWrap/>
        <w:overflowPunct/>
        <w:topLinePunct w:val="0"/>
        <w:autoSpaceDE/>
        <w:autoSpaceDN/>
        <w:bidi w:val="0"/>
        <w:adjustRightInd/>
        <w:snapToGrid/>
        <w:spacing w:after="0" w:line="560" w:lineRule="exact"/>
        <w:ind w:firstLine="643"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b/>
          <w:bCs/>
          <w:color w:val="auto"/>
          <w:kern w:val="2"/>
          <w:sz w:val="32"/>
          <w:szCs w:val="32"/>
          <w:lang w:val="en-US" w:eastAsia="zh-CN" w:bidi="ar-SA"/>
        </w:rPr>
        <w:t>与全年预算相比，</w:t>
      </w:r>
      <w:r>
        <w:rPr>
          <w:rFonts w:hint="eastAsia" w:ascii="Times New Roman" w:hAnsi="Times New Roman" w:eastAsia="方正仿宋_GBK" w:cs="Times New Roman"/>
          <w:color w:val="auto"/>
          <w:kern w:val="2"/>
          <w:sz w:val="32"/>
          <w:szCs w:val="32"/>
          <w:lang w:val="en-US" w:eastAsia="zh-CN" w:bidi="ar-SA"/>
        </w:rPr>
        <w:t>财政拨款“三公”经费支出全年预算数1.30万元，决算数1.30万元，预决算差异率0.00%，主要原因是：严格按照预算执行，预决算无差异。其中：因公出国（境）费用全年预算数0.00万元，决算数0.00万元，预决算差异率0.00%，主要原因是：单位无因公出国（境）费用；公务用车购置费全年预算数0.00万元，决算数0.00万元，预决算差异率0.00%，主要原因是：单位无公务用车购置费用；公务用车运行维护费全年预算数1.30万元，决算数1.30万元，预决算差异率0.00%，主要原因是：严格按照预算执行；公务接待费全年预算数0.00万元，决算数0.00万元，预决算差异率0.00%，主要原因是：单位无公务接待费用。</w:t>
      </w:r>
    </w:p>
    <w:p w14:paraId="16695E29">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十、其他重要事项的情况说明</w:t>
      </w:r>
    </w:p>
    <w:p w14:paraId="7A041A85">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方正楷体_GBK" w:hAnsi="方正楷体_GBK" w:eastAsia="方正楷体_GBK" w:cs="方正楷体_GBK"/>
          <w:bCs/>
          <w:kern w:val="0"/>
          <w:sz w:val="32"/>
          <w:szCs w:val="32"/>
          <w:highlight w:val="none"/>
          <w:lang w:val="en-US" w:eastAsia="zh-CN"/>
        </w:rPr>
      </w:pPr>
      <w:r>
        <w:rPr>
          <w:rFonts w:hint="eastAsia" w:ascii="方正楷体_GBK" w:hAnsi="方正楷体_GBK" w:eastAsia="方正楷体_GBK" w:cs="方正楷体_GBK"/>
          <w:bCs/>
          <w:kern w:val="0"/>
          <w:sz w:val="32"/>
          <w:szCs w:val="32"/>
          <w:highlight w:val="none"/>
          <w:lang w:val="en-US" w:eastAsia="zh-CN"/>
        </w:rPr>
        <w:t>（一）机关运行经费及公用经费支出情况</w:t>
      </w:r>
    </w:p>
    <w:p w14:paraId="6513A88F">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2025年度新疆维吾尔自治区地名标准化中心（事业单位）公用经费支出32.41万元，比上年增加3.77万元，增长13.16%，主要原因是：在职人员增加，办公费、其他商品和服务支出较上年增加。</w:t>
      </w:r>
    </w:p>
    <w:p w14:paraId="5E993392">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方正楷体_GBK" w:hAnsi="方正楷体_GBK" w:eastAsia="方正楷体_GBK" w:cs="方正楷体_GBK"/>
          <w:bCs/>
          <w:kern w:val="0"/>
          <w:sz w:val="32"/>
          <w:szCs w:val="32"/>
          <w:highlight w:val="none"/>
          <w:lang w:val="en-US" w:eastAsia="zh-CN"/>
        </w:rPr>
      </w:pPr>
      <w:r>
        <w:rPr>
          <w:rFonts w:hint="eastAsia" w:ascii="方正楷体_GBK" w:hAnsi="方正楷体_GBK" w:eastAsia="方正楷体_GBK" w:cs="方正楷体_GBK"/>
          <w:bCs/>
          <w:kern w:val="0"/>
          <w:sz w:val="32"/>
          <w:szCs w:val="32"/>
          <w:highlight w:val="none"/>
          <w:lang w:val="en-US" w:eastAsia="zh-CN"/>
        </w:rPr>
        <w:t>（二）政府采购情况</w:t>
      </w:r>
    </w:p>
    <w:p w14:paraId="7E42E058">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2025年度政府采购支出总额69.38万元，其中：政府采购货物支出8.04万元、政府采购工程支出56.60万元、政府采购服务支出4.74万元。</w:t>
      </w:r>
    </w:p>
    <w:p w14:paraId="3EA255B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授予中小企业合同金额69.06万元，占政府采购支出总额的99.54%，其中：授予小微企业合同金额11.96万元，占政府采购支出总额的17.24%。</w:t>
      </w:r>
    </w:p>
    <w:p w14:paraId="08BA31AE">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方正楷体_GBK" w:hAnsi="方正楷体_GBK" w:eastAsia="方正楷体_GBK" w:cs="方正楷体_GBK"/>
          <w:bCs/>
          <w:kern w:val="0"/>
          <w:sz w:val="32"/>
          <w:szCs w:val="32"/>
          <w:highlight w:val="none"/>
          <w:lang w:val="en-US" w:eastAsia="zh-CN"/>
        </w:rPr>
      </w:pPr>
      <w:r>
        <w:rPr>
          <w:rFonts w:hint="eastAsia" w:ascii="方正楷体_GBK" w:hAnsi="方正楷体_GBK" w:eastAsia="方正楷体_GBK" w:cs="方正楷体_GBK"/>
          <w:bCs/>
          <w:kern w:val="0"/>
          <w:sz w:val="32"/>
          <w:szCs w:val="32"/>
          <w:highlight w:val="none"/>
          <w:lang w:val="en-US" w:eastAsia="zh-CN"/>
        </w:rPr>
        <w:t>（三）国有资产占用情况说明</w:t>
      </w:r>
    </w:p>
    <w:p w14:paraId="29D2C68D">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截至2025年12月31日，房屋4,522.00平方米，价值540.69万元。车辆1辆，价值27.14万元，其中：副部（省）级及以上领导用车0辆、主要负责人用车0辆、机要通信用车0辆、应急保障用车0辆、执法执勤用车0辆、特种专业技术用车0辆、离退休干部服务用车0辆、其他用车1辆，其他用车主要是：保障单位办公运行的公务用车;单价100万元（含）以上设备（不含车辆）0台（套）。</w:t>
      </w:r>
    </w:p>
    <w:p w14:paraId="5DA7D800">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十一、预算绩效的情况说明</w:t>
      </w:r>
    </w:p>
    <w:p w14:paraId="29CD99F6">
      <w:pPr>
        <w:keepNext w:val="0"/>
        <w:keepLines w:val="0"/>
        <w:pageBreakBefore w:val="0"/>
        <w:widowControl w:val="0"/>
        <w:kinsoku/>
        <w:wordWrap/>
        <w:overflowPunct/>
        <w:topLinePunct w:val="0"/>
        <w:bidi w:val="0"/>
        <w:adjustRightInd/>
        <w:snapToGrid/>
        <w:spacing w:after="0" w:line="560" w:lineRule="exact"/>
        <w:ind w:firstLine="640" w:firstLineChars="200"/>
        <w:jc w:val="both"/>
        <w:textAlignment w:val="auto"/>
        <w:rPr>
          <w:rFonts w:hint="eastAsia" w:ascii="Times New Roman" w:hAnsi="Times New Roman" w:eastAsia="仿宋_GB2312" w:cs="Times New Roman"/>
          <w:color w:val="auto"/>
          <w:kern w:val="2"/>
          <w:sz w:val="32"/>
          <w:szCs w:val="32"/>
          <w:lang w:val="en-US" w:eastAsia="zh-CN"/>
        </w:rPr>
      </w:pPr>
      <w:r>
        <w:rPr>
          <w:rFonts w:hint="eastAsia" w:ascii="Times New Roman" w:hAnsi="Times New Roman" w:eastAsia="方正仿宋_GBK" w:cs="Times New Roman"/>
          <w:color w:val="auto"/>
          <w:kern w:val="2"/>
          <w:sz w:val="32"/>
          <w:szCs w:val="32"/>
          <w:lang w:val="en-US" w:eastAsia="zh-CN" w:bidi="ar-SA"/>
        </w:rPr>
        <w:t>根据预算绩效管理要求，本单位2025年度预算绩效评价项目1个，全年预算数15.00万元，全年执行数15.00万元。预算绩效管理取得的成效：一是有效开展了全疆地名档案资料的保管、更新、成果转化利用；二是开展地名学基础理论和地名命名、更名的应用研究工作。发现的问题及原因：一是项目完成进度缓慢；二是绩效分项指标设置不科学。下一步改进措施：一是加强绩效监控节点跟踪管理，切实提高财政资金的使用效益；二是科学设置绩效目标，进一步提升绩效目标指标设置的科学性。具体附项目支出绩自评表。</w:t>
      </w:r>
    </w:p>
    <w:p w14:paraId="03567E9F">
      <w:pPr>
        <w:keepNext w:val="0"/>
        <w:keepLines w:val="0"/>
        <w:pageBreakBefore w:val="0"/>
        <w:widowControl w:val="0"/>
        <w:kinsoku/>
        <w:wordWrap/>
        <w:overflowPunct/>
        <w:topLinePunct w:val="0"/>
        <w:autoSpaceDE/>
        <w:autoSpaceDN/>
        <w:bidi w:val="0"/>
        <w:adjustRightInd/>
        <w:snapToGrid/>
        <w:spacing w:after="0" w:line="600" w:lineRule="exact"/>
        <w:ind w:firstLine="640" w:firstLineChars="200"/>
        <w:jc w:val="both"/>
        <w:textAlignment w:val="auto"/>
        <w:outlineLvl w:val="1"/>
        <w:rPr>
          <w:rFonts w:hint="eastAsia" w:ascii="黑体" w:hAnsi="黑体" w:eastAsia="黑体" w:cs="宋体"/>
          <w:bCs/>
          <w:kern w:val="0"/>
          <w:sz w:val="32"/>
          <w:szCs w:val="32"/>
          <w:highlight w:val="none"/>
          <w:lang w:val="en-US" w:eastAsia="zh-CN"/>
        </w:rPr>
      </w:pPr>
      <w:r>
        <w:rPr>
          <w:rFonts w:hint="eastAsia" w:ascii="黑体" w:hAnsi="黑体" w:eastAsia="黑体" w:cs="宋体"/>
          <w:bCs/>
          <w:kern w:val="0"/>
          <w:sz w:val="32"/>
          <w:szCs w:val="32"/>
          <w:highlight w:val="none"/>
          <w:lang w:val="en-US" w:eastAsia="zh-CN"/>
        </w:rPr>
        <w:t>十二、其他需说明的事项</w:t>
      </w:r>
    </w:p>
    <w:p w14:paraId="02CA2DDC">
      <w:pPr>
        <w:keepNext w:val="0"/>
        <w:keepLines w:val="0"/>
        <w:pageBreakBefore w:val="0"/>
        <w:widowControl w:val="0"/>
        <w:kinsoku/>
        <w:wordWrap/>
        <w:overflowPunct/>
        <w:topLinePunct w:val="0"/>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本单位无其他需说明的事项。</w:t>
      </w:r>
    </w:p>
    <w:p w14:paraId="0B37C596">
      <w:pPr>
        <w:keepNext w:val="0"/>
        <w:keepLines w:val="0"/>
        <w:pageBreakBefore w:val="0"/>
        <w:widowControl w:val="0"/>
        <w:kinsoku/>
        <w:wordWrap/>
        <w:overflowPunct/>
        <w:topLinePunct w:val="0"/>
        <w:bidi w:val="0"/>
        <w:adjustRightInd/>
        <w:snapToGrid/>
        <w:spacing w:after="0" w:line="560" w:lineRule="exact"/>
        <w:ind w:firstLine="640" w:firstLineChars="200"/>
        <w:jc w:val="both"/>
        <w:textAlignment w:val="auto"/>
        <w:rPr>
          <w:rFonts w:hint="eastAsia" w:ascii="Times New Roman" w:hAnsi="Times New Roman" w:eastAsia="方正仿宋_GBK" w:cs="Times New Roman"/>
          <w:color w:val="auto"/>
          <w:kern w:val="2"/>
          <w:sz w:val="32"/>
          <w:szCs w:val="32"/>
          <w:lang w:val="en-US" w:eastAsia="zh-CN" w:bidi="ar-SA"/>
        </w:rPr>
      </w:pPr>
    </w:p>
    <w:p w14:paraId="2880714D">
      <w:pPr>
        <w:widowControl/>
      </w:pPr>
      <w:r>
        <w:rPr>
          <w:b w:val="0"/>
          <w:sz w:val="0"/>
          <w:szCs w:val="0"/>
        </w:rPr>
        <w:br w:type="page"/>
      </w:r>
    </w:p>
    <w:p w14:paraId="7FAE2822">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Chars="0"/>
        <w:jc w:val="center"/>
        <w:textAlignment w:val="auto"/>
        <w:outlineLvl w:val="0"/>
        <w:rPr>
          <w:rFonts w:hint="default" w:ascii="方正小标宋_GBK" w:hAnsi="方正小标宋_GBK" w:eastAsia="方正小标宋_GBK" w:cs="方正小标宋_GBK"/>
          <w:kern w:val="2"/>
          <w:sz w:val="44"/>
          <w:szCs w:val="44"/>
          <w:highlight w:val="none"/>
          <w:lang w:val="en-US" w:eastAsia="zh-CN"/>
        </w:rPr>
      </w:pPr>
      <w:r>
        <w:rPr>
          <w:rFonts w:hint="eastAsia" w:ascii="方正小标宋_GBK" w:hAnsi="方正小标宋_GBK" w:eastAsia="方正小标宋_GBK" w:cs="方正小标宋_GBK"/>
          <w:kern w:val="2"/>
          <w:sz w:val="44"/>
          <w:szCs w:val="44"/>
          <w:highlight w:val="none"/>
          <w:lang w:val="en-US" w:eastAsia="zh-CN"/>
        </w:rPr>
        <w:t>第三部分  专业名词解释</w:t>
      </w:r>
    </w:p>
    <w:p w14:paraId="2AB7596E">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Chars="0"/>
        <w:jc w:val="both"/>
        <w:textAlignment w:val="auto"/>
        <w:outlineLvl w:val="0"/>
        <w:rPr>
          <w:rFonts w:hint="default" w:ascii="方正小标宋_GBK" w:hAnsi="方正小标宋_GBK" w:eastAsia="方正小标宋_GBK" w:cs="方正小标宋_GBK"/>
          <w:kern w:val="2"/>
          <w:sz w:val="44"/>
          <w:szCs w:val="44"/>
          <w:highlight w:val="none"/>
          <w:lang w:val="en-US" w:eastAsia="zh-CN"/>
        </w:rPr>
      </w:pPr>
    </w:p>
    <w:p w14:paraId="2EA88D6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一、财政拨款收入：</w:t>
      </w:r>
      <w:r>
        <w:rPr>
          <w:rFonts w:hint="eastAsia" w:ascii="方正仿宋_GBK" w:hAnsi="方正仿宋_GBK" w:eastAsia="方正仿宋_GBK" w:cs="方正仿宋_GBK"/>
          <w:color w:val="auto"/>
          <w:kern w:val="2"/>
          <w:sz w:val="32"/>
          <w:szCs w:val="32"/>
          <w:lang w:val="en-US" w:eastAsia="zh-CN" w:bidi="ar-SA"/>
        </w:rPr>
        <w:t>指单位本年度从同级财政部门取得的财政拨款，包括一般公共预算财政拨款、政府性基金预算财政拨款和国有资本经营预算财政拨款。</w:t>
      </w:r>
    </w:p>
    <w:p w14:paraId="7D218592">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二、上级补助收入：</w:t>
      </w:r>
      <w:r>
        <w:rPr>
          <w:rFonts w:hint="eastAsia" w:ascii="方正仿宋_GBK" w:hAnsi="方正仿宋_GBK" w:eastAsia="方正仿宋_GBK" w:cs="方正仿宋_GBK"/>
          <w:color w:val="auto"/>
          <w:kern w:val="2"/>
          <w:sz w:val="32"/>
          <w:szCs w:val="32"/>
          <w:lang w:val="en-US" w:eastAsia="zh-CN" w:bidi="ar-SA"/>
        </w:rPr>
        <w:t>指事业单位从主管部门和上级单位取得的非财政补助收入。</w:t>
      </w:r>
    </w:p>
    <w:p w14:paraId="3F00139F">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三、事业收入：</w:t>
      </w:r>
      <w:r>
        <w:rPr>
          <w:rFonts w:hint="eastAsia" w:ascii="方正仿宋_GBK" w:hAnsi="方正仿宋_GBK" w:eastAsia="方正仿宋_GBK" w:cs="方正仿宋_GBK"/>
          <w:color w:val="auto"/>
          <w:kern w:val="2"/>
          <w:sz w:val="32"/>
          <w:szCs w:val="32"/>
          <w:lang w:val="en-US" w:eastAsia="zh-CN" w:bidi="ar-SA"/>
        </w:rPr>
        <w:t>指事业单位开展专业业务活动及其辅助活动取得的收入。</w:t>
      </w:r>
    </w:p>
    <w:p w14:paraId="434ADD3D">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四、经营收入：</w:t>
      </w:r>
      <w:r>
        <w:rPr>
          <w:rFonts w:hint="eastAsia" w:ascii="方正仿宋_GBK" w:hAnsi="方正仿宋_GBK" w:eastAsia="方正仿宋_GBK" w:cs="方正仿宋_GBK"/>
          <w:color w:val="auto"/>
          <w:kern w:val="2"/>
          <w:sz w:val="32"/>
          <w:szCs w:val="32"/>
          <w:lang w:val="en-US" w:eastAsia="zh-CN" w:bidi="ar-SA"/>
        </w:rPr>
        <w:t>指事业单位在专业业务活动及其辅助活动之外开展非独立核算经营活动取得的收入。</w:t>
      </w:r>
    </w:p>
    <w:p w14:paraId="5FA589F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五、附属单位上缴收入：</w:t>
      </w:r>
      <w:r>
        <w:rPr>
          <w:rFonts w:hint="eastAsia" w:ascii="方正仿宋_GBK" w:hAnsi="方正仿宋_GBK" w:eastAsia="方正仿宋_GBK" w:cs="方正仿宋_GBK"/>
          <w:color w:val="auto"/>
          <w:kern w:val="2"/>
          <w:sz w:val="32"/>
          <w:szCs w:val="32"/>
          <w:lang w:val="en-US" w:eastAsia="zh-CN" w:bidi="ar-SA"/>
        </w:rPr>
        <w:t>指事业单位附属独立核算单位按照有关规定上缴的收入。</w:t>
      </w:r>
    </w:p>
    <w:p w14:paraId="56A6A55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六、其他收入：</w:t>
      </w:r>
      <w:r>
        <w:rPr>
          <w:rFonts w:hint="eastAsia" w:ascii="方正仿宋_GBK" w:hAnsi="方正仿宋_GBK" w:eastAsia="方正仿宋_GBK" w:cs="方正仿宋_GBK"/>
          <w:color w:val="auto"/>
          <w:kern w:val="2"/>
          <w:sz w:val="32"/>
          <w:szCs w:val="32"/>
          <w:lang w:val="en-US" w:eastAsia="zh-CN" w:bidi="ar-SA"/>
        </w:rPr>
        <w:t>指单位取得的除上述“财政拨款收入”“上级补助收入”“事业收入”“经营收入”“附属单位上缴收入”以外的各项收入。</w:t>
      </w:r>
    </w:p>
    <w:p w14:paraId="6509BC1D">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七、年初结转和结余：</w:t>
      </w:r>
      <w:r>
        <w:rPr>
          <w:rFonts w:hint="eastAsia" w:ascii="方正仿宋_GBK" w:hAnsi="方正仿宋_GBK" w:eastAsia="方正仿宋_GBK" w:cs="方正仿宋_GBK"/>
          <w:color w:val="auto"/>
          <w:kern w:val="2"/>
          <w:sz w:val="32"/>
          <w:szCs w:val="32"/>
          <w:lang w:val="en-US" w:eastAsia="zh-CN" w:bidi="ar-SA"/>
        </w:rPr>
        <w:t>指单位上年结转本年使用的基本支出结转、项目支出结转和结余、经营结余。</w:t>
      </w:r>
    </w:p>
    <w:p w14:paraId="31FC3575">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八、使用非财政拨款结余（含专用结余）：</w:t>
      </w:r>
      <w:r>
        <w:rPr>
          <w:rFonts w:hint="eastAsia" w:ascii="方正仿宋_GBK" w:hAnsi="方正仿宋_GBK" w:eastAsia="方正仿宋_GBK" w:cs="方正仿宋_GBK"/>
          <w:color w:val="auto"/>
          <w:kern w:val="2"/>
          <w:sz w:val="32"/>
          <w:szCs w:val="32"/>
          <w:lang w:val="en-US" w:eastAsia="zh-CN" w:bidi="ar-SA"/>
        </w:rPr>
        <w:t>指单位按照预算管理要求使用非财政拨款结余弥补收支差额的金额，以及使用专用结余安排支出的金额。</w:t>
      </w:r>
    </w:p>
    <w:p w14:paraId="2A415D9D">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九、结余分配：</w:t>
      </w:r>
      <w:r>
        <w:rPr>
          <w:rFonts w:hint="eastAsia" w:ascii="方正仿宋_GBK" w:hAnsi="方正仿宋_GBK" w:eastAsia="方正仿宋_GBK" w:cs="方正仿宋_GBK"/>
          <w:color w:val="auto"/>
          <w:kern w:val="2"/>
          <w:sz w:val="32"/>
          <w:szCs w:val="32"/>
          <w:lang w:val="en-US" w:eastAsia="zh-CN" w:bidi="ar-SA"/>
        </w:rPr>
        <w:t>指单位缴纳企业所得税以及从非财政拨款结余或经营结余中提取各类结余的情况。</w:t>
      </w:r>
    </w:p>
    <w:p w14:paraId="13D64547">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十、年末结转和结余：</w:t>
      </w:r>
      <w:r>
        <w:rPr>
          <w:rFonts w:hint="eastAsia" w:ascii="方正仿宋_GBK" w:hAnsi="方正仿宋_GBK" w:eastAsia="方正仿宋_GBK" w:cs="方正仿宋_GBK"/>
          <w:color w:val="auto"/>
          <w:kern w:val="2"/>
          <w:sz w:val="32"/>
          <w:szCs w:val="32"/>
          <w:lang w:val="en-US" w:eastAsia="zh-CN" w:bidi="ar-SA"/>
        </w:rPr>
        <w:t>指单位结转下年的基本支出结转、项目支出结转和结余、经营结余。</w:t>
      </w:r>
    </w:p>
    <w:p w14:paraId="727E702E">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十一、基本支出：</w:t>
      </w:r>
      <w:r>
        <w:rPr>
          <w:rFonts w:hint="eastAsia" w:ascii="方正仿宋_GBK" w:hAnsi="方正仿宋_GBK" w:eastAsia="方正仿宋_GBK" w:cs="方正仿宋_GBK"/>
          <w:color w:val="auto"/>
          <w:kern w:val="2"/>
          <w:sz w:val="32"/>
          <w:szCs w:val="32"/>
          <w:lang w:val="en-US" w:eastAsia="zh-CN" w:bidi="ar-SA"/>
        </w:rPr>
        <w:t>指单位为保障机构正常运转、完成日常工作任务而发生的各项支出。</w:t>
      </w:r>
    </w:p>
    <w:p w14:paraId="7C55E83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十二、项目支出：</w:t>
      </w:r>
      <w:r>
        <w:rPr>
          <w:rFonts w:hint="eastAsia" w:ascii="方正仿宋_GBK" w:hAnsi="方正仿宋_GBK" w:eastAsia="方正仿宋_GBK" w:cs="方正仿宋_GBK"/>
          <w:color w:val="auto"/>
          <w:kern w:val="2"/>
          <w:sz w:val="32"/>
          <w:szCs w:val="32"/>
          <w:lang w:val="en-US" w:eastAsia="zh-CN" w:bidi="ar-SA"/>
        </w:rPr>
        <w:t>指单位为完成特定的行政工作任务或事业发展目标，在基本支出之外发生的各项支出。</w:t>
      </w:r>
    </w:p>
    <w:p w14:paraId="66075FD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十三、上缴上级支出：</w:t>
      </w:r>
      <w:r>
        <w:rPr>
          <w:rFonts w:hint="eastAsia" w:ascii="方正仿宋_GBK" w:hAnsi="方正仿宋_GBK" w:eastAsia="方正仿宋_GBK" w:cs="方正仿宋_GBK"/>
          <w:color w:val="auto"/>
          <w:kern w:val="2"/>
          <w:sz w:val="32"/>
          <w:szCs w:val="32"/>
          <w:lang w:val="en-US" w:eastAsia="zh-CN" w:bidi="ar-SA"/>
        </w:rPr>
        <w:t>指事业单位按照财政部门和主管部门的规定上缴上级单位的支出。</w:t>
      </w:r>
    </w:p>
    <w:p w14:paraId="5DCF0A3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十四、经营支出：</w:t>
      </w:r>
      <w:r>
        <w:rPr>
          <w:rFonts w:hint="eastAsia" w:ascii="方正仿宋_GBK" w:hAnsi="方正仿宋_GBK" w:eastAsia="方正仿宋_GBK" w:cs="方正仿宋_GBK"/>
          <w:color w:val="auto"/>
          <w:kern w:val="2"/>
          <w:sz w:val="32"/>
          <w:szCs w:val="32"/>
          <w:lang w:val="en-US" w:eastAsia="zh-CN" w:bidi="ar-SA"/>
        </w:rPr>
        <w:t>指事业单位在专业活动及辅助活动之外开展非独立核算经营活动发生的支出。</w:t>
      </w:r>
    </w:p>
    <w:p w14:paraId="54D9B1E1">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十五、对附属单位补助支出：</w:t>
      </w:r>
      <w:r>
        <w:rPr>
          <w:rFonts w:hint="eastAsia" w:ascii="方正仿宋_GBK" w:hAnsi="方正仿宋_GBK" w:eastAsia="方正仿宋_GBK" w:cs="方正仿宋_GBK"/>
          <w:color w:val="auto"/>
          <w:kern w:val="2"/>
          <w:sz w:val="32"/>
          <w:szCs w:val="32"/>
          <w:lang w:val="en-US" w:eastAsia="zh-CN" w:bidi="ar-SA"/>
        </w:rPr>
        <w:t>指事业单位用财政补助收入之外的收入对附属单位补助发生的支出。</w:t>
      </w:r>
    </w:p>
    <w:p w14:paraId="0356A533">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十六、“三公”经费：</w:t>
      </w:r>
      <w:r>
        <w:rPr>
          <w:rFonts w:hint="eastAsia" w:ascii="方正仿宋_GBK" w:hAnsi="方正仿宋_GBK" w:eastAsia="方正仿宋_GBK" w:cs="方正仿宋_GBK"/>
          <w:color w:val="auto"/>
          <w:kern w:val="2"/>
          <w:sz w:val="32"/>
          <w:szCs w:val="32"/>
          <w:lang w:val="en-US" w:eastAsia="zh-CN" w:bidi="ar-SA"/>
        </w:rPr>
        <w:t>指单位使用财政拨款安排的因公出国（境）费用、公务用车购置及运行维护费和公务接待费。其中，因公出国（境）费用反映单位公务出国（境）的国际旅费、国外城市间交通费、住宿费、伙食费、培训费、公杂费等支出；公务用车购置费反映公务用车购置支出（含车辆购置税、牌照费）；公务用车运行维护费反映单位按规定保留的公务用车燃料费、新能源汽车充电费、维修费、过路过桥费、保险费、安全奖励费用等支出；公务接待费反映单位按规定开支的各类公务接待（含外宾接待）费用。</w:t>
      </w:r>
    </w:p>
    <w:p w14:paraId="61CC26A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十七、机关运行经费：</w:t>
      </w:r>
      <w:r>
        <w:rPr>
          <w:rFonts w:hint="eastAsia" w:ascii="方正仿宋_GBK" w:hAnsi="方正仿宋_GBK" w:eastAsia="方正仿宋_GBK" w:cs="方正仿宋_GBK"/>
          <w:color w:val="auto"/>
          <w:kern w:val="2"/>
          <w:sz w:val="32"/>
          <w:szCs w:val="32"/>
          <w:lang w:val="en-US" w:eastAsia="zh-CN" w:bidi="ar-SA"/>
        </w:rPr>
        <w:t>指行政单位和参照公务员法管理的事业单位财政拨款基本支出中的公用经费支出。</w:t>
      </w:r>
    </w:p>
    <w:p w14:paraId="72140678">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方正小标宋_GBK" w:hAnsi="方正小标宋_GBK" w:eastAsia="方正小标宋_GBK" w:cs="方正小标宋_GBK"/>
          <w:kern w:val="2"/>
          <w:sz w:val="44"/>
          <w:szCs w:val="44"/>
          <w:highlight w:val="none"/>
          <w:lang w:val="en-US" w:eastAsia="zh-CN"/>
        </w:rPr>
      </w:pPr>
      <w:r>
        <w:rPr>
          <w:rFonts w:hint="eastAsia" w:ascii="方正仿宋_GBK" w:hAnsi="方正仿宋_GBK" w:eastAsia="方正仿宋_GBK" w:cs="方正仿宋_GBK"/>
          <w:color w:val="auto"/>
          <w:kern w:val="2"/>
          <w:sz w:val="32"/>
          <w:szCs w:val="32"/>
          <w:lang w:val="en-US" w:eastAsia="zh-CN" w:bidi="ar-SA"/>
        </w:rPr>
        <w:br w:type="page"/>
      </w:r>
      <w:r>
        <w:rPr>
          <w:rFonts w:hint="eastAsia" w:ascii="方正仿宋_GBK" w:hAnsi="方正仿宋_GBK" w:eastAsia="方正仿宋_GBK" w:cs="方正仿宋_GBK"/>
          <w:color w:val="auto"/>
          <w:kern w:val="2"/>
          <w:sz w:val="32"/>
          <w:szCs w:val="32"/>
          <w:lang w:val="en-US" w:eastAsia="zh-CN" w:bidi="ar-SA"/>
        </w:rPr>
        <w:t xml:space="preserve">         </w:t>
      </w:r>
      <w:r>
        <w:rPr>
          <w:rFonts w:hint="eastAsia" w:ascii="方正小标宋_GBK" w:hAnsi="方正小标宋_GBK" w:eastAsia="方正小标宋_GBK" w:cs="方正小标宋_GBK"/>
          <w:kern w:val="2"/>
          <w:sz w:val="44"/>
          <w:szCs w:val="44"/>
          <w:highlight w:val="none"/>
          <w:lang w:val="en-US" w:eastAsia="zh-CN"/>
        </w:rPr>
        <w:t xml:space="preserve"> 第四部分  部门决算报表（见附表）</w:t>
      </w:r>
    </w:p>
    <w:p w14:paraId="129804F9">
      <w:pPr>
        <w:keepNext w:val="0"/>
        <w:keepLines w:val="0"/>
        <w:pageBreakBefore w:val="0"/>
        <w:widowControl w:val="0"/>
        <w:kinsoku/>
        <w:wordWrap/>
        <w:overflowPunct/>
        <w:topLinePunct w:val="0"/>
        <w:autoSpaceDE/>
        <w:autoSpaceDN/>
        <w:bidi w:val="0"/>
        <w:adjustRightInd/>
        <w:snapToGrid/>
        <w:spacing w:after="0" w:line="560" w:lineRule="exact"/>
        <w:jc w:val="center"/>
        <w:textAlignment w:val="auto"/>
        <w:rPr>
          <w:rFonts w:hint="eastAsia" w:ascii="方正小标宋_GBK" w:hAnsi="方正小标宋_GBK" w:eastAsia="方正小标宋_GBK" w:cs="方正小标宋_GBK"/>
          <w:kern w:val="2"/>
          <w:sz w:val="44"/>
          <w:szCs w:val="44"/>
          <w:highlight w:val="none"/>
          <w:lang w:val="en-US" w:eastAsia="zh-CN"/>
        </w:rPr>
      </w:pPr>
    </w:p>
    <w:p w14:paraId="5352B1A5">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一、《收入支出决算总表》</w:t>
      </w:r>
    </w:p>
    <w:p w14:paraId="0FCDF045">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二、《收入决算表》</w:t>
      </w:r>
    </w:p>
    <w:p w14:paraId="096E5790">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三、《支出决算表》</w:t>
      </w:r>
    </w:p>
    <w:p w14:paraId="0FA92084">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四、《财政拨款收入支出决算总表》</w:t>
      </w:r>
    </w:p>
    <w:p w14:paraId="0D377396">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五、《一般公共预算财政拨款支出决算表》</w:t>
      </w:r>
    </w:p>
    <w:p w14:paraId="3DD4B1E1">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六、《一般公共预算财政拨款基本支出决算表》</w:t>
      </w:r>
    </w:p>
    <w:p w14:paraId="226416D3">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七、《政府性基金预算财政拨款收入支出决算表》</w:t>
      </w:r>
    </w:p>
    <w:p w14:paraId="0A84D94C">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八、《国有资本经营预算财政拨款收入支出决算表》</w:t>
      </w:r>
    </w:p>
    <w:p w14:paraId="75776F5B">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方正仿宋_GBK" w:hAnsi="方正仿宋_GBK" w:eastAsia="方正仿宋_GBK" w:cs="方正仿宋_GBK"/>
          <w:color w:val="auto"/>
          <w:kern w:val="2"/>
          <w:sz w:val="32"/>
          <w:szCs w:val="32"/>
          <w:lang w:val="en-US" w:eastAsia="zh-CN" w:bidi="ar-SA"/>
        </w:rPr>
      </w:pPr>
      <w:r>
        <w:rPr>
          <w:rFonts w:hint="eastAsia" w:ascii="方正仿宋_GBK" w:hAnsi="方正仿宋_GBK" w:eastAsia="方正仿宋_GBK" w:cs="方正仿宋_GBK"/>
          <w:color w:val="auto"/>
          <w:kern w:val="2"/>
          <w:sz w:val="32"/>
          <w:szCs w:val="32"/>
          <w:lang w:val="en-US" w:eastAsia="zh-CN" w:bidi="ar-SA"/>
        </w:rPr>
        <w:t>九、《财政拨款“三公”经费支出决算表》</w:t>
      </w:r>
    </w:p>
    <w:sectPr>
      <w:pgSz w:w="12240" w:h="15840"/>
      <w:pgMar w:top="2098" w:right="1531" w:bottom="1984" w:left="1531"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30304000000000000"/>
    <w:charset w:val="50"/>
    <w:family w:val="auto"/>
    <w:pitch w:val="default"/>
    <w:sig w:usb0="E7FFAEFF" w:usb1="F9FFFFFF" w:usb2="000FFDFF" w:usb3="00000000" w:csb0="603F01FF" w:csb1="FFFF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Calibri">
    <w:altName w:val="Times New Roman"/>
    <w:panose1 w:val="020F0502020204030204"/>
    <w:charset w:val="86"/>
    <w:family w:val="swiss"/>
    <w:pitch w:val="default"/>
    <w:sig w:usb0="00000000" w:usb1="00000000" w:usb2="00000001" w:usb3="00000000" w:csb0="0000019F" w:csb1="00000000"/>
  </w:font>
  <w:font w:name="Calibri">
    <w:altName w:val="Times New Roman"/>
    <w:panose1 w:val="020F0502020204030204"/>
    <w:charset w:val="86"/>
    <w:family w:val="swiss"/>
    <w:pitch w:val="default"/>
    <w:sig w:usb0="00000000" w:usb1="00000000" w:usb2="00000001" w:usb3="00000000" w:csb0="0000019F" w:csb1="00000000"/>
  </w:font>
  <w:font w:name="Calibri">
    <w:altName w:val="Times New Roman"/>
    <w:panose1 w:val="00000000000000000000"/>
    <w:charset w:val="00"/>
    <w:family w:val="auto"/>
    <w:pitch w:val="default"/>
    <w:sig w:usb0="00000000" w:usb1="00000000" w:usb2="00000000" w:usb3="00000000" w:csb0="00000000" w:csb1="00000000"/>
  </w:font>
  <w:font w:name="Cambria">
    <w:altName w:val="FreeSerif"/>
    <w:panose1 w:val="02040503050406030204"/>
    <w:charset w:val="00"/>
    <w:family w:val="auto"/>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B2218"/>
    <w:rsid w:val="004F6535"/>
    <w:rsid w:val="04D650A3"/>
    <w:rsid w:val="09067F2D"/>
    <w:rsid w:val="0A373791"/>
    <w:rsid w:val="0D921D8F"/>
    <w:rsid w:val="0FA47B58"/>
    <w:rsid w:val="146A4EAA"/>
    <w:rsid w:val="1531F016"/>
    <w:rsid w:val="180B1483"/>
    <w:rsid w:val="1B9A62B3"/>
    <w:rsid w:val="1DFB128B"/>
    <w:rsid w:val="1F1FB18F"/>
    <w:rsid w:val="2126141A"/>
    <w:rsid w:val="2285397D"/>
    <w:rsid w:val="297964E7"/>
    <w:rsid w:val="2AC1560A"/>
    <w:rsid w:val="312A215B"/>
    <w:rsid w:val="32D06D32"/>
    <w:rsid w:val="3A3F0308"/>
    <w:rsid w:val="42DA3279"/>
    <w:rsid w:val="43081BD1"/>
    <w:rsid w:val="46D06EA9"/>
    <w:rsid w:val="48FE1BF2"/>
    <w:rsid w:val="49047E8F"/>
    <w:rsid w:val="49C62240"/>
    <w:rsid w:val="4A133F4F"/>
    <w:rsid w:val="4F890319"/>
    <w:rsid w:val="514B3CFC"/>
    <w:rsid w:val="51E657D3"/>
    <w:rsid w:val="557E5D22"/>
    <w:rsid w:val="57DB1928"/>
    <w:rsid w:val="58CD4FF7"/>
    <w:rsid w:val="5B3B0A77"/>
    <w:rsid w:val="5BBA6405"/>
    <w:rsid w:val="5BC61AE5"/>
    <w:rsid w:val="63407A91"/>
    <w:rsid w:val="63604CB9"/>
    <w:rsid w:val="67256946"/>
    <w:rsid w:val="67AC671F"/>
    <w:rsid w:val="6F222E3E"/>
    <w:rsid w:val="76EF9D8B"/>
    <w:rsid w:val="77DB665E"/>
    <w:rsid w:val="77DDD0B3"/>
    <w:rsid w:val="7CE3278B"/>
    <w:rsid w:val="7DBEE9E8"/>
    <w:rsid w:val="7E3F39F1"/>
    <w:rsid w:val="7ECF746B"/>
    <w:rsid w:val="7FDB2DA7"/>
    <w:rsid w:val="AF1FB9CD"/>
    <w:rsid w:val="BDFB7DCD"/>
    <w:rsid w:val="D1FF0624"/>
    <w:rsid w:val="DF5F7DFA"/>
    <w:rsid w:val="F07D09F0"/>
    <w:rsid w:val="FF5B443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99" w:semiHidden="0"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iPriority="99"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9"/>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20"/>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1"/>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22"/>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left="720"/>
    </w:pPr>
  </w:style>
  <w:style w:type="paragraph" w:styleId="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8">
    <w:name w:val="header"/>
    <w:basedOn w:val="1"/>
    <w:link w:val="18"/>
    <w:unhideWhenUsed/>
    <w:qFormat/>
    <w:uiPriority w:val="99"/>
    <w:pPr>
      <w:tabs>
        <w:tab w:val="center" w:pos="4680"/>
        <w:tab w:val="right" w:pos="9360"/>
      </w:tabs>
    </w:pPr>
  </w:style>
  <w:style w:type="paragraph" w:styleId="9">
    <w:name w:val="toc 1"/>
    <w:basedOn w:val="1"/>
    <w:next w:val="1"/>
    <w:qFormat/>
    <w:uiPriority w:val="0"/>
  </w:style>
  <w:style w:type="paragraph" w:styleId="10">
    <w:name w:val="Subtitle"/>
    <w:basedOn w:val="1"/>
    <w:next w:val="1"/>
    <w:link w:val="23"/>
    <w:qFormat/>
    <w:uiPriority w:val="11"/>
    <w:pPr>
      <w:ind w:left="86"/>
    </w:pPr>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1">
    <w:name w:val="toc 2"/>
    <w:basedOn w:val="1"/>
    <w:next w:val="1"/>
    <w:qFormat/>
    <w:uiPriority w:val="0"/>
    <w:pPr>
      <w:ind w:left="420" w:leftChars="200"/>
    </w:pPr>
  </w:style>
  <w:style w:type="paragraph" w:styleId="12">
    <w:name w:val="Title"/>
    <w:basedOn w:val="1"/>
    <w:next w:val="1"/>
    <w:link w:val="24"/>
    <w:qFormat/>
    <w:uiPriority w:val="10"/>
    <w:pPr>
      <w:pBdr>
        <w:bottom w:val="single" w:color="4F81BD" w:themeColor="accent1" w:sz="8" w:space="4"/>
      </w:pBdr>
      <w:spacing w:after="300"/>
      <w:contextualSpacing/>
    </w:pPr>
    <w:rPr>
      <w:rFonts w:asciiTheme="majorHAnsi" w:hAnsiTheme="majorHAnsi" w:eastAsiaTheme="majorEastAsia" w:cstheme="majorBidi"/>
      <w:color w:val="17375E" w:themeColor="text2" w:themeShade="BF"/>
      <w:spacing w:val="5"/>
      <w:kern w:val="28"/>
      <w:sz w:val="52"/>
      <w:szCs w:val="52"/>
    </w:rPr>
  </w:style>
  <w:style w:type="table" w:styleId="14">
    <w:name w:val="Table Grid"/>
    <w:basedOn w:val="1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6">
    <w:name w:val="Emphasis"/>
    <w:basedOn w:val="15"/>
    <w:qFormat/>
    <w:uiPriority w:val="20"/>
    <w:rPr>
      <w:i/>
      <w:iCs/>
    </w:rPr>
  </w:style>
  <w:style w:type="character" w:styleId="17">
    <w:name w:val="Hyperlink"/>
    <w:basedOn w:val="15"/>
    <w:unhideWhenUsed/>
    <w:qFormat/>
    <w:uiPriority w:val="99"/>
    <w:rPr>
      <w:color w:val="0000FF" w:themeColor="hyperlink"/>
      <w:u w:val="single"/>
      <w14:textFill>
        <w14:solidFill>
          <w14:schemeClr w14:val="hlink"/>
        </w14:solidFill>
      </w14:textFill>
    </w:rPr>
  </w:style>
  <w:style w:type="character" w:customStyle="1" w:styleId="18">
    <w:name w:val="Header Char"/>
    <w:basedOn w:val="15"/>
    <w:link w:val="8"/>
    <w:qFormat/>
    <w:uiPriority w:val="99"/>
  </w:style>
  <w:style w:type="character" w:customStyle="1" w:styleId="19">
    <w:name w:val="Heading 1 Char"/>
    <w:basedOn w:val="15"/>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20">
    <w:name w:val="Heading 2 Char"/>
    <w:basedOn w:val="15"/>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1">
    <w:name w:val="Heading 3 Char"/>
    <w:basedOn w:val="15"/>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2">
    <w:name w:val="Heading 4 Char"/>
    <w:basedOn w:val="15"/>
    <w:link w:val="5"/>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3">
    <w:name w:val="Subtitle Char"/>
    <w:basedOn w:val="15"/>
    <w:link w:val="10"/>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24">
    <w:name w:val="Title Char"/>
    <w:basedOn w:val="15"/>
    <w:link w:val="12"/>
    <w:qFormat/>
    <w:uiPriority w:val="10"/>
    <w:rPr>
      <w:rFonts w:asciiTheme="majorHAnsi" w:hAnsiTheme="majorHAnsi" w:eastAsiaTheme="majorEastAsia" w:cstheme="majorBidi"/>
      <w:color w:val="17375E" w:themeColor="text2" w:themeShade="BF"/>
      <w:spacing w:val="5"/>
      <w:kern w:val="28"/>
      <w:sz w:val="52"/>
      <w:szCs w:val="52"/>
    </w:rPr>
  </w:style>
  <w:style w:type="paragraph" w:customStyle="1" w:styleId="25">
    <w:name w:val="List Paragraph"/>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18</Pages>
  <Words>5855</Words>
  <Characters>6563</Characters>
  <TotalTime>54</TotalTime>
  <ScaleCrop>false</ScaleCrop>
  <LinksUpToDate>false</LinksUpToDate>
  <CharactersWithSpaces>6570</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2026-08-19T21:29:00Z</dcterms:created>
  <dc:creator>Administrator</dc:creator>
  <cp:lastModifiedBy>user</cp:lastModifiedBy>
  <dcterms:modified xsi:type="dcterms:W3CDTF">2026-08-24T19:48:26Z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eyJoZGlkIjoiMDJkMjAzNjEyMDU0NWEyZmZkMzMzMWVmN2JjMzZkZGMiLCJ1c2VySWQiOiIzNzIxNjM0MzcifQ==</vt:lpwstr>
  </property>
  <property fmtid="{D5CDD505-2E9C-101B-9397-08002B2CF9AE}" pid="3" name="KSOProductBuildVer">
    <vt:lpwstr>2052-12.1.2.23578</vt:lpwstr>
  </property>
  <property fmtid="{D5CDD505-2E9C-101B-9397-08002B2CF9AE}" pid="4" name="ICV">
    <vt:lpwstr>FD954C31B6D402E74A228C6A4E9321B3_43</vt:lpwstr>
  </property>
</Properties>
</file>