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75FA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32"/>
          <w:szCs w:val="32"/>
        </w:rPr>
      </w:pPr>
    </w:p>
    <w:p w14:paraId="76EB1F6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3038210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0E7C18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4FBCF17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21628AF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552F598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新疆维吾尔自治区民政事业服务中心（新疆</w:t>
      </w:r>
    </w:p>
    <w:p w14:paraId="63B944B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维吾尔自治区低收入家庭经济状况</w:t>
      </w:r>
    </w:p>
    <w:p w14:paraId="4FF6BCB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核对中心）2025年度</w:t>
      </w:r>
    </w:p>
    <w:p w14:paraId="0703947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sz w:val="44"/>
          <w:szCs w:val="44"/>
        </w:rPr>
      </w:pPr>
      <w:r>
        <w:rPr>
          <w:rFonts w:hint="default" w:ascii="Times New Roman" w:hAnsi="Times New Roman" w:eastAsia="方正小标宋_GBK" w:cs="Times New Roman"/>
          <w:b w:val="0"/>
          <w:sz w:val="44"/>
          <w:szCs w:val="44"/>
        </w:rPr>
        <w:t>部门决算公开说明</w:t>
      </w:r>
    </w:p>
    <w:p w14:paraId="2EE6E9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default" w:ascii="Times New Roman" w:hAnsi="Times New Roman" w:eastAsia="方正小标宋_GBK" w:cs="Times New Roman"/>
          <w:b w:val="0"/>
          <w:bCs/>
          <w:sz w:val="44"/>
          <w:szCs w:val="44"/>
        </w:rPr>
        <w:sectPr>
          <w:pgSz w:w="12240" w:h="15840"/>
          <w:pgMar w:top="2098" w:right="1531" w:bottom="1984" w:left="1531" w:header="720" w:footer="720" w:gutter="0"/>
          <w:cols w:space="720" w:num="1"/>
        </w:sectPr>
      </w:pPr>
    </w:p>
    <w:p w14:paraId="6AC17C1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目 录</w:t>
      </w:r>
    </w:p>
    <w:p w14:paraId="3758AB0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default" w:ascii="Times New Roman" w:hAnsi="Times New Roman" w:eastAsia="方正仿宋_GBK" w:cs="Times New Roman"/>
          <w:b/>
          <w:bCs w:val="0"/>
          <w:sz w:val="32"/>
          <w:szCs w:val="32"/>
        </w:rPr>
      </w:pPr>
    </w:p>
    <w:p w14:paraId="26D4385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第一部分</w:t>
      </w:r>
      <w:r>
        <w:rPr>
          <w:rFonts w:hint="default" w:ascii="Times New Roman" w:hAnsi="Times New Roman" w:eastAsia="方正仿宋_GBK" w:cs="Times New Roman"/>
          <w:b/>
          <w:sz w:val="32"/>
          <w:szCs w:val="32"/>
          <w:lang w:val="en-US" w:eastAsia="zh-CN"/>
        </w:rPr>
        <w:t xml:space="preserve">  </w:t>
      </w:r>
      <w:r>
        <w:rPr>
          <w:rFonts w:hint="default" w:ascii="Times New Roman" w:hAnsi="Times New Roman" w:eastAsia="方正仿宋_GBK" w:cs="Times New Roman"/>
          <w:b/>
          <w:sz w:val="32"/>
          <w:szCs w:val="32"/>
        </w:rPr>
        <w:t>单位概况</w:t>
      </w:r>
    </w:p>
    <w:p w14:paraId="1D963BA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一、主要职能</w:t>
      </w:r>
    </w:p>
    <w:p w14:paraId="00D795A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二、机构设置</w:t>
      </w:r>
    </w:p>
    <w:p w14:paraId="0069804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 xml:space="preserve">第二部分 </w:t>
      </w:r>
      <w:r>
        <w:rPr>
          <w:rFonts w:hint="default" w:ascii="Times New Roman" w:hAnsi="Times New Roman" w:eastAsia="方正仿宋_GBK" w:cs="Times New Roman"/>
          <w:b/>
          <w:sz w:val="32"/>
          <w:szCs w:val="32"/>
          <w:lang w:val="en-US" w:eastAsia="zh-CN"/>
        </w:rPr>
        <w:t xml:space="preserve"> </w:t>
      </w:r>
      <w:r>
        <w:rPr>
          <w:rFonts w:hint="default" w:ascii="Times New Roman" w:hAnsi="Times New Roman" w:eastAsia="方正仿宋_GBK" w:cs="Times New Roman"/>
          <w:b/>
          <w:sz w:val="32"/>
          <w:szCs w:val="32"/>
        </w:rPr>
        <w:t>部门决算情况说明</w:t>
      </w:r>
    </w:p>
    <w:p w14:paraId="24888EB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一、收入支出决算总体情况说明</w:t>
      </w:r>
    </w:p>
    <w:p w14:paraId="5D07CB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二、收入决算情况说明</w:t>
      </w:r>
    </w:p>
    <w:p w14:paraId="557E863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三、支出决算情况说明</w:t>
      </w:r>
    </w:p>
    <w:p w14:paraId="443355C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四、财政拨款收入支出决算总体情况说明</w:t>
      </w:r>
    </w:p>
    <w:p w14:paraId="57F3F29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五、一般公共预算财政拨款支出决算情况说明</w:t>
      </w:r>
    </w:p>
    <w:p w14:paraId="4A4EE51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（一）一般公共预算财政拨款支出决算总体情况</w:t>
      </w:r>
    </w:p>
    <w:p w14:paraId="1E8D39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（二）一般公共预算财政拨款支出决算结构情况</w:t>
      </w:r>
    </w:p>
    <w:p w14:paraId="4055F91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（三）一般公共预算财政拨款支出决算具体情况</w:t>
      </w:r>
    </w:p>
    <w:p w14:paraId="5DC872B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六、一般公共预算财政拨款基本支出决算情况说明</w:t>
      </w:r>
    </w:p>
    <w:p w14:paraId="4282B91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七、政府性基金预算财政拨款收入支出决算情况说明</w:t>
      </w:r>
    </w:p>
    <w:p w14:paraId="42258B9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八、国有资本经营预算财政拨款收入支出决算情况说明</w:t>
      </w:r>
    </w:p>
    <w:p w14:paraId="01D650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九、财政拨款“三公”经费支出决算情况说明</w:t>
      </w:r>
    </w:p>
    <w:p w14:paraId="1A25861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十、其他重要事项的情况说明</w:t>
      </w:r>
    </w:p>
    <w:p w14:paraId="3908F51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（一）机关运行经费及公用经费支出情况</w:t>
      </w:r>
    </w:p>
    <w:p w14:paraId="7FB7C28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（二）政府采购情况</w:t>
      </w:r>
    </w:p>
    <w:p w14:paraId="5192E3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（三）国有资产占用情况说明</w:t>
      </w:r>
    </w:p>
    <w:p w14:paraId="1182B57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十一、预算绩效的情况说明</w:t>
      </w:r>
    </w:p>
    <w:p w14:paraId="662995C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十二、其他需说明的事项</w:t>
      </w:r>
    </w:p>
    <w:p w14:paraId="241D496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第三部分</w:t>
      </w:r>
      <w:r>
        <w:rPr>
          <w:rFonts w:hint="default" w:ascii="Times New Roman" w:hAnsi="Times New Roman" w:eastAsia="方正仿宋_GBK" w:cs="Times New Roman"/>
          <w:b/>
          <w:sz w:val="32"/>
          <w:szCs w:val="32"/>
          <w:lang w:val="en-US" w:eastAsia="zh-CN"/>
        </w:rPr>
        <w:t xml:space="preserve"> </w:t>
      </w:r>
      <w:r>
        <w:rPr>
          <w:rFonts w:hint="default" w:ascii="Times New Roman" w:hAnsi="Times New Roman" w:eastAsia="方正仿宋_GBK" w:cs="Times New Roman"/>
          <w:b/>
          <w:sz w:val="32"/>
          <w:szCs w:val="32"/>
        </w:rPr>
        <w:t xml:space="preserve"> 专业名词解释</w:t>
      </w:r>
    </w:p>
    <w:p w14:paraId="5942A15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b/>
          <w:sz w:val="32"/>
          <w:szCs w:val="32"/>
        </w:rPr>
        <w:sectPr>
          <w:footerReference r:id="rId5" w:type="default"/>
          <w:pgSz w:w="12240" w:h="15840"/>
          <w:pgMar w:top="2098" w:right="1531" w:bottom="1984" w:left="1531" w:header="720" w:footer="720" w:gutter="0"/>
          <w:pgNumType w:start="1"/>
          <w:cols w:space="720" w:num="1"/>
        </w:sectPr>
      </w:pPr>
    </w:p>
    <w:p w14:paraId="71C645A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第四部分</w:t>
      </w:r>
      <w:r>
        <w:rPr>
          <w:rFonts w:hint="default" w:ascii="Times New Roman" w:hAnsi="Times New Roman" w:eastAsia="方正仿宋_GBK" w:cs="Times New Roman"/>
          <w:b/>
          <w:sz w:val="32"/>
          <w:szCs w:val="32"/>
          <w:lang w:val="en-US" w:eastAsia="zh-CN"/>
        </w:rPr>
        <w:t xml:space="preserve"> </w:t>
      </w:r>
      <w:r>
        <w:rPr>
          <w:rFonts w:hint="default" w:ascii="Times New Roman" w:hAnsi="Times New Roman" w:eastAsia="方正仿宋_GBK" w:cs="Times New Roman"/>
          <w:b/>
          <w:sz w:val="32"/>
          <w:szCs w:val="32"/>
        </w:rPr>
        <w:t xml:space="preserve"> 部门决算报表（见附表）</w:t>
      </w:r>
    </w:p>
    <w:p w14:paraId="42893D9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一、《收入支出决算总表》</w:t>
      </w:r>
    </w:p>
    <w:p w14:paraId="30E1DE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二、《收入决算表》</w:t>
      </w:r>
    </w:p>
    <w:p w14:paraId="0066B22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三、《支出决算表》</w:t>
      </w:r>
    </w:p>
    <w:p w14:paraId="77FF879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四、《财政拨款收入支出决算总表》</w:t>
      </w:r>
    </w:p>
    <w:p w14:paraId="2F5FDD1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五、《一般公共预算财政拨款支出决算表》</w:t>
      </w:r>
    </w:p>
    <w:p w14:paraId="7F53A96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六、《一般公共预算财政拨款基本支出决算表》</w:t>
      </w:r>
    </w:p>
    <w:p w14:paraId="5B4A821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七、《政府性基金预算财政拨款收入支出决算表》</w:t>
      </w:r>
    </w:p>
    <w:p w14:paraId="7E8AA9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八、《国有资本经营预算财政拨款收入支出决算表》</w:t>
      </w:r>
    </w:p>
    <w:p w14:paraId="090C6C5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九、《财政拨款“三公”经费支出决算表》</w:t>
      </w:r>
    </w:p>
    <w:p w14:paraId="5A74CB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sectPr>
          <w:footerReference r:id="rId6" w:type="default"/>
          <w:pgSz w:w="12240" w:h="15840"/>
          <w:pgMar w:top="2098" w:right="1531" w:bottom="1984" w:left="1531" w:header="720" w:footer="720" w:gutter="0"/>
          <w:pgNumType w:start="1"/>
          <w:cols w:space="720" w:num="1"/>
        </w:sectPr>
      </w:pPr>
    </w:p>
    <w:p w14:paraId="0D400A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第一部分</w:t>
      </w:r>
      <w:r>
        <w:rPr>
          <w:rFonts w:hint="default" w:ascii="Times New Roman" w:hAnsi="Times New Roman" w:eastAsia="方正小标宋_GBK" w:cs="Times New Roman"/>
          <w:b w:val="0"/>
          <w:sz w:val="44"/>
          <w:szCs w:val="44"/>
          <w:lang w:val="en-US" w:eastAsia="zh-CN"/>
        </w:rPr>
        <w:t xml:space="preserve">  </w:t>
      </w:r>
      <w:r>
        <w:rPr>
          <w:rFonts w:hint="default" w:ascii="Times New Roman" w:hAnsi="Times New Roman" w:eastAsia="方正小标宋_GBK" w:cs="Times New Roman"/>
          <w:b w:val="0"/>
          <w:sz w:val="44"/>
          <w:szCs w:val="44"/>
        </w:rPr>
        <w:t>单位概况</w:t>
      </w:r>
    </w:p>
    <w:p w14:paraId="1179904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黑体" w:cs="Times New Roman"/>
          <w:b w:val="0"/>
          <w:sz w:val="32"/>
          <w:szCs w:val="32"/>
        </w:rPr>
      </w:pPr>
    </w:p>
    <w:p w14:paraId="43AF5EF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sz w:val="32"/>
          <w:szCs w:val="32"/>
        </w:rPr>
      </w:pPr>
      <w:r>
        <w:rPr>
          <w:rFonts w:hint="default" w:ascii="Times New Roman" w:hAnsi="Times New Roman" w:eastAsia="方正黑体_GBK" w:cs="Times New Roman"/>
          <w:b w:val="0"/>
          <w:sz w:val="32"/>
          <w:szCs w:val="32"/>
        </w:rPr>
        <w:t>一、主要职能</w:t>
      </w:r>
    </w:p>
    <w:p w14:paraId="37AFB48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承担民政事业项目规划的评估、可行性研究、论证及规划项目实施的指导工作；承担自治区低收入人口信息数据库的建立和数据管理应用、动态监测预警，做好低收入人口家庭经济状况信息查询与核对、社会救助应用平台（系统）的培训工作；承担民政信息系统运行维护等工作</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承担民政系统干部职工的教育培训工作。</w:t>
      </w:r>
    </w:p>
    <w:p w14:paraId="6AC1911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二、机构设置</w:t>
      </w:r>
    </w:p>
    <w:p w14:paraId="557574C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新疆维吾尔自治区民政事业服务中心（新疆维吾尔自治区低收入家庭经济状况核对中心）无下属预算单位。</w:t>
      </w:r>
    </w:p>
    <w:p w14:paraId="23A3CCC6">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714B0C9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第二部分 部门决算情况说明</w:t>
      </w:r>
    </w:p>
    <w:p w14:paraId="6383E59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黑体_GBK" w:cs="Times New Roman"/>
          <w:b w:val="0"/>
          <w:sz w:val="32"/>
          <w:szCs w:val="32"/>
        </w:rPr>
      </w:pPr>
    </w:p>
    <w:p w14:paraId="00FB440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一、收入支出决算总体情况说明</w:t>
      </w:r>
    </w:p>
    <w:p w14:paraId="75A5390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2025年度收入总计2,687.32万元，</w:t>
      </w:r>
      <w:r>
        <w:rPr>
          <w:rFonts w:hint="default" w:ascii="Times New Roman" w:hAnsi="Times New Roman" w:eastAsia="方正仿宋_GBK" w:cs="Times New Roman"/>
          <w:b w:val="0"/>
          <w:sz w:val="32"/>
          <w:szCs w:val="32"/>
        </w:rPr>
        <w:t>其中：本年收入合计2,687.32万元，使用非财政拨款结余（含专用结余）0.00万元，年初结转和结余0.00万元。</w:t>
      </w:r>
    </w:p>
    <w:p w14:paraId="1FDBDCD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2025年度支出总计2,687.32万元，</w:t>
      </w:r>
      <w:r>
        <w:rPr>
          <w:rFonts w:hint="default" w:ascii="Times New Roman" w:hAnsi="Times New Roman" w:eastAsia="方正仿宋_GBK" w:cs="Times New Roman"/>
          <w:b w:val="0"/>
          <w:sz w:val="32"/>
          <w:szCs w:val="32"/>
        </w:rPr>
        <w:t>其中：本年支出合计2,687.32万元，结余分配0.00万元，年末结转和结余0.00万元。</w:t>
      </w:r>
    </w:p>
    <w:p w14:paraId="4062C71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收入支出总体与上年相比，</w:t>
      </w:r>
      <w:r>
        <w:rPr>
          <w:rFonts w:hint="default" w:ascii="Times New Roman" w:hAnsi="Times New Roman" w:eastAsia="方正仿宋_GBK" w:cs="Times New Roman"/>
          <w:b w:val="0"/>
          <w:sz w:val="32"/>
          <w:szCs w:val="32"/>
        </w:rPr>
        <w:t>增加2,591.54万元，增长2,705.72%，主要原因是：1.在职人员增加，支出较上年增加；2.2025年安排政府购买社会救助服务示范项目、社会组织能力提升购买服务辅助性项目、养老服务能力提升项目、支持乡村振兴公益事业发展项目、民政民生大数据智慧服务平台等项目支出</w:t>
      </w:r>
      <w:r>
        <w:rPr>
          <w:rFonts w:hint="default" w:ascii="Times New Roman" w:hAnsi="Times New Roman" w:eastAsia="方正仿宋_GBK" w:cs="Times New Roman"/>
          <w:b w:val="0"/>
          <w:sz w:val="32"/>
          <w:szCs w:val="32"/>
          <w:lang w:val="en-US" w:eastAsia="zh-CN"/>
        </w:rPr>
        <w:t>较上年增加</w:t>
      </w:r>
      <w:r>
        <w:rPr>
          <w:rFonts w:hint="default" w:ascii="Times New Roman" w:hAnsi="Times New Roman" w:eastAsia="方正仿宋_GBK" w:cs="Times New Roman"/>
          <w:b w:val="0"/>
          <w:sz w:val="32"/>
          <w:szCs w:val="32"/>
        </w:rPr>
        <w:t>。</w:t>
      </w:r>
    </w:p>
    <w:p w14:paraId="72CE517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二、收入决算情况说明</w:t>
      </w:r>
    </w:p>
    <w:p w14:paraId="0505FB8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本年收入2,687.32万元，</w:t>
      </w:r>
      <w:r>
        <w:rPr>
          <w:rFonts w:hint="default" w:ascii="Times New Roman" w:hAnsi="Times New Roman" w:eastAsia="方正仿宋_GBK" w:cs="Times New Roman"/>
          <w:b w:val="0"/>
          <w:sz w:val="32"/>
          <w:szCs w:val="32"/>
        </w:rPr>
        <w:t>其中：财政拨款收入2,687.31万元,占100.00%；上级补助收入0.00万元,占0.00%；事业收入0.00万元，占0.00%；经营收入0.00万元,占0.00%；附属单位上缴收入0.00万元，占0.00%；其他收入0.01万元，占0.00%。</w:t>
      </w:r>
    </w:p>
    <w:p w14:paraId="573DE03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三、支出决算情况说明</w:t>
      </w:r>
    </w:p>
    <w:p w14:paraId="5EC6F5D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本年支出2,687.32万元，</w:t>
      </w:r>
      <w:r>
        <w:rPr>
          <w:rFonts w:hint="default" w:ascii="Times New Roman" w:hAnsi="Times New Roman" w:eastAsia="方正仿宋_GBK" w:cs="Times New Roman"/>
          <w:b w:val="0"/>
          <w:sz w:val="32"/>
          <w:szCs w:val="32"/>
        </w:rPr>
        <w:t>其中：基本支出300.87万元，占11.20%；项目支出2,386.45万元，占88.80%；上缴上级支出0.00万元，占0.00%；经营支出0.00万元，占0.00%；对附属单位补助支出0.00万元，占0.00%。</w:t>
      </w:r>
    </w:p>
    <w:p w14:paraId="21468F1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四、财政拨款收入支出决算总体情况说明</w:t>
      </w:r>
    </w:p>
    <w:p w14:paraId="6AC45B1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2025年度财政拨款收入总计2,687.31万元，</w:t>
      </w:r>
      <w:r>
        <w:rPr>
          <w:rFonts w:hint="default" w:ascii="Times New Roman" w:hAnsi="Times New Roman" w:eastAsia="方正仿宋_GBK" w:cs="Times New Roman"/>
          <w:b w:val="0"/>
          <w:sz w:val="32"/>
          <w:szCs w:val="32"/>
        </w:rPr>
        <w:t>其中：年初财政拨款结转和结余0.00万元，本年财政拨款收入2,687.31万元。</w:t>
      </w:r>
      <w:r>
        <w:rPr>
          <w:rFonts w:hint="default" w:ascii="Times New Roman" w:hAnsi="Times New Roman" w:eastAsia="方正仿宋_GBK" w:cs="Times New Roman"/>
          <w:b/>
          <w:bCs/>
          <w:sz w:val="32"/>
          <w:szCs w:val="32"/>
        </w:rPr>
        <w:t>财政拨款支出总计2,687.31万元，</w:t>
      </w:r>
      <w:r>
        <w:rPr>
          <w:rFonts w:hint="default" w:ascii="Times New Roman" w:hAnsi="Times New Roman" w:eastAsia="方正仿宋_GBK" w:cs="Times New Roman"/>
          <w:b w:val="0"/>
          <w:sz w:val="32"/>
          <w:szCs w:val="32"/>
        </w:rPr>
        <w:t>其中：年末财政拨款结转和结余0.00万元，本年财政拨款支出2,687.31万元。</w:t>
      </w:r>
    </w:p>
    <w:p w14:paraId="2446661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yellow"/>
          <w:lang w:eastAsia="zh-CN"/>
        </w:rPr>
      </w:pPr>
      <w:r>
        <w:rPr>
          <w:rFonts w:hint="default" w:ascii="Times New Roman" w:hAnsi="Times New Roman" w:eastAsia="方正仿宋_GBK" w:cs="Times New Roman"/>
          <w:b/>
          <w:bCs/>
          <w:sz w:val="32"/>
          <w:szCs w:val="32"/>
          <w:highlight w:val="none"/>
        </w:rPr>
        <w:t>财政拨款收入支出总体与上年相比，</w:t>
      </w:r>
      <w:r>
        <w:rPr>
          <w:rFonts w:hint="default" w:ascii="Times New Roman" w:hAnsi="Times New Roman" w:eastAsia="方正仿宋_GBK" w:cs="Times New Roman"/>
          <w:b w:val="0"/>
          <w:sz w:val="32"/>
          <w:szCs w:val="32"/>
          <w:highlight w:val="none"/>
        </w:rPr>
        <w:t>增加2,591.53万元，增长2,705.71%，主要原因是：1.在职人员增加，支出较上年增加；2.2025年安排政府购买社会救助服务示范项目、养老服务能力提升项目、支持乡村振兴公益事业发展项目、民政民生大数据智慧服务平台等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较上年增加</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年初预算数2,569.81万元，决算数2,687.31万元，预决算差异率4.57%，主要原因是：</w:t>
      </w:r>
      <w:r>
        <w:rPr>
          <w:rFonts w:hint="default" w:ascii="Times New Roman" w:hAnsi="Times New Roman" w:eastAsia="方正仿宋_GBK" w:cs="Times New Roman"/>
          <w:b w:val="0"/>
          <w:sz w:val="32"/>
          <w:szCs w:val="32"/>
          <w:highlight w:val="none"/>
          <w:lang w:val="en-US" w:eastAsia="zh-CN"/>
        </w:rPr>
        <w:t>2025年年中</w:t>
      </w:r>
      <w:r>
        <w:rPr>
          <w:rFonts w:hint="default" w:ascii="Times New Roman" w:hAnsi="Times New Roman" w:eastAsia="方正仿宋_GBK" w:cs="Times New Roman"/>
          <w:b w:val="0"/>
          <w:sz w:val="32"/>
          <w:szCs w:val="32"/>
          <w:highlight w:val="none"/>
          <w:lang w:eastAsia="zh-CN"/>
        </w:rPr>
        <w:t>下达</w:t>
      </w:r>
      <w:r>
        <w:rPr>
          <w:rFonts w:hint="default" w:ascii="Times New Roman" w:hAnsi="Times New Roman" w:eastAsia="方正仿宋_GBK" w:cs="Times New Roman"/>
          <w:b w:val="0"/>
          <w:sz w:val="32"/>
          <w:szCs w:val="32"/>
          <w:highlight w:val="none"/>
          <w:lang w:val="en-US" w:eastAsia="zh-CN"/>
        </w:rPr>
        <w:t>一般公共预算安排</w:t>
      </w:r>
      <w:r>
        <w:rPr>
          <w:rFonts w:hint="default" w:ascii="Times New Roman" w:hAnsi="Times New Roman" w:eastAsia="方正仿宋_GBK" w:cs="Times New Roman"/>
          <w:b w:val="0"/>
          <w:sz w:val="32"/>
          <w:szCs w:val="32"/>
          <w:highlight w:val="none"/>
        </w:rPr>
        <w:t>项目</w:t>
      </w:r>
      <w:r>
        <w:rPr>
          <w:rFonts w:hint="default" w:ascii="Times New Roman" w:hAnsi="Times New Roman" w:eastAsia="方正仿宋_GBK" w:cs="Times New Roman"/>
          <w:b w:val="0"/>
          <w:sz w:val="32"/>
          <w:szCs w:val="32"/>
          <w:highlight w:val="none"/>
          <w:lang w:eastAsia="zh-CN"/>
        </w:rPr>
        <w:t>。</w:t>
      </w:r>
    </w:p>
    <w:p w14:paraId="61CE998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五、一般公共预算财政拨款支出决算情况说明</w:t>
      </w:r>
    </w:p>
    <w:p w14:paraId="3B4D78C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按照党中央、国务院关于党政机关习惯过紧日子的有关要求，厉行节约办一切事业，严控一般性支出。同时坚持有保有压，优化支出结构，提高资金使用效率，合理保障</w:t>
      </w:r>
      <w:r>
        <w:rPr>
          <w:rFonts w:hint="default" w:ascii="Times New Roman" w:hAnsi="Times New Roman" w:eastAsia="方正仿宋_GBK" w:cs="Times New Roman"/>
          <w:b w:val="0"/>
          <w:sz w:val="32"/>
          <w:szCs w:val="32"/>
          <w:highlight w:val="none"/>
          <w:lang w:val="en-US" w:eastAsia="zh-CN"/>
        </w:rPr>
        <w:t>人员</w:t>
      </w:r>
      <w:r>
        <w:rPr>
          <w:rFonts w:hint="default" w:ascii="Times New Roman" w:hAnsi="Times New Roman" w:eastAsia="方正仿宋_GBK" w:cs="Times New Roman"/>
          <w:b w:val="0"/>
          <w:sz w:val="32"/>
          <w:szCs w:val="32"/>
          <w:highlight w:val="none"/>
        </w:rPr>
        <w:t>工资、</w:t>
      </w:r>
      <w:r>
        <w:rPr>
          <w:rFonts w:hint="default" w:ascii="Times New Roman" w:hAnsi="Times New Roman" w:eastAsia="方正仿宋_GBK" w:cs="Times New Roman"/>
          <w:b w:val="0"/>
          <w:sz w:val="32"/>
          <w:szCs w:val="32"/>
          <w:highlight w:val="none"/>
          <w:lang w:eastAsia="zh-CN"/>
        </w:rPr>
        <w:t>单位</w:t>
      </w:r>
      <w:r>
        <w:rPr>
          <w:rFonts w:hint="default" w:ascii="Times New Roman" w:hAnsi="Times New Roman" w:eastAsia="方正仿宋_GBK" w:cs="Times New Roman"/>
          <w:b w:val="0"/>
          <w:sz w:val="32"/>
          <w:szCs w:val="32"/>
          <w:highlight w:val="none"/>
        </w:rPr>
        <w:t>运转等重点支出，体现在有关支出科目中。</w:t>
      </w:r>
    </w:p>
    <w:p w14:paraId="0586CD0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按照支出功能分类，社会保障和就业支出（类）民政管理事务（款）其他民政管理事务支出（项）的支出占本年财政拨款支出总额的比重最高，2025年度决算数为552.73万元，占比20.57%，</w:t>
      </w:r>
      <w:r>
        <w:rPr>
          <w:rFonts w:hint="default" w:ascii="Times New Roman" w:hAnsi="Times New Roman" w:eastAsia="方正仿宋_GBK" w:cs="Times New Roman"/>
          <w:b w:val="0"/>
          <w:sz w:val="32"/>
          <w:szCs w:val="32"/>
          <w:highlight w:val="none"/>
        </w:rPr>
        <w:t>主要用于保障单位</w:t>
      </w:r>
      <w:r>
        <w:rPr>
          <w:rFonts w:hint="default" w:ascii="Times New Roman" w:hAnsi="Times New Roman" w:eastAsia="方正仿宋_GBK" w:cs="Times New Roman"/>
          <w:b w:val="0"/>
          <w:sz w:val="32"/>
          <w:szCs w:val="32"/>
          <w:highlight w:val="none"/>
          <w:lang w:eastAsia="zh-CN"/>
        </w:rPr>
        <w:t>人员工资、基本运转等支出</w:t>
      </w:r>
      <w:r>
        <w:rPr>
          <w:rFonts w:hint="default" w:ascii="Times New Roman" w:hAnsi="Times New Roman" w:eastAsia="方正仿宋_GBK" w:cs="Times New Roman"/>
          <w:b w:val="0"/>
          <w:sz w:val="32"/>
          <w:szCs w:val="32"/>
          <w:highlight w:val="none"/>
        </w:rPr>
        <w:t>。</w:t>
      </w:r>
    </w:p>
    <w:p w14:paraId="0F9F18B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eastAsia" w:ascii="方正楷体_GBK" w:hAnsi="方正楷体_GBK" w:eastAsia="方正楷体_GBK" w:cs="方正楷体_GBK"/>
          <w:sz w:val="32"/>
          <w:szCs w:val="32"/>
        </w:rPr>
      </w:pPr>
      <w:r>
        <w:rPr>
          <w:rFonts w:hint="eastAsia" w:ascii="方正楷体_GBK" w:hAnsi="方正楷体_GBK" w:eastAsia="方正楷体_GBK" w:cs="方正楷体_GBK"/>
          <w:b w:val="0"/>
          <w:sz w:val="32"/>
          <w:szCs w:val="32"/>
        </w:rPr>
        <w:t>（一）一般公共预算财政拨款支出决算总体情况</w:t>
      </w:r>
    </w:p>
    <w:p w14:paraId="6748215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rPr>
        <w:t>2025年度一般公共预算财政拨款支出646.64万元，</w:t>
      </w:r>
      <w:r>
        <w:rPr>
          <w:rFonts w:hint="default" w:ascii="Times New Roman" w:hAnsi="Times New Roman" w:eastAsia="方正仿宋_GBK" w:cs="Times New Roman"/>
          <w:b w:val="0"/>
          <w:sz w:val="32"/>
          <w:szCs w:val="32"/>
        </w:rPr>
        <w:t>占本年支出合计的24.06%。</w:t>
      </w:r>
      <w:r>
        <w:rPr>
          <w:rFonts w:hint="default" w:ascii="Times New Roman" w:hAnsi="Times New Roman" w:eastAsia="方正仿宋_GBK" w:cs="Times New Roman"/>
          <w:b/>
          <w:bCs/>
          <w:sz w:val="32"/>
          <w:szCs w:val="32"/>
        </w:rPr>
        <w:t>与上年相比，</w:t>
      </w:r>
      <w:r>
        <w:rPr>
          <w:rFonts w:hint="default" w:ascii="Times New Roman" w:hAnsi="Times New Roman" w:eastAsia="方正仿宋_GBK" w:cs="Times New Roman"/>
          <w:b w:val="0"/>
          <w:sz w:val="32"/>
          <w:szCs w:val="32"/>
        </w:rPr>
        <w:t>增加550.86万元，增长575.13%，</w:t>
      </w:r>
      <w:r>
        <w:rPr>
          <w:rFonts w:hint="default" w:ascii="Times New Roman" w:hAnsi="Times New Roman" w:eastAsia="方正仿宋_GBK" w:cs="Times New Roman"/>
          <w:b w:val="0"/>
          <w:sz w:val="32"/>
          <w:szCs w:val="32"/>
          <w:highlight w:val="none"/>
        </w:rPr>
        <w:t>主要原因是：1.在职人员增加，支出较上年增加；2.2025年</w:t>
      </w:r>
      <w:r>
        <w:rPr>
          <w:rFonts w:hint="default" w:ascii="Times New Roman" w:hAnsi="Times New Roman" w:eastAsia="方正仿宋_GBK" w:cs="Times New Roman"/>
          <w:b w:val="0"/>
          <w:sz w:val="32"/>
          <w:szCs w:val="32"/>
          <w:highlight w:val="none"/>
          <w:lang w:eastAsia="zh-CN"/>
        </w:rPr>
        <w:t>下达</w:t>
      </w:r>
      <w:r>
        <w:rPr>
          <w:rFonts w:hint="default" w:ascii="Times New Roman" w:hAnsi="Times New Roman" w:eastAsia="方正仿宋_GBK" w:cs="Times New Roman"/>
          <w:b w:val="0"/>
          <w:sz w:val="32"/>
          <w:szCs w:val="32"/>
          <w:highlight w:val="none"/>
          <w:lang w:val="en-US" w:eastAsia="zh-CN"/>
        </w:rPr>
        <w:t>一般公共预算</w:t>
      </w:r>
      <w:r>
        <w:rPr>
          <w:rFonts w:hint="default" w:ascii="Times New Roman" w:hAnsi="Times New Roman" w:eastAsia="方正仿宋_GBK" w:cs="Times New Roman"/>
          <w:b w:val="0"/>
          <w:sz w:val="32"/>
          <w:szCs w:val="32"/>
          <w:highlight w:val="none"/>
        </w:rPr>
        <w:t>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较上年增加</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年初预算数94.31万元，决算数646.64万元，预决算差异率585.65%，主要原因是：1.在职人员增加，支出较上年增加；2.2025年</w:t>
      </w:r>
      <w:r>
        <w:rPr>
          <w:rFonts w:hint="default" w:ascii="Times New Roman" w:hAnsi="Times New Roman" w:eastAsia="方正仿宋_GBK" w:cs="Times New Roman"/>
          <w:b w:val="0"/>
          <w:sz w:val="32"/>
          <w:szCs w:val="32"/>
          <w:highlight w:val="none"/>
          <w:lang w:eastAsia="zh-CN"/>
        </w:rPr>
        <w:t>年中下达</w:t>
      </w:r>
      <w:r>
        <w:rPr>
          <w:rFonts w:hint="default" w:ascii="Times New Roman" w:hAnsi="Times New Roman" w:eastAsia="方正仿宋_GBK" w:cs="Times New Roman"/>
          <w:b w:val="0"/>
          <w:sz w:val="32"/>
          <w:szCs w:val="32"/>
          <w:highlight w:val="none"/>
          <w:lang w:val="en-US" w:eastAsia="zh-CN"/>
        </w:rPr>
        <w:t>一般公共预算</w:t>
      </w:r>
      <w:r>
        <w:rPr>
          <w:rFonts w:hint="default" w:ascii="Times New Roman" w:hAnsi="Times New Roman" w:eastAsia="方正仿宋_GBK" w:cs="Times New Roman"/>
          <w:b w:val="0"/>
          <w:sz w:val="32"/>
          <w:szCs w:val="32"/>
          <w:highlight w:val="none"/>
        </w:rPr>
        <w:t>项目。</w:t>
      </w:r>
    </w:p>
    <w:p w14:paraId="449D697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（二）一般公共预算财政拨款支出决算结构情况</w:t>
      </w:r>
    </w:p>
    <w:p w14:paraId="7676709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1.社会保障和就业支出（类）597.43万元，占92.39%。</w:t>
      </w:r>
    </w:p>
    <w:p w14:paraId="01BEB48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2.卫生健康支出（类）28.39万元，占4.39%。</w:t>
      </w:r>
    </w:p>
    <w:p w14:paraId="52FBE9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3.住房保障支出（类）20.83万元，占3.22%。</w:t>
      </w:r>
    </w:p>
    <w:p w14:paraId="0C1417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（三）一般公共预算财政拨款支出决算具体情况</w:t>
      </w:r>
    </w:p>
    <w:p w14:paraId="22F71FA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rPr>
        <w:t>1</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社会保障和就业支出（类）民政管理事务（款）其他民政管理事务支出（项）：支出决算数为552.73万元，比上年决算增加482.44万元，增长686.36%，</w:t>
      </w:r>
      <w:r>
        <w:rPr>
          <w:rFonts w:hint="default" w:ascii="Times New Roman" w:hAnsi="Times New Roman" w:eastAsia="方正仿宋_GBK" w:cs="Times New Roman"/>
          <w:b w:val="0"/>
          <w:sz w:val="32"/>
          <w:szCs w:val="32"/>
          <w:highlight w:val="none"/>
        </w:rPr>
        <w:t>主要原因是：1.在职人员增加，支出较上年增加；2.2025年</w:t>
      </w:r>
      <w:r>
        <w:rPr>
          <w:rFonts w:hint="default" w:ascii="Times New Roman" w:hAnsi="Times New Roman" w:eastAsia="方正仿宋_GBK" w:cs="Times New Roman"/>
          <w:b w:val="0"/>
          <w:sz w:val="32"/>
          <w:szCs w:val="32"/>
          <w:highlight w:val="none"/>
          <w:lang w:eastAsia="zh-CN"/>
        </w:rPr>
        <w:t>下达</w:t>
      </w:r>
      <w:r>
        <w:rPr>
          <w:rFonts w:hint="default" w:ascii="Times New Roman" w:hAnsi="Times New Roman" w:eastAsia="方正仿宋_GBK" w:cs="Times New Roman"/>
          <w:b w:val="0"/>
          <w:sz w:val="32"/>
          <w:szCs w:val="32"/>
          <w:highlight w:val="none"/>
          <w:lang w:val="en-US" w:eastAsia="zh-CN"/>
        </w:rPr>
        <w:t>一般公共预算</w:t>
      </w:r>
      <w:r>
        <w:rPr>
          <w:rFonts w:hint="default" w:ascii="Times New Roman" w:hAnsi="Times New Roman" w:eastAsia="方正仿宋_GBK" w:cs="Times New Roman"/>
          <w:b w:val="0"/>
          <w:sz w:val="32"/>
          <w:szCs w:val="32"/>
          <w:highlight w:val="none"/>
        </w:rPr>
        <w:t>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较上年增加</w:t>
      </w:r>
      <w:r>
        <w:rPr>
          <w:rFonts w:hint="default" w:ascii="Times New Roman" w:hAnsi="Times New Roman" w:eastAsia="方正仿宋_GBK" w:cs="Times New Roman"/>
          <w:b w:val="0"/>
          <w:sz w:val="32"/>
          <w:szCs w:val="32"/>
          <w:highlight w:val="none"/>
        </w:rPr>
        <w:t>。</w:t>
      </w:r>
    </w:p>
    <w:p w14:paraId="5E33A8C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2</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社会保障和就业支出（类）行政事业单位养老支出（款）机关事业单位基本养老保险缴费支出（项）：支出决算数为27.01万元，比上年决算增加17.41万元，增长181.35%，</w:t>
      </w:r>
      <w:r>
        <w:rPr>
          <w:rFonts w:hint="default" w:ascii="Times New Roman" w:hAnsi="Times New Roman" w:eastAsia="方正仿宋_GBK" w:cs="Times New Roman"/>
          <w:b w:val="0"/>
          <w:sz w:val="32"/>
          <w:szCs w:val="32"/>
          <w:highlight w:val="none"/>
        </w:rPr>
        <w:t>主要原因是：在职人员增加，支出较上年增加。</w:t>
      </w:r>
    </w:p>
    <w:p w14:paraId="602A138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3</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社会保障和就业支出（类）行政事业单位养老支出（款）机关事业单位职业年金缴费支出（项）：支出决算数为17.69万元，比上年决算增加17.69万元，增长100.00%，</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b w:val="0"/>
          <w:sz w:val="32"/>
          <w:szCs w:val="32"/>
          <w:highlight w:val="none"/>
          <w:lang w:eastAsia="zh-CN"/>
        </w:rPr>
        <w:t>按照自治区职业年金缴费有关政策规定，记实在职人员职业年金，</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较上年增加</w:t>
      </w:r>
      <w:r>
        <w:rPr>
          <w:rFonts w:hint="default" w:ascii="Times New Roman" w:hAnsi="Times New Roman" w:eastAsia="方正仿宋_GBK" w:cs="Times New Roman"/>
          <w:b w:val="0"/>
          <w:sz w:val="32"/>
          <w:szCs w:val="32"/>
          <w:highlight w:val="none"/>
        </w:rPr>
        <w:t>。</w:t>
      </w:r>
    </w:p>
    <w:p w14:paraId="38B823D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4</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卫生健康支出（类）行政事业单位医疗（款）事业单位医疗（项）：支出决算数为16.25万元，比上年决算增加11.75万元，增长261.11%，</w:t>
      </w:r>
      <w:r>
        <w:rPr>
          <w:rFonts w:hint="default" w:ascii="Times New Roman" w:hAnsi="Times New Roman" w:eastAsia="方正仿宋_GBK" w:cs="Times New Roman"/>
          <w:b w:val="0"/>
          <w:sz w:val="32"/>
          <w:szCs w:val="32"/>
          <w:highlight w:val="none"/>
        </w:rPr>
        <w:t>主要原因是：在职人员增加，支出较上年增加。</w:t>
      </w:r>
    </w:p>
    <w:p w14:paraId="6A51DAB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5</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卫生健康支出（类）行政事业单位医疗（款）公务员医疗补助（项）：支出决算数为12.14万元，比上年决算增加7.94万元，增长189.05%，</w:t>
      </w:r>
      <w:r>
        <w:rPr>
          <w:rFonts w:hint="default" w:ascii="Times New Roman" w:hAnsi="Times New Roman" w:eastAsia="方正仿宋_GBK" w:cs="Times New Roman"/>
          <w:b w:val="0"/>
          <w:sz w:val="32"/>
          <w:szCs w:val="32"/>
          <w:highlight w:val="none"/>
        </w:rPr>
        <w:t>主要原因是：在职人员增加，支出较上年增加。</w:t>
      </w:r>
    </w:p>
    <w:p w14:paraId="69E5DEE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6</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住房保障支出（类）住房改革支出（款）住房公积金（项）：支出决算数为20.83万元，比上年决算增加13.63万元，增长189.31%，</w:t>
      </w:r>
      <w:r>
        <w:rPr>
          <w:rFonts w:hint="default" w:ascii="Times New Roman" w:hAnsi="Times New Roman" w:eastAsia="方正仿宋_GBK" w:cs="Times New Roman"/>
          <w:b w:val="0"/>
          <w:sz w:val="32"/>
          <w:szCs w:val="32"/>
          <w:highlight w:val="none"/>
        </w:rPr>
        <w:t>主要原因是：在职人员增加，支出较上年增加。</w:t>
      </w:r>
    </w:p>
    <w:p w14:paraId="72F34D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六、一般公共预算财政拨款基本支出决算情况说明</w:t>
      </w:r>
    </w:p>
    <w:p w14:paraId="37DBDCB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2025年度一般公共预算财政拨款基本支出300.86万元，其中：</w:t>
      </w:r>
      <w:r>
        <w:rPr>
          <w:rFonts w:hint="default" w:ascii="Times New Roman" w:hAnsi="Times New Roman" w:eastAsia="方正仿宋_GBK" w:cs="Times New Roman"/>
          <w:b/>
          <w:bCs/>
          <w:sz w:val="32"/>
          <w:szCs w:val="32"/>
        </w:rPr>
        <w:t>人员经费288.37万元，</w:t>
      </w:r>
      <w:r>
        <w:rPr>
          <w:rFonts w:hint="default" w:ascii="Times New Roman" w:hAnsi="Times New Roman" w:eastAsia="方正仿宋_GBK" w:cs="Times New Roman"/>
          <w:b w:val="0"/>
          <w:sz w:val="32"/>
          <w:szCs w:val="32"/>
        </w:rPr>
        <w:t>包括：基本工资、津贴补贴、奖金、绩效工资、机关事业单位基本养老保险缴费、职业年金缴费、职工基本医疗保险缴费、公务员医疗补助缴费、其他社会保障缴费和住房公积金。</w:t>
      </w:r>
    </w:p>
    <w:p w14:paraId="2BBE45F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公用经费12.49万元，</w:t>
      </w:r>
      <w:r>
        <w:rPr>
          <w:rFonts w:hint="default" w:ascii="Times New Roman" w:hAnsi="Times New Roman" w:eastAsia="方正仿宋_GBK" w:cs="Times New Roman"/>
          <w:b w:val="0"/>
          <w:sz w:val="32"/>
          <w:szCs w:val="32"/>
        </w:rPr>
        <w:t>包括：办公费、水费、邮电费、差旅费、工会经费和福利费。</w:t>
      </w:r>
    </w:p>
    <w:p w14:paraId="02013B7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七、政府性基金预算财政拨款收入支出决算情况说明</w:t>
      </w:r>
    </w:p>
    <w:p w14:paraId="25E6F1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color w:val="000000" w:themeColor="text1"/>
          <w:sz w:val="32"/>
          <w:szCs w:val="32"/>
          <w:highlight w:val="none"/>
          <w14:textFill>
            <w14:solidFill>
              <w14:schemeClr w14:val="tx1"/>
            </w14:solidFill>
          </w14:textFill>
        </w:rPr>
      </w:pPr>
      <w:r>
        <w:rPr>
          <w:rFonts w:hint="default" w:ascii="Times New Roman" w:hAnsi="Times New Roman" w:eastAsia="方正仿宋_GBK" w:cs="Times New Roman"/>
          <w:b w:val="0"/>
          <w:sz w:val="32"/>
          <w:szCs w:val="32"/>
        </w:rPr>
        <w:t>按照党中央、国务院关于党政机关习惯过紧日子的有关要求，厉行节约办一切事业，严控一般性支出。同时坚持有保有压，优化支出结构，提高资金使用效率，</w:t>
      </w:r>
      <w:r>
        <w:rPr>
          <w:rFonts w:hint="default" w:ascii="Times New Roman" w:hAnsi="Times New Roman" w:eastAsia="方正仿宋_GBK" w:cs="Times New Roman"/>
          <w:b w:val="0"/>
          <w:color w:val="000000" w:themeColor="text1"/>
          <w:sz w:val="32"/>
          <w:szCs w:val="32"/>
          <w:highlight w:val="none"/>
          <w14:textFill>
            <w14:solidFill>
              <w14:schemeClr w14:val="tx1"/>
            </w14:solidFill>
          </w14:textFill>
        </w:rPr>
        <w:t>合理保障</w:t>
      </w:r>
      <w:r>
        <w:rPr>
          <w:rFonts w:hint="default" w:ascii="Times New Roman" w:hAnsi="Times New Roman" w:eastAsia="方正仿宋_GBK" w:cs="Times New Roman"/>
          <w:b w:val="0"/>
          <w:color w:val="000000" w:themeColor="text1"/>
          <w:sz w:val="32"/>
          <w:szCs w:val="32"/>
          <w:highlight w:val="none"/>
          <w:lang w:val="en-US" w:eastAsia="zh-CN"/>
          <w14:textFill>
            <w14:solidFill>
              <w14:schemeClr w14:val="tx1"/>
            </w14:solidFill>
          </w14:textFill>
        </w:rPr>
        <w:t>社会救助</w:t>
      </w:r>
      <w:r>
        <w:rPr>
          <w:rFonts w:hint="default" w:ascii="Times New Roman" w:hAnsi="Times New Roman" w:eastAsia="方正仿宋_GBK" w:cs="Times New Roman"/>
          <w:b w:val="0"/>
          <w:color w:val="000000" w:themeColor="text1"/>
          <w:sz w:val="32"/>
          <w:szCs w:val="32"/>
          <w:highlight w:val="none"/>
          <w14:textFill>
            <w14:solidFill>
              <w14:schemeClr w14:val="tx1"/>
            </w14:solidFill>
          </w14:textFill>
        </w:rPr>
        <w:t>、</w:t>
      </w:r>
      <w:r>
        <w:rPr>
          <w:rFonts w:hint="default" w:ascii="Times New Roman" w:hAnsi="Times New Roman" w:eastAsia="方正仿宋_GBK" w:cs="Times New Roman"/>
          <w:b w:val="0"/>
          <w:color w:val="000000" w:themeColor="text1"/>
          <w:sz w:val="32"/>
          <w:szCs w:val="32"/>
          <w:highlight w:val="none"/>
          <w:lang w:val="en-US" w:eastAsia="zh-CN"/>
          <w14:textFill>
            <w14:solidFill>
              <w14:schemeClr w14:val="tx1"/>
            </w14:solidFill>
          </w14:textFill>
        </w:rPr>
        <w:t>养老服务</w:t>
      </w:r>
      <w:r>
        <w:rPr>
          <w:rFonts w:hint="default" w:ascii="Times New Roman" w:hAnsi="Times New Roman" w:eastAsia="方正仿宋_GBK" w:cs="Times New Roman"/>
          <w:b w:val="0"/>
          <w:color w:val="000000" w:themeColor="text1"/>
          <w:sz w:val="32"/>
          <w:szCs w:val="32"/>
          <w:highlight w:val="none"/>
          <w14:textFill>
            <w14:solidFill>
              <w14:schemeClr w14:val="tx1"/>
            </w14:solidFill>
          </w14:textFill>
        </w:rPr>
        <w:t>、</w:t>
      </w:r>
      <w:r>
        <w:rPr>
          <w:rFonts w:hint="default" w:ascii="Times New Roman" w:hAnsi="Times New Roman" w:eastAsia="方正仿宋_GBK" w:cs="Times New Roman"/>
          <w:b w:val="0"/>
          <w:color w:val="000000" w:themeColor="text1"/>
          <w:sz w:val="32"/>
          <w:szCs w:val="32"/>
          <w:highlight w:val="none"/>
          <w:lang w:val="en-US" w:eastAsia="zh-CN"/>
          <w14:textFill>
            <w14:solidFill>
              <w14:schemeClr w14:val="tx1"/>
            </w14:solidFill>
          </w14:textFill>
        </w:rPr>
        <w:t>民政民生</w:t>
      </w:r>
      <w:r>
        <w:rPr>
          <w:rFonts w:hint="default" w:ascii="Times New Roman" w:hAnsi="Times New Roman" w:eastAsia="方正仿宋_GBK" w:cs="Times New Roman"/>
          <w:b w:val="0"/>
          <w:color w:val="000000" w:themeColor="text1"/>
          <w:sz w:val="32"/>
          <w:szCs w:val="32"/>
          <w:highlight w:val="none"/>
          <w14:textFill>
            <w14:solidFill>
              <w14:schemeClr w14:val="tx1"/>
            </w14:solidFill>
          </w14:textFill>
        </w:rPr>
        <w:t>等</w:t>
      </w:r>
      <w:r>
        <w:rPr>
          <w:rFonts w:hint="default" w:ascii="Times New Roman" w:hAnsi="Times New Roman" w:eastAsia="方正仿宋_GBK" w:cs="Times New Roman"/>
          <w:b w:val="0"/>
          <w:color w:val="000000" w:themeColor="text1"/>
          <w:sz w:val="32"/>
          <w:szCs w:val="32"/>
          <w:highlight w:val="none"/>
          <w:lang w:eastAsia="zh-CN"/>
          <w14:textFill>
            <w14:solidFill>
              <w14:schemeClr w14:val="tx1"/>
            </w14:solidFill>
          </w14:textFill>
        </w:rPr>
        <w:t>公益事业</w:t>
      </w:r>
      <w:r>
        <w:rPr>
          <w:rFonts w:hint="default" w:ascii="Times New Roman" w:hAnsi="Times New Roman" w:eastAsia="方正仿宋_GBK" w:cs="Times New Roman"/>
          <w:b w:val="0"/>
          <w:color w:val="000000" w:themeColor="text1"/>
          <w:sz w:val="32"/>
          <w:szCs w:val="32"/>
          <w:highlight w:val="none"/>
          <w14:textFill>
            <w14:solidFill>
              <w14:schemeClr w14:val="tx1"/>
            </w14:solidFill>
          </w14:textFill>
        </w:rPr>
        <w:t>重点支出，体现在有关支出科目中。</w:t>
      </w:r>
    </w:p>
    <w:p w14:paraId="6921C4A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2025年度政府性基金预算财政拨款收入总计2,040.67万元，</w:t>
      </w:r>
      <w:r>
        <w:rPr>
          <w:rFonts w:hint="default" w:ascii="Times New Roman" w:hAnsi="Times New Roman" w:eastAsia="方正仿宋_GBK" w:cs="Times New Roman"/>
          <w:b w:val="0"/>
          <w:sz w:val="32"/>
          <w:szCs w:val="32"/>
        </w:rPr>
        <w:t>其中：年初结转和结余0.00万元，本年收入2,040.67万元。</w:t>
      </w:r>
      <w:r>
        <w:rPr>
          <w:rFonts w:hint="default" w:ascii="Times New Roman" w:hAnsi="Times New Roman" w:eastAsia="方正仿宋_GBK" w:cs="Times New Roman"/>
          <w:b/>
          <w:bCs/>
          <w:sz w:val="32"/>
          <w:szCs w:val="32"/>
        </w:rPr>
        <w:t>政府性基金预算财政拨款支出总计2,040.67万元，</w:t>
      </w:r>
      <w:r>
        <w:rPr>
          <w:rFonts w:hint="default" w:ascii="Times New Roman" w:hAnsi="Times New Roman" w:eastAsia="方正仿宋_GBK" w:cs="Times New Roman"/>
          <w:b w:val="0"/>
          <w:sz w:val="32"/>
          <w:szCs w:val="32"/>
        </w:rPr>
        <w:t>其中：年末结转和结余0.00万元，本年支出2,040.67万元。</w:t>
      </w:r>
    </w:p>
    <w:p w14:paraId="66B1634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rPr>
        <w:t>政府性基金预算财政拨款收入支出总体与上年相比，</w:t>
      </w:r>
      <w:r>
        <w:rPr>
          <w:rFonts w:hint="default" w:ascii="Times New Roman" w:hAnsi="Times New Roman" w:eastAsia="方正仿宋_GBK" w:cs="Times New Roman"/>
          <w:b w:val="0"/>
          <w:sz w:val="32"/>
          <w:szCs w:val="32"/>
        </w:rPr>
        <w:t>增加2,040.67万元，增长100%，</w:t>
      </w:r>
      <w:r>
        <w:rPr>
          <w:rFonts w:hint="default" w:ascii="Times New Roman" w:hAnsi="Times New Roman" w:eastAsia="方正仿宋_GBK" w:cs="Times New Roman"/>
          <w:b w:val="0"/>
          <w:sz w:val="32"/>
          <w:szCs w:val="32"/>
          <w:highlight w:val="none"/>
        </w:rPr>
        <w:t>主要原因是：2025年安排政府购买社会救助服务示范项目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养老服务能力提升项目、支持乡村振兴公益事业发展项目、民政民生大数据智慧服务平台等项目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eastAsia="zh-CN"/>
        </w:rPr>
        <w:t>较上年增加</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年初预算数2,475.50万元，决算数2,040.67万元，预决算差异率-17.57%，主要原因是：政府购买社会救助服务示范项目、养老服务能力提升项目、支持乡村振兴公益事业发展项目资金未执行完毕</w:t>
      </w:r>
      <w:r>
        <w:rPr>
          <w:rFonts w:hint="default" w:ascii="Times New Roman" w:hAnsi="Times New Roman" w:eastAsia="方正仿宋_GBK" w:cs="Times New Roman"/>
          <w:b w:val="0"/>
          <w:sz w:val="32"/>
          <w:szCs w:val="32"/>
          <w:highlight w:val="none"/>
          <w:lang w:eastAsia="zh-CN"/>
        </w:rPr>
        <w:t>，结转至下一年度使用</w:t>
      </w:r>
      <w:r>
        <w:rPr>
          <w:rFonts w:hint="default" w:ascii="Times New Roman" w:hAnsi="Times New Roman" w:eastAsia="方正仿宋_GBK" w:cs="Times New Roman"/>
          <w:b w:val="0"/>
          <w:sz w:val="32"/>
          <w:szCs w:val="32"/>
          <w:highlight w:val="none"/>
        </w:rPr>
        <w:t>。</w:t>
      </w:r>
    </w:p>
    <w:p w14:paraId="640A9B4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政府性基金预算财政拨款本年支出2,040.67万元。具体情况如下：</w:t>
      </w:r>
    </w:p>
    <w:p w14:paraId="13C331F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1</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其他支出（类）彩票公益金安排的支出（款）用于社会福利的彩票公益金支出（项）：支出决算数为2,040.67万元，比上年决算增加2,040.67万元，</w:t>
      </w:r>
      <w:r>
        <w:rPr>
          <w:rFonts w:hint="default" w:ascii="Times New Roman" w:hAnsi="Times New Roman" w:eastAsia="方正仿宋_GBK" w:cs="Times New Roman"/>
          <w:b w:val="0"/>
          <w:sz w:val="32"/>
          <w:szCs w:val="32"/>
          <w:highlight w:val="none"/>
        </w:rPr>
        <w:t>增长100.00%，主要原因是：2025年安排政府购买社会救助服务示范项目、养老服务能力提升项目、支持乡村振兴公益事业发展项目、民政民生大数据智慧服务平台等项目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eastAsia="zh-CN"/>
        </w:rPr>
        <w:t>较上年增加。</w:t>
      </w:r>
    </w:p>
    <w:p w14:paraId="7B0F7A6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八、国有资本经营预算财政拨款收入支出决算情况说明</w:t>
      </w:r>
    </w:p>
    <w:p w14:paraId="3908957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本单位本年度无国有资本经营预算财政拨款收入、支出及结转和结余，国有资本经营预算财政拨款收入支出决算表为空表。</w:t>
      </w:r>
    </w:p>
    <w:p w14:paraId="050591A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九、财政拨款“三公”经费支出决算情况说明</w:t>
      </w:r>
    </w:p>
    <w:p w14:paraId="61662F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2025年度财政拨款“三公”经费支出0.00万元，</w:t>
      </w:r>
      <w:r>
        <w:rPr>
          <w:rFonts w:hint="default" w:ascii="Times New Roman" w:hAnsi="Times New Roman" w:eastAsia="方正仿宋_GBK" w:cs="Times New Roman"/>
          <w:b w:val="0"/>
          <w:sz w:val="32"/>
          <w:szCs w:val="32"/>
          <w:lang w:eastAsia="zh-CN"/>
        </w:rPr>
        <w:t>比上年增加</w:t>
      </w:r>
      <w:r>
        <w:rPr>
          <w:rFonts w:hint="default" w:ascii="Times New Roman" w:hAnsi="Times New Roman" w:eastAsia="方正仿宋_GBK" w:cs="Times New Roman"/>
          <w:b w:val="0"/>
          <w:sz w:val="32"/>
          <w:szCs w:val="32"/>
          <w:lang w:val="en-US" w:eastAsia="zh-CN"/>
        </w:rPr>
        <w:t>0万元，增长0%，</w:t>
      </w:r>
      <w:r>
        <w:rPr>
          <w:rFonts w:hint="default" w:ascii="Times New Roman" w:hAnsi="Times New Roman" w:eastAsia="方正仿宋_GBK" w:cs="Times New Roman"/>
          <w:b w:val="0"/>
          <w:sz w:val="32"/>
          <w:szCs w:val="32"/>
        </w:rPr>
        <w:t>主要原因是：我单位无“三公”经费支出，与上年度一致。其中：因公出国（境）费用支出0.00万元,占0.00%，</w:t>
      </w:r>
      <w:r>
        <w:rPr>
          <w:rFonts w:hint="default" w:ascii="Times New Roman" w:hAnsi="Times New Roman" w:eastAsia="方正仿宋_GBK" w:cs="Times New Roman"/>
          <w:b w:val="0"/>
          <w:sz w:val="32"/>
          <w:szCs w:val="32"/>
          <w:lang w:eastAsia="zh-CN"/>
        </w:rPr>
        <w:t>比上年增加</w:t>
      </w:r>
      <w:r>
        <w:rPr>
          <w:rFonts w:hint="default" w:ascii="Times New Roman" w:hAnsi="Times New Roman" w:eastAsia="方正仿宋_GBK" w:cs="Times New Roman"/>
          <w:b w:val="0"/>
          <w:sz w:val="32"/>
          <w:szCs w:val="32"/>
          <w:lang w:val="en-US" w:eastAsia="zh-CN"/>
        </w:rPr>
        <w:t>0万元，增长0%，</w:t>
      </w:r>
      <w:r>
        <w:rPr>
          <w:rFonts w:hint="default" w:ascii="Times New Roman" w:hAnsi="Times New Roman" w:eastAsia="方正仿宋_GBK" w:cs="Times New Roman"/>
          <w:b w:val="0"/>
          <w:sz w:val="32"/>
          <w:szCs w:val="32"/>
        </w:rPr>
        <w:t>主要原因是：我单位无因公出国（境）</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，与上年度一致；公务用车购置及运行维护费支出0.00万元，占0.00%，</w:t>
      </w:r>
      <w:r>
        <w:rPr>
          <w:rFonts w:hint="default" w:ascii="Times New Roman" w:hAnsi="Times New Roman" w:eastAsia="方正仿宋_GBK" w:cs="Times New Roman"/>
          <w:b w:val="0"/>
          <w:sz w:val="32"/>
          <w:szCs w:val="32"/>
          <w:lang w:eastAsia="zh-CN"/>
        </w:rPr>
        <w:t>比上年增加</w:t>
      </w:r>
      <w:r>
        <w:rPr>
          <w:rFonts w:hint="default" w:ascii="Times New Roman" w:hAnsi="Times New Roman" w:eastAsia="方正仿宋_GBK" w:cs="Times New Roman"/>
          <w:b w:val="0"/>
          <w:sz w:val="32"/>
          <w:szCs w:val="32"/>
          <w:lang w:val="en-US" w:eastAsia="zh-CN"/>
        </w:rPr>
        <w:t>0万元，增长0%</w:t>
      </w:r>
      <w:r>
        <w:rPr>
          <w:rFonts w:hint="default" w:ascii="Times New Roman" w:hAnsi="Times New Roman" w:eastAsia="方正仿宋_GBK" w:cs="Times New Roman"/>
          <w:b w:val="0"/>
          <w:sz w:val="32"/>
          <w:szCs w:val="32"/>
        </w:rPr>
        <w:t>，主要原因是：我单位无公务用车购置及运行维护</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，与上年度一致；公务接待费支出0.00万元，占0.00%，</w:t>
      </w:r>
      <w:r>
        <w:rPr>
          <w:rFonts w:hint="default" w:ascii="Times New Roman" w:hAnsi="Times New Roman" w:eastAsia="方正仿宋_GBK" w:cs="Times New Roman"/>
          <w:b w:val="0"/>
          <w:sz w:val="32"/>
          <w:szCs w:val="32"/>
          <w:lang w:eastAsia="zh-CN"/>
        </w:rPr>
        <w:t>比上年增加</w:t>
      </w:r>
      <w:r>
        <w:rPr>
          <w:rFonts w:hint="default" w:ascii="Times New Roman" w:hAnsi="Times New Roman" w:eastAsia="方正仿宋_GBK" w:cs="Times New Roman"/>
          <w:b w:val="0"/>
          <w:sz w:val="32"/>
          <w:szCs w:val="32"/>
          <w:lang w:val="en-US" w:eastAsia="zh-CN"/>
        </w:rPr>
        <w:t>0万元，增长0%，</w:t>
      </w:r>
      <w:r>
        <w:rPr>
          <w:rFonts w:hint="default" w:ascii="Times New Roman" w:hAnsi="Times New Roman" w:eastAsia="方正仿宋_GBK" w:cs="Times New Roman"/>
          <w:b w:val="0"/>
          <w:sz w:val="32"/>
          <w:szCs w:val="32"/>
        </w:rPr>
        <w:t>主要原因是：我单位无公务接待</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，与上年度一致。</w:t>
      </w:r>
    </w:p>
    <w:p w14:paraId="27A026C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具体情况如下：</w:t>
      </w:r>
    </w:p>
    <w:p w14:paraId="313C1EC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因公出国（境）费用0.00万元，开支内容包括我单位无因公出国（境）费用支出。单位全年安排的因公出国（境）团组0个，因公出国（境）0人次。</w:t>
      </w:r>
    </w:p>
    <w:p w14:paraId="6A13202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用车购置及运行维护费0.00万元，其中：公务用车购置费0.00万元，公务用车运行维护费0.00万元。公务用车运行维护费开支内容包括我单位无公务用车运行维护费开支。公务用车购置数0辆，公务用车保有量0辆。国有资产占用情况中固定资产车辆0辆，与公务用车保有量差异原因是：我单位公务用车数量无变化。</w:t>
      </w:r>
    </w:p>
    <w:p w14:paraId="3F75F07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公务接待费0.00万元，开支内容包括我单位无公务接待费支出。单位全年安排的国内公务接待0批次，0人次。</w:t>
      </w:r>
    </w:p>
    <w:p w14:paraId="266A8F7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与全年预算相比，</w:t>
      </w:r>
      <w:r>
        <w:rPr>
          <w:rFonts w:hint="default" w:ascii="Times New Roman" w:hAnsi="Times New Roman" w:eastAsia="方正仿宋_GBK" w:cs="Times New Roman"/>
          <w:b w:val="0"/>
          <w:sz w:val="32"/>
          <w:szCs w:val="32"/>
        </w:rPr>
        <w:t>财政拨款“三公”经费支出全年预算数0.00万元，决算数0.00万元，预决算差异率0.00%，主要原因是：我单位无“三公”经费</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。其中：因公出国（境）费用全年预算数0.00万元，决算数0.00万元，预决算差异率0.00%，主要原因是：我单位无因公出国（境）</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；公务用车购置费全年预算数0.00万元，决算数0.00万元，预决算差异率0.00%，主要原因是：我单位无公务用车购置</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；公务用车运行维护费全年预算数0.00万元，决算数0.00万元，预决算差异率0.00%，主要原因是：我单位无公务用车运行维护</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；公务接待费全年预算数0.00万元，决算数0.00万元，预决算差异率0.00%，主要原因是：我单位无公务接待</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w:t>
      </w:r>
    </w:p>
    <w:p w14:paraId="39FB203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十、其他重要事项的情况说明</w:t>
      </w:r>
    </w:p>
    <w:p w14:paraId="5A0831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（一）机关运行经费及公用经费支出情况</w:t>
      </w:r>
    </w:p>
    <w:p w14:paraId="0F2E365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2025年度新疆维吾尔自治区民政事业服务中心（新疆维吾尔自治区低收入家庭经济状况核对中心）公用经费支出12.49万元，比上年增加8.61万元，增长221.91%，</w:t>
      </w:r>
      <w:r>
        <w:rPr>
          <w:rFonts w:hint="default" w:ascii="Times New Roman" w:hAnsi="Times New Roman" w:eastAsia="方正仿宋_GBK" w:cs="Times New Roman"/>
          <w:b w:val="0"/>
          <w:color w:val="auto"/>
          <w:sz w:val="32"/>
          <w:szCs w:val="32"/>
          <w:highlight w:val="none"/>
        </w:rPr>
        <w:t>主要原因是：</w:t>
      </w:r>
      <w:r>
        <w:rPr>
          <w:rFonts w:hint="default" w:ascii="Times New Roman" w:hAnsi="Times New Roman" w:eastAsia="方正仿宋_GBK" w:cs="Times New Roman"/>
          <w:b w:val="0"/>
          <w:color w:val="auto"/>
          <w:sz w:val="32"/>
          <w:szCs w:val="32"/>
          <w:highlight w:val="none"/>
          <w:lang w:eastAsia="zh-CN"/>
        </w:rPr>
        <w:t>办公费、水费、工会经费等增加</w:t>
      </w:r>
      <w:r>
        <w:rPr>
          <w:rFonts w:hint="default" w:ascii="Times New Roman" w:hAnsi="Times New Roman" w:eastAsia="方正仿宋_GBK" w:cs="Times New Roman"/>
          <w:b w:val="0"/>
          <w:color w:val="auto"/>
          <w:sz w:val="32"/>
          <w:szCs w:val="32"/>
          <w:highlight w:val="none"/>
        </w:rPr>
        <w:t>，支出较上年增加。</w:t>
      </w:r>
    </w:p>
    <w:p w14:paraId="564664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（二）政府采购情况</w:t>
      </w:r>
    </w:p>
    <w:p w14:paraId="4EC6669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2025年度政府采购支出总额2,327.66万元，其中：政府采购货物支出0.00万元、政府采购工程支出0.00万元、政府采购服务支出2,327.66万元。</w:t>
      </w:r>
    </w:p>
    <w:p w14:paraId="15810A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授予中小企业合同金额324.65万元，占政府采购支出总额的13.95%，其中：授予小微企业合同金额43.15万元，占政府采购支出总额的1.85%。</w:t>
      </w:r>
    </w:p>
    <w:p w14:paraId="7497661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（三）国有资产占用情况说明</w:t>
      </w:r>
    </w:p>
    <w:p w14:paraId="48D57BC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截至2025年12月31日，房屋0.00平方米，价值0.00万元。车辆0辆，价值0.00万元，其中：副部（省）级及以上领导用车0辆、主要负责人用车0辆、机要通信用车0辆、应急保障用车0辆、执法执勤用车0辆、特种专业技术用车0辆、离退休干部服务用车0辆、其他用车0辆，其他用车主要是：我单位无其他用车</w:t>
      </w:r>
      <w:r>
        <w:rPr>
          <w:rFonts w:hint="default"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单价100万元（含）以上设备（不含车辆）0台（套）。</w:t>
      </w:r>
    </w:p>
    <w:p w14:paraId="479789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十一、预算绩效的情况说明</w:t>
      </w:r>
    </w:p>
    <w:p w14:paraId="51A525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eastAsia="zh-CN"/>
        </w:rPr>
      </w:pPr>
      <w:r>
        <w:rPr>
          <w:rFonts w:hint="default" w:ascii="Times New Roman" w:hAnsi="Times New Roman" w:eastAsia="方正仿宋_GBK" w:cs="Times New Roman"/>
          <w:b w:val="0"/>
          <w:sz w:val="32"/>
          <w:szCs w:val="32"/>
          <w:highlight w:val="none"/>
        </w:rPr>
        <w:t>根据预算绩效管理要求，本单位2025年度预算绩效评价</w:t>
      </w:r>
      <w:r>
        <w:rPr>
          <w:rFonts w:hint="default" w:ascii="Times New Roman" w:hAnsi="Times New Roman" w:eastAsia="方正仿宋_GBK" w:cs="Times New Roman"/>
          <w:b w:val="0"/>
          <w:color w:val="auto"/>
          <w:sz w:val="32"/>
          <w:szCs w:val="32"/>
          <w:highlight w:val="none"/>
        </w:rPr>
        <w:t>项目</w:t>
      </w:r>
      <w:r>
        <w:rPr>
          <w:rFonts w:hint="default" w:ascii="Times New Roman" w:hAnsi="Times New Roman" w:eastAsia="方正仿宋_GBK" w:cs="Times New Roman"/>
          <w:b w:val="0"/>
          <w:color w:val="auto"/>
          <w:sz w:val="32"/>
          <w:szCs w:val="32"/>
          <w:highlight w:val="none"/>
          <w:lang w:val="en-US" w:eastAsia="zh-CN"/>
        </w:rPr>
        <w:t>5</w:t>
      </w:r>
      <w:r>
        <w:rPr>
          <w:rFonts w:hint="default" w:ascii="Times New Roman" w:hAnsi="Times New Roman" w:eastAsia="方正仿宋_GBK" w:cs="Times New Roman"/>
          <w:b w:val="0"/>
          <w:color w:val="auto"/>
          <w:sz w:val="32"/>
          <w:szCs w:val="32"/>
          <w:highlight w:val="none"/>
        </w:rPr>
        <w:t>个，全年预算数</w:t>
      </w:r>
      <w:r>
        <w:rPr>
          <w:rFonts w:hint="default" w:ascii="Times New Roman" w:hAnsi="Times New Roman" w:eastAsia="方正仿宋_GBK" w:cs="Times New Roman"/>
          <w:b w:val="0"/>
          <w:color w:val="auto"/>
          <w:sz w:val="32"/>
          <w:szCs w:val="32"/>
          <w:highlight w:val="none"/>
          <w:lang w:val="en-US" w:eastAsia="zh-CN"/>
        </w:rPr>
        <w:t>2475.5</w:t>
      </w:r>
      <w:r>
        <w:rPr>
          <w:rFonts w:hint="default" w:ascii="Times New Roman" w:hAnsi="Times New Roman" w:eastAsia="方正仿宋_GBK" w:cs="Times New Roman"/>
          <w:b w:val="0"/>
          <w:color w:val="auto"/>
          <w:sz w:val="32"/>
          <w:szCs w:val="32"/>
          <w:highlight w:val="none"/>
        </w:rPr>
        <w:t>万元，全年执行数</w:t>
      </w:r>
      <w:r>
        <w:rPr>
          <w:rFonts w:hint="eastAsia" w:ascii="Times New Roman" w:hAnsi="Times New Roman" w:eastAsia="方正仿宋_GBK" w:cs="Times New Roman"/>
          <w:b w:val="0"/>
          <w:color w:val="auto"/>
          <w:sz w:val="32"/>
          <w:szCs w:val="32"/>
          <w:highlight w:val="none"/>
          <w:lang w:val="en-US" w:eastAsia="zh-CN"/>
        </w:rPr>
        <w:t>2040.67</w:t>
      </w:r>
      <w:r>
        <w:rPr>
          <w:rFonts w:hint="default" w:ascii="Times New Roman" w:hAnsi="Times New Roman" w:eastAsia="方正仿宋_GBK" w:cs="Times New Roman"/>
          <w:b w:val="0"/>
          <w:color w:val="auto"/>
          <w:sz w:val="32"/>
          <w:szCs w:val="32"/>
          <w:highlight w:val="none"/>
        </w:rPr>
        <w:t>万元。</w:t>
      </w:r>
      <w:r>
        <w:rPr>
          <w:rFonts w:hint="default" w:ascii="Times New Roman" w:hAnsi="Times New Roman" w:eastAsia="方正仿宋_GBK" w:cs="Times New Roman"/>
          <w:b w:val="0"/>
          <w:bCs w:val="0"/>
          <w:sz w:val="32"/>
          <w:szCs w:val="32"/>
        </w:rPr>
        <w:t>预算绩效管理取得的成效：</w:t>
      </w:r>
      <w:r>
        <w:rPr>
          <w:rFonts w:hint="default" w:ascii="Times New Roman" w:hAnsi="Times New Roman" w:eastAsia="方正仿宋_GBK" w:cs="Times New Roman"/>
          <w:b w:val="0"/>
          <w:bCs w:val="0"/>
          <w:sz w:val="32"/>
          <w:szCs w:val="32"/>
          <w:lang w:eastAsia="zh-CN"/>
        </w:rPr>
        <w:t>全过程管理初步实现，关键环节有效覆盖</w:t>
      </w:r>
      <w:r>
        <w:rPr>
          <w:rFonts w:hint="default" w:ascii="Times New Roman" w:hAnsi="Times New Roman" w:eastAsia="方正仿宋_GBK" w:cs="Times New Roman"/>
          <w:b w:val="0"/>
          <w:bCs w:val="0"/>
          <w:sz w:val="32"/>
          <w:szCs w:val="32"/>
        </w:rPr>
        <w:t>。</w:t>
      </w:r>
      <w:r>
        <w:rPr>
          <w:rFonts w:hint="default" w:ascii="Times New Roman" w:hAnsi="Times New Roman" w:eastAsia="方正仿宋_GBK" w:cs="Times New Roman"/>
          <w:b w:val="0"/>
          <w:bCs w:val="0"/>
          <w:sz w:val="32"/>
          <w:szCs w:val="32"/>
          <w:lang w:eastAsia="zh-CN"/>
        </w:rPr>
        <w:t>各项目均进行了事前绩效评估、事中绩效监控、事后绩效自评。</w:t>
      </w:r>
      <w:r>
        <w:rPr>
          <w:rFonts w:hint="default" w:ascii="Times New Roman" w:hAnsi="Times New Roman" w:eastAsia="方正仿宋_GBK" w:cs="Times New Roman"/>
          <w:b w:val="0"/>
          <w:bCs w:val="0"/>
          <w:sz w:val="32"/>
          <w:szCs w:val="32"/>
        </w:rPr>
        <w:t>发现的问题及原因：</w:t>
      </w:r>
      <w:r>
        <w:rPr>
          <w:rFonts w:hint="default" w:ascii="Times New Roman" w:hAnsi="Times New Roman" w:eastAsia="方正仿宋_GBK" w:cs="Times New Roman"/>
          <w:sz w:val="32"/>
          <w:szCs w:val="32"/>
          <w:highlight w:val="none"/>
          <w:lang w:val="en-US" w:eastAsia="zh-CN"/>
        </w:rPr>
        <w:t>相关绩效管理方面专业知识的系统性学习有待加强，各项指标的设置要进一步优化、完善，在绩效自评过程中，由于部分人员缺乏相关绩效管理专业知识，自评价工作还存在自我审定的局限性</w:t>
      </w:r>
      <w:r>
        <w:rPr>
          <w:rFonts w:hint="default" w:ascii="Times New Roman" w:hAnsi="Times New Roman" w:eastAsia="方正仿宋_GBK" w:cs="Times New Roman"/>
          <w:b w:val="0"/>
          <w:bCs w:val="0"/>
          <w:sz w:val="32"/>
          <w:szCs w:val="32"/>
          <w:lang w:eastAsia="zh-CN"/>
        </w:rPr>
        <w:t>。下一步改进措施：</w:t>
      </w:r>
      <w:r>
        <w:rPr>
          <w:rFonts w:hint="default" w:ascii="Times New Roman" w:hAnsi="Times New Roman" w:eastAsia="方正仿宋_GBK" w:cs="Times New Roman"/>
          <w:sz w:val="32"/>
          <w:szCs w:val="32"/>
          <w:highlight w:val="none"/>
          <w:lang w:val="en-US" w:eastAsia="zh-CN"/>
        </w:rPr>
        <w:t>加强培训，进一步提升我单位绩效管理工作业务水平，扎实做好绩效管理工作</w:t>
      </w:r>
      <w:r>
        <w:rPr>
          <w:rFonts w:hint="default" w:ascii="Times New Roman" w:hAnsi="Times New Roman" w:eastAsia="方正仿宋_GBK" w:cs="Times New Roman"/>
          <w:b w:val="0"/>
          <w:sz w:val="32"/>
          <w:szCs w:val="32"/>
          <w:highlight w:val="none"/>
        </w:rPr>
        <w:t>。具体附项目支出绩效自评表</w:t>
      </w:r>
      <w:r>
        <w:rPr>
          <w:rFonts w:hint="default" w:ascii="Times New Roman" w:hAnsi="Times New Roman" w:eastAsia="方正仿宋_GBK" w:cs="Times New Roman"/>
          <w:b w:val="0"/>
          <w:sz w:val="32"/>
          <w:szCs w:val="32"/>
          <w:highlight w:val="none"/>
          <w:lang w:eastAsia="zh-CN"/>
        </w:rPr>
        <w:t>。</w:t>
      </w:r>
    </w:p>
    <w:p w14:paraId="5A6B10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eastAsia="zh-CN"/>
        </w:rPr>
      </w:pPr>
      <w:r>
        <w:rPr>
          <w:rFonts w:hint="default" w:ascii="Times New Roman" w:hAnsi="Times New Roman" w:eastAsia="方正仿宋_GBK" w:cs="Times New Roman"/>
          <w:b w:val="0"/>
          <w:sz w:val="32"/>
          <w:szCs w:val="32"/>
          <w:lang w:eastAsia="zh-CN"/>
        </w:rPr>
        <w:t>我</w:t>
      </w:r>
      <w:r>
        <w:rPr>
          <w:rFonts w:hint="default" w:ascii="Times New Roman" w:hAnsi="Times New Roman" w:eastAsia="方正仿宋_GBK" w:cs="Times New Roman"/>
          <w:b w:val="0"/>
          <w:sz w:val="32"/>
          <w:szCs w:val="32"/>
        </w:rPr>
        <w:t>单位</w:t>
      </w:r>
      <w:r>
        <w:rPr>
          <w:rFonts w:hint="default" w:ascii="Times New Roman" w:hAnsi="Times New Roman" w:eastAsia="方正仿宋_GBK" w:cs="Times New Roman"/>
          <w:b w:val="0"/>
          <w:sz w:val="32"/>
          <w:szCs w:val="32"/>
          <w:lang w:eastAsia="zh-CN"/>
        </w:rPr>
        <w:t>存在</w:t>
      </w:r>
      <w:r>
        <w:rPr>
          <w:rFonts w:hint="default" w:ascii="Times New Roman" w:hAnsi="Times New Roman" w:eastAsia="方正仿宋_GBK" w:cs="Times New Roman"/>
          <w:b w:val="0"/>
          <w:sz w:val="32"/>
          <w:szCs w:val="32"/>
          <w:lang w:val="en-US" w:eastAsia="zh-CN"/>
        </w:rPr>
        <w:t>1个项目不予公开，全年预算数510.1万元，全年执行数345.79万元。</w:t>
      </w:r>
    </w:p>
    <w:p w14:paraId="2452C2D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黑体_GBK" w:cs="Times New Roman"/>
          <w:b w:val="0"/>
          <w:sz w:val="32"/>
          <w:szCs w:val="32"/>
        </w:rPr>
      </w:pPr>
      <w:r>
        <w:rPr>
          <w:rFonts w:hint="default" w:ascii="Times New Roman" w:hAnsi="Times New Roman" w:eastAsia="方正黑体_GBK" w:cs="Times New Roman"/>
          <w:b w:val="0"/>
          <w:sz w:val="32"/>
          <w:szCs w:val="32"/>
        </w:rPr>
        <w:t>十二、其他需说明的事项</w:t>
      </w:r>
    </w:p>
    <w:p w14:paraId="4F0D07C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lang w:eastAsia="zh-CN"/>
        </w:rPr>
        <w:t>我</w:t>
      </w:r>
      <w:r>
        <w:rPr>
          <w:rFonts w:hint="default" w:ascii="Times New Roman" w:hAnsi="Times New Roman" w:eastAsia="方正仿宋_GBK" w:cs="Times New Roman"/>
          <w:b w:val="0"/>
          <w:sz w:val="32"/>
          <w:szCs w:val="32"/>
        </w:rPr>
        <w:t>单位</w:t>
      </w:r>
      <w:r>
        <w:rPr>
          <w:rFonts w:hint="default" w:ascii="Times New Roman" w:hAnsi="Times New Roman" w:eastAsia="方正仿宋_GBK" w:cs="Times New Roman"/>
          <w:b w:val="0"/>
          <w:sz w:val="32"/>
          <w:szCs w:val="32"/>
          <w:lang w:eastAsia="zh-CN"/>
        </w:rPr>
        <w:t>存在</w:t>
      </w:r>
      <w:r>
        <w:rPr>
          <w:rFonts w:hint="default" w:ascii="Times New Roman" w:hAnsi="Times New Roman" w:eastAsia="方正仿宋_GBK" w:cs="Times New Roman"/>
          <w:b w:val="0"/>
          <w:sz w:val="32"/>
          <w:szCs w:val="32"/>
          <w:lang w:val="en-US" w:eastAsia="zh-CN"/>
        </w:rPr>
        <w:t>1个项目不予公开，全年预算数510.1万元，全年执行数345.7</w:t>
      </w:r>
      <w:r>
        <w:rPr>
          <w:rFonts w:hint="eastAsia" w:ascii="Times New Roman" w:hAnsi="Times New Roman" w:eastAsia="方正仿宋_GBK" w:cs="Times New Roman"/>
          <w:b w:val="0"/>
          <w:sz w:val="32"/>
          <w:szCs w:val="32"/>
          <w:lang w:val="en-US" w:eastAsia="zh-CN"/>
        </w:rPr>
        <w:t>8</w:t>
      </w:r>
      <w:r>
        <w:rPr>
          <w:rFonts w:hint="default" w:ascii="Times New Roman" w:hAnsi="Times New Roman" w:eastAsia="方正仿宋_GBK" w:cs="Times New Roman"/>
          <w:b w:val="0"/>
          <w:sz w:val="32"/>
          <w:szCs w:val="32"/>
          <w:lang w:val="en-US" w:eastAsia="zh-CN"/>
        </w:rPr>
        <w:t>万元；另有4个项目无单独绩效自评表，涉及全年预算数1482.5万元，全年执行数10</w:t>
      </w:r>
      <w:bookmarkStart w:id="0" w:name="_GoBack"/>
      <w:bookmarkEnd w:id="0"/>
      <w:r>
        <w:rPr>
          <w:rFonts w:hint="default" w:ascii="Times New Roman" w:hAnsi="Times New Roman" w:eastAsia="方正仿宋_GBK" w:cs="Times New Roman"/>
          <w:b w:val="0"/>
          <w:sz w:val="32"/>
          <w:szCs w:val="32"/>
          <w:lang w:val="en-US" w:eastAsia="zh-CN"/>
        </w:rPr>
        <w:t>48.33万元，由自治区民政厅统一公开。</w:t>
      </w:r>
    </w:p>
    <w:p w14:paraId="2A6D1C4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24FB496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第三部分 专业名词解释</w:t>
      </w:r>
    </w:p>
    <w:p w14:paraId="2A6713F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黑体_GBK" w:cs="Times New Roman"/>
          <w:b w:val="0"/>
          <w:sz w:val="32"/>
          <w:szCs w:val="32"/>
        </w:rPr>
      </w:pPr>
    </w:p>
    <w:p w14:paraId="4166BDE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一、财政拨款收入：</w:t>
      </w:r>
      <w:r>
        <w:rPr>
          <w:rFonts w:hint="default" w:ascii="Times New Roman" w:hAnsi="Times New Roman" w:eastAsia="方正仿宋_GBK" w:cs="Times New Roman"/>
          <w:b w:val="0"/>
          <w:sz w:val="32"/>
          <w:szCs w:val="32"/>
        </w:rPr>
        <w:t>指单位本年度从同级财政部门取得的财政拨款，包括一般公共预算财政拨款、政府性基金预算财政拨款和国有资本经营预算财政拨款。</w:t>
      </w:r>
    </w:p>
    <w:p w14:paraId="12BF150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二、上级补助收入：</w:t>
      </w:r>
      <w:r>
        <w:rPr>
          <w:rFonts w:hint="default" w:ascii="Times New Roman" w:hAnsi="Times New Roman" w:eastAsia="方正仿宋_GBK" w:cs="Times New Roman"/>
          <w:b w:val="0"/>
          <w:sz w:val="32"/>
          <w:szCs w:val="32"/>
        </w:rPr>
        <w:t>指事业单位从主管部门和上级单位取得的非财政补助收入。</w:t>
      </w:r>
    </w:p>
    <w:p w14:paraId="009881B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三、事业收入：</w:t>
      </w:r>
      <w:r>
        <w:rPr>
          <w:rFonts w:hint="default" w:ascii="Times New Roman" w:hAnsi="Times New Roman" w:eastAsia="方正仿宋_GBK" w:cs="Times New Roman"/>
          <w:b w:val="0"/>
          <w:sz w:val="32"/>
          <w:szCs w:val="32"/>
        </w:rPr>
        <w:t>指事业单位开展专业业务活动及其辅助活动取得的收入。</w:t>
      </w:r>
    </w:p>
    <w:p w14:paraId="3733EE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四、经营收入：</w:t>
      </w:r>
      <w:r>
        <w:rPr>
          <w:rFonts w:hint="default" w:ascii="Times New Roman" w:hAnsi="Times New Roman" w:eastAsia="方正仿宋_GBK" w:cs="Times New Roman"/>
          <w:b w:val="0"/>
          <w:sz w:val="32"/>
          <w:szCs w:val="32"/>
        </w:rPr>
        <w:t>指事业单位在专业业务活动及其辅助活动之外开展非独立核算经营活动取得的收入。</w:t>
      </w:r>
    </w:p>
    <w:p w14:paraId="20E4F5D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五、附属单位上缴收入：</w:t>
      </w:r>
      <w:r>
        <w:rPr>
          <w:rFonts w:hint="default" w:ascii="Times New Roman" w:hAnsi="Times New Roman" w:eastAsia="方正仿宋_GBK" w:cs="Times New Roman"/>
          <w:b w:val="0"/>
          <w:sz w:val="32"/>
          <w:szCs w:val="32"/>
        </w:rPr>
        <w:t>指事业单位附属独立核算单位按照有关规定上缴的收入。</w:t>
      </w:r>
    </w:p>
    <w:p w14:paraId="2C45F17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六、其他收入：</w:t>
      </w:r>
      <w:r>
        <w:rPr>
          <w:rFonts w:hint="default" w:ascii="Times New Roman" w:hAnsi="Times New Roman" w:eastAsia="方正仿宋_GBK" w:cs="Times New Roman"/>
          <w:b w:val="0"/>
          <w:sz w:val="32"/>
          <w:szCs w:val="32"/>
        </w:rPr>
        <w:t>指单位取得的除上述“财政拨款收入”“上级补助收入”“事业收入”“经营收入”“附属单位上缴收入”以外的各项收入。</w:t>
      </w:r>
    </w:p>
    <w:p w14:paraId="3172A2D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七、年初结转和结余：</w:t>
      </w:r>
      <w:r>
        <w:rPr>
          <w:rFonts w:hint="default" w:ascii="Times New Roman" w:hAnsi="Times New Roman" w:eastAsia="方正仿宋_GBK" w:cs="Times New Roman"/>
          <w:b w:val="0"/>
          <w:sz w:val="32"/>
          <w:szCs w:val="32"/>
        </w:rPr>
        <w:t>指单位上年结转本年使用的基本支出结转、项目支出结转和结余、经营结余。</w:t>
      </w:r>
    </w:p>
    <w:p w14:paraId="0C282A2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八、使用非财政拨款结余（含专用结余）：</w:t>
      </w:r>
      <w:r>
        <w:rPr>
          <w:rFonts w:hint="default" w:ascii="Times New Roman" w:hAnsi="Times New Roman" w:eastAsia="方正仿宋_GBK" w:cs="Times New Roman"/>
          <w:b w:val="0"/>
          <w:sz w:val="32"/>
          <w:szCs w:val="32"/>
        </w:rPr>
        <w:t>指单位按照预算管理要求使用非财政拨款结余弥补收支差额的金额，以及使用专用结余安排支出的金额。</w:t>
      </w:r>
    </w:p>
    <w:p w14:paraId="1F01FD2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九、结余分配：</w:t>
      </w:r>
      <w:r>
        <w:rPr>
          <w:rFonts w:hint="default" w:ascii="Times New Roman" w:hAnsi="Times New Roman" w:eastAsia="方正仿宋_GBK" w:cs="Times New Roman"/>
          <w:b w:val="0"/>
          <w:sz w:val="32"/>
          <w:szCs w:val="32"/>
        </w:rPr>
        <w:t>指单位缴纳企业所得税以及从非财政拨款结余或经营结余中提取各类结余的情况。</w:t>
      </w:r>
    </w:p>
    <w:p w14:paraId="12ACF0C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十、年末结转和结余：</w:t>
      </w:r>
      <w:r>
        <w:rPr>
          <w:rFonts w:hint="default" w:ascii="Times New Roman" w:hAnsi="Times New Roman" w:eastAsia="方正仿宋_GBK" w:cs="Times New Roman"/>
          <w:b w:val="0"/>
          <w:sz w:val="32"/>
          <w:szCs w:val="32"/>
        </w:rPr>
        <w:t>指单位结转下年的基本支出结转、项目支出结转和结余、经营结余。</w:t>
      </w:r>
    </w:p>
    <w:p w14:paraId="422E15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十一、基本支出：</w:t>
      </w:r>
      <w:r>
        <w:rPr>
          <w:rFonts w:hint="default" w:ascii="Times New Roman" w:hAnsi="Times New Roman" w:eastAsia="方正仿宋_GBK" w:cs="Times New Roman"/>
          <w:b w:val="0"/>
          <w:sz w:val="32"/>
          <w:szCs w:val="32"/>
        </w:rPr>
        <w:t>指单位为保障机构正常运转、完成日常工作任务而发生的各项支出。</w:t>
      </w:r>
    </w:p>
    <w:p w14:paraId="5C54BA9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十二、项目支出：</w:t>
      </w:r>
      <w:r>
        <w:rPr>
          <w:rFonts w:hint="default" w:ascii="Times New Roman" w:hAnsi="Times New Roman" w:eastAsia="方正仿宋_GBK" w:cs="Times New Roman"/>
          <w:b w:val="0"/>
          <w:sz w:val="32"/>
          <w:szCs w:val="32"/>
        </w:rPr>
        <w:t>指单位为完成特定的行政工作任务或事业发展目标，在基本支出之外发生的各项支出。</w:t>
      </w:r>
    </w:p>
    <w:p w14:paraId="0253C3C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十三、上缴上级支出：</w:t>
      </w:r>
      <w:r>
        <w:rPr>
          <w:rFonts w:hint="default" w:ascii="Times New Roman" w:hAnsi="Times New Roman" w:eastAsia="方正仿宋_GBK" w:cs="Times New Roman"/>
          <w:b w:val="0"/>
          <w:sz w:val="32"/>
          <w:szCs w:val="32"/>
        </w:rPr>
        <w:t>指事业单位按照财政部门和主管部门的规定上缴上级单位的支出。</w:t>
      </w:r>
    </w:p>
    <w:p w14:paraId="3C1F4B9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十四、经营支出：</w:t>
      </w:r>
      <w:r>
        <w:rPr>
          <w:rFonts w:hint="default" w:ascii="Times New Roman" w:hAnsi="Times New Roman" w:eastAsia="方正仿宋_GBK" w:cs="Times New Roman"/>
          <w:b w:val="0"/>
          <w:sz w:val="32"/>
          <w:szCs w:val="32"/>
        </w:rPr>
        <w:t>指事业单位在专业活动及辅助活动之外开展非独立核算经营活动发生的支出。</w:t>
      </w:r>
    </w:p>
    <w:p w14:paraId="37595E6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十五、对附属单位补助支出：</w:t>
      </w:r>
      <w:r>
        <w:rPr>
          <w:rFonts w:hint="default" w:ascii="Times New Roman" w:hAnsi="Times New Roman" w:eastAsia="方正仿宋_GBK" w:cs="Times New Roman"/>
          <w:b w:val="0"/>
          <w:sz w:val="32"/>
          <w:szCs w:val="32"/>
        </w:rPr>
        <w:t>指事业单位用财政补助收入之外的收入对附属单位补助发生的支出。</w:t>
      </w:r>
    </w:p>
    <w:p w14:paraId="0BFB462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十六、“三公”经费：</w:t>
      </w:r>
      <w:r>
        <w:rPr>
          <w:rFonts w:hint="default" w:ascii="Times New Roman" w:hAnsi="Times New Roman" w:eastAsia="方正仿宋_GBK" w:cs="Times New Roman"/>
          <w:b w:val="0"/>
          <w:sz w:val="32"/>
          <w:szCs w:val="32"/>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74CAC0D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sz w:val="32"/>
          <w:szCs w:val="32"/>
        </w:rPr>
        <w:t>十七、机关运行经费：</w:t>
      </w:r>
      <w:r>
        <w:rPr>
          <w:rFonts w:hint="default" w:ascii="Times New Roman" w:hAnsi="Times New Roman" w:eastAsia="方正仿宋_GBK" w:cs="Times New Roman"/>
          <w:b w:val="0"/>
          <w:sz w:val="32"/>
          <w:szCs w:val="32"/>
        </w:rPr>
        <w:t>指行政单位和参照公务员法管理的事业单位财政拨款基本支出中的公用经费支出。</w:t>
      </w:r>
    </w:p>
    <w:p w14:paraId="7E5C390B">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b w:val="0"/>
          <w:sz w:val="0"/>
          <w:szCs w:val="0"/>
        </w:rPr>
        <w:br w:type="page"/>
      </w:r>
    </w:p>
    <w:p w14:paraId="5848047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r>
        <w:rPr>
          <w:rFonts w:hint="default" w:ascii="Times New Roman" w:hAnsi="Times New Roman" w:eastAsia="方正小标宋_GBK" w:cs="Times New Roman"/>
          <w:b w:val="0"/>
          <w:sz w:val="44"/>
          <w:szCs w:val="44"/>
        </w:rPr>
        <w:t>第四部分</w:t>
      </w:r>
      <w:r>
        <w:rPr>
          <w:rFonts w:hint="default" w:ascii="Times New Roman" w:hAnsi="Times New Roman" w:eastAsia="方正小标宋_GBK" w:cs="Times New Roman"/>
          <w:b w:val="0"/>
          <w:sz w:val="44"/>
          <w:szCs w:val="44"/>
          <w:lang w:val="en-US" w:eastAsia="zh-CN"/>
        </w:rPr>
        <w:t xml:space="preserve"> </w:t>
      </w:r>
      <w:r>
        <w:rPr>
          <w:rFonts w:hint="default" w:ascii="Times New Roman" w:hAnsi="Times New Roman" w:eastAsia="方正小标宋_GBK" w:cs="Times New Roman"/>
          <w:b w:val="0"/>
          <w:sz w:val="44"/>
          <w:szCs w:val="44"/>
        </w:rPr>
        <w:t xml:space="preserve"> 部门决算报表（见附表）</w:t>
      </w:r>
    </w:p>
    <w:p w14:paraId="5F0561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rPr>
      </w:pPr>
    </w:p>
    <w:p w14:paraId="10B9555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一、《收入支出决算总表》</w:t>
      </w:r>
    </w:p>
    <w:p w14:paraId="20C212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二、《收入决算表》</w:t>
      </w:r>
    </w:p>
    <w:p w14:paraId="63030C4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三、《支出决算表》</w:t>
      </w:r>
    </w:p>
    <w:p w14:paraId="13C20FF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四、《财政拨款收入支出决算总表》</w:t>
      </w:r>
    </w:p>
    <w:p w14:paraId="213B4A7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五、《一般公共预算财政拨款支出决算表》</w:t>
      </w:r>
    </w:p>
    <w:p w14:paraId="21A5CC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六、《一般公共预算财政拨款基本支出决算表》</w:t>
      </w:r>
    </w:p>
    <w:p w14:paraId="47671E3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七、《政府性基金预算财政拨款收入支出决算表》</w:t>
      </w:r>
    </w:p>
    <w:p w14:paraId="2391F91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八、《国有资本经营预算财政拨款收入支出决算表》</w:t>
      </w:r>
    </w:p>
    <w:p w14:paraId="7478EEC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九、《财政拨款“三公”经费支出决算表》</w:t>
      </w:r>
    </w:p>
    <w:sectPr>
      <w:footerReference r:id="rId7" w:type="default"/>
      <w:pgSz w:w="12240" w:h="15840"/>
      <w:pgMar w:top="2098" w:right="1531" w:bottom="1984" w:left="1531" w:header="720" w:footer="720" w:gutter="0"/>
      <w:pgNumType w:fmt="numberInDash"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0000000000000000000"/>
    <w:charset w:val="00"/>
    <w:family w:val="auto"/>
    <w:pitch w:val="default"/>
    <w:sig w:usb0="00000000" w:usb1="00000000" w:usb2="00000000" w:usb3="00000000" w:csb0="00000000"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8D86C">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8B71A">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AC27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C7C7B">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3C7C7B">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documentProtection w:enforcement="0"/>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9E479"/>
    <w:rsid w:val="06920FE6"/>
    <w:rsid w:val="0FC93A62"/>
    <w:rsid w:val="121B5019"/>
    <w:rsid w:val="136FC11A"/>
    <w:rsid w:val="17B7722C"/>
    <w:rsid w:val="1B707488"/>
    <w:rsid w:val="1E6F4784"/>
    <w:rsid w:val="1EAD1FE0"/>
    <w:rsid w:val="1FAC1671"/>
    <w:rsid w:val="3BEF215F"/>
    <w:rsid w:val="3DDF084A"/>
    <w:rsid w:val="3E9F8339"/>
    <w:rsid w:val="3F6F1681"/>
    <w:rsid w:val="3F7EA595"/>
    <w:rsid w:val="3FCEBECE"/>
    <w:rsid w:val="3FFB6517"/>
    <w:rsid w:val="3FFB89F3"/>
    <w:rsid w:val="44134CD1"/>
    <w:rsid w:val="4553085F"/>
    <w:rsid w:val="46D30747"/>
    <w:rsid w:val="4819662E"/>
    <w:rsid w:val="4B3F0E3A"/>
    <w:rsid w:val="5139389D"/>
    <w:rsid w:val="531B76FE"/>
    <w:rsid w:val="53B7BBE9"/>
    <w:rsid w:val="57EF103A"/>
    <w:rsid w:val="5BBEF732"/>
    <w:rsid w:val="5FFDE8DD"/>
    <w:rsid w:val="6AC7879B"/>
    <w:rsid w:val="6B8B478B"/>
    <w:rsid w:val="6D750624"/>
    <w:rsid w:val="6DFD50D5"/>
    <w:rsid w:val="7040034C"/>
    <w:rsid w:val="726F20A4"/>
    <w:rsid w:val="7796DD15"/>
    <w:rsid w:val="77EB4E28"/>
    <w:rsid w:val="77FF8BDA"/>
    <w:rsid w:val="7BAA949F"/>
    <w:rsid w:val="7BEC9F52"/>
    <w:rsid w:val="7BED65EA"/>
    <w:rsid w:val="7CEEAE67"/>
    <w:rsid w:val="7F922A87"/>
    <w:rsid w:val="7FFD6E84"/>
    <w:rsid w:val="847F69D1"/>
    <w:rsid w:val="AADCA398"/>
    <w:rsid w:val="AD74997F"/>
    <w:rsid w:val="BAD7F9F1"/>
    <w:rsid w:val="BFFD72B9"/>
    <w:rsid w:val="D6C83895"/>
    <w:rsid w:val="D7BAFC2F"/>
    <w:rsid w:val="D7F6ED19"/>
    <w:rsid w:val="D99B561E"/>
    <w:rsid w:val="D9F693F0"/>
    <w:rsid w:val="DFF73F8B"/>
    <w:rsid w:val="DFFB61BC"/>
    <w:rsid w:val="E5FF16BC"/>
    <w:rsid w:val="E7DFCD81"/>
    <w:rsid w:val="EBD9D55C"/>
    <w:rsid w:val="EEF7C903"/>
    <w:rsid w:val="EFEFC6B4"/>
    <w:rsid w:val="F2FD9C8F"/>
    <w:rsid w:val="F4E6B468"/>
    <w:rsid w:val="F5BB0968"/>
    <w:rsid w:val="F6E92919"/>
    <w:rsid w:val="F7D7006E"/>
    <w:rsid w:val="FA6D0DF6"/>
    <w:rsid w:val="FB6FBE8C"/>
    <w:rsid w:val="FD4B129F"/>
    <w:rsid w:val="FD73A8BA"/>
    <w:rsid w:val="FE3B09B6"/>
    <w:rsid w:val="FE7F4871"/>
    <w:rsid w:val="FE7FFD76"/>
    <w:rsid w:val="FFDB9F27"/>
    <w:rsid w:val="FFEB9F6E"/>
    <w:rsid w:val="FFFDC667"/>
    <w:rsid w:val="FFFF64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link w:val="18"/>
    <w:unhideWhenUsed/>
    <w:qFormat/>
    <w:uiPriority w:val="99"/>
    <w:pPr>
      <w:tabs>
        <w:tab w:val="center" w:pos="4680"/>
        <w:tab w:val="right" w:pos="9360"/>
      </w:tabs>
    </w:pPr>
  </w:style>
  <w:style w:type="paragraph" w:styleId="10">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3">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5">
    <w:name w:val="Strong"/>
    <w:basedOn w:val="14"/>
    <w:qFormat/>
    <w:uiPriority w:val="0"/>
    <w:rPr>
      <w:b/>
      <w:bCs/>
    </w:rPr>
  </w:style>
  <w:style w:type="character" w:styleId="16">
    <w:name w:val="Emphasis"/>
    <w:basedOn w:val="14"/>
    <w:qFormat/>
    <w:uiPriority w:val="20"/>
    <w:rPr>
      <w:i/>
      <w:iCs/>
    </w:rPr>
  </w:style>
  <w:style w:type="character" w:styleId="17">
    <w:name w:val="Hyperlink"/>
    <w:basedOn w:val="14"/>
    <w:unhideWhenUsed/>
    <w:qFormat/>
    <w:uiPriority w:val="99"/>
    <w:rPr>
      <w:color w:val="0000FF" w:themeColor="hyperlink"/>
      <w:u w:val="single"/>
      <w14:textFill>
        <w14:solidFill>
          <w14:schemeClr w14:val="hlink"/>
        </w14:solidFill>
      </w14:textFill>
    </w:rPr>
  </w:style>
  <w:style w:type="character" w:customStyle="1" w:styleId="18">
    <w:name w:val="Header Char"/>
    <w:basedOn w:val="14"/>
    <w:link w:val="9"/>
    <w:qFormat/>
    <w:uiPriority w:val="99"/>
  </w:style>
  <w:style w:type="character" w:customStyle="1" w:styleId="19">
    <w:name w:val="Heading 1 Char"/>
    <w:basedOn w:val="14"/>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0">
    <w:name w:val="Heading 2 Char"/>
    <w:basedOn w:val="14"/>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Heading 3 Char"/>
    <w:basedOn w:val="14"/>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2">
    <w:name w:val="Heading 4 Char"/>
    <w:basedOn w:val="14"/>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Subtitle Char"/>
    <w:basedOn w:val="14"/>
    <w:link w:val="1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4">
    <w:name w:val="Title Char"/>
    <w:basedOn w:val="14"/>
    <w:link w:val="11"/>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Pages>
  <Words>5822</Words>
  <Characters>6556</Characters>
  <TotalTime>0</TotalTime>
  <ScaleCrop>false</ScaleCrop>
  <LinksUpToDate>false</LinksUpToDate>
  <CharactersWithSpaces>6565</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2026-08-20T20:27:00Z</dcterms:created>
  <dc:creator>Administrator</dc:creator>
  <cp:lastModifiedBy>user</cp:lastModifiedBy>
  <dcterms:modified xsi:type="dcterms:W3CDTF">2026-08-25T18:48:39Z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eyJoZGlkIjoiN2YzNjBkOTgyNWQ1YTMxYzM3MzMwNWFiODNmOWIzYWMiLCJ1c2VySWQiOiI0NDExODQxMjkifQ==</vt:lpwstr>
  </property>
  <property fmtid="{D5CDD505-2E9C-101B-9397-08002B2CF9AE}" pid="3" name="KSOProductBuildVer">
    <vt:lpwstr>2052-12.1.2.23578</vt:lpwstr>
  </property>
  <property fmtid="{D5CDD505-2E9C-101B-9397-08002B2CF9AE}" pid="4" name="ICV">
    <vt:lpwstr>B23180FA82240F13631C8C6AD12B6CB3_43</vt:lpwstr>
  </property>
</Properties>
</file>