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80C08D">
      <w:pPr>
        <w:spacing w:after="0" w:line="560" w:lineRule="exact"/>
        <w:rPr>
          <w:rFonts w:ascii="Times New Roman" w:hAnsi="Times New Roman" w:eastAsia="宋体" w:cs="Times New Roman"/>
          <w:sz w:val="32"/>
          <w:szCs w:val="32"/>
        </w:rPr>
      </w:pPr>
    </w:p>
    <w:p w14:paraId="3A77064D">
      <w:pPr>
        <w:spacing w:after="0" w:line="560" w:lineRule="exact"/>
        <w:rPr>
          <w:rFonts w:ascii="Times New Roman" w:hAnsi="Times New Roman" w:eastAsia="宋体" w:cs="Times New Roman"/>
          <w:sz w:val="44"/>
          <w:szCs w:val="44"/>
        </w:rPr>
      </w:pPr>
    </w:p>
    <w:p w14:paraId="7CDD352F">
      <w:pPr>
        <w:spacing w:after="0" w:line="560" w:lineRule="exact"/>
        <w:rPr>
          <w:rFonts w:ascii="Times New Roman" w:hAnsi="Times New Roman" w:eastAsia="宋体" w:cs="Times New Roman"/>
          <w:sz w:val="44"/>
          <w:szCs w:val="44"/>
          <w:lang w:eastAsia="zh-CN"/>
        </w:rPr>
      </w:pPr>
    </w:p>
    <w:p w14:paraId="3BB4F911">
      <w:pPr>
        <w:spacing w:after="0" w:line="560" w:lineRule="exact"/>
        <w:rPr>
          <w:rFonts w:ascii="Times New Roman" w:hAnsi="Times New Roman" w:eastAsia="宋体" w:cs="Times New Roman"/>
          <w:sz w:val="44"/>
          <w:szCs w:val="44"/>
          <w:lang w:eastAsia="zh-CN"/>
        </w:rPr>
      </w:pPr>
    </w:p>
    <w:p w14:paraId="508E457F">
      <w:pPr>
        <w:spacing w:after="0" w:line="560" w:lineRule="exact"/>
        <w:rPr>
          <w:rFonts w:ascii="Times New Roman" w:hAnsi="Times New Roman" w:eastAsia="宋体" w:cs="Times New Roman"/>
          <w:sz w:val="44"/>
          <w:szCs w:val="44"/>
        </w:rPr>
      </w:pPr>
    </w:p>
    <w:p w14:paraId="035914DC">
      <w:pPr>
        <w:spacing w:after="0" w:line="600" w:lineRule="exact"/>
        <w:jc w:val="center"/>
        <w:outlineLvl w:val="0"/>
        <w:rPr>
          <w:rFonts w:ascii="Times New Roman" w:hAnsi="Times New Roman" w:eastAsia="方正小标宋_GBK" w:cs="Times New Roman"/>
          <w:sz w:val="44"/>
          <w:szCs w:val="44"/>
          <w:lang w:eastAsia="zh-CN"/>
        </w:rPr>
      </w:pPr>
      <w:r>
        <w:rPr>
          <w:rFonts w:ascii="Times New Roman" w:hAnsi="Times New Roman" w:eastAsia="方正小标宋_GBK" w:cs="Times New Roman"/>
          <w:sz w:val="44"/>
          <w:szCs w:val="44"/>
          <w:lang w:eastAsia="zh-CN"/>
        </w:rPr>
        <w:t>新疆维吾尔自治区老年康乐报社</w:t>
      </w:r>
    </w:p>
    <w:p w14:paraId="3345B155">
      <w:pPr>
        <w:spacing w:after="0" w:line="600" w:lineRule="exact"/>
        <w:jc w:val="center"/>
        <w:outlineLvl w:val="0"/>
        <w:rPr>
          <w:rFonts w:ascii="Times New Roman" w:hAnsi="Times New Roman" w:eastAsia="方正小标宋_GBK" w:cs="Times New Roman"/>
          <w:sz w:val="44"/>
          <w:szCs w:val="44"/>
          <w:lang w:eastAsia="zh-CN"/>
        </w:rPr>
      </w:pPr>
      <w:r>
        <w:rPr>
          <w:rFonts w:ascii="Times New Roman" w:hAnsi="Times New Roman" w:eastAsia="方正小标宋_GBK" w:cs="Times New Roman"/>
          <w:sz w:val="44"/>
          <w:szCs w:val="44"/>
          <w:lang w:eastAsia="zh-CN"/>
        </w:rPr>
        <w:t>2025年度部门决算公开说明</w:t>
      </w:r>
    </w:p>
    <w:p w14:paraId="23E10C8F">
      <w:pPr>
        <w:spacing w:after="0" w:line="560" w:lineRule="exact"/>
        <w:jc w:val="center"/>
        <w:rPr>
          <w:rFonts w:hint="eastAsia" w:ascii="方正小标宋_GBK" w:hAnsi="方正小标宋_GBK" w:eastAsia="方正小标宋_GBK" w:cs="方正小标宋_GBK"/>
          <w:b w:val="0"/>
          <w:bCs/>
          <w:sz w:val="44"/>
          <w:szCs w:val="44"/>
          <w:lang w:eastAsia="zh-CN"/>
        </w:rPr>
        <w:sectPr>
          <w:footerReference r:id="rId5" w:type="default"/>
          <w:pgSz w:w="12240" w:h="15840"/>
          <w:pgMar w:top="1701" w:right="1418" w:bottom="1701" w:left="1418" w:header="720" w:footer="720" w:gutter="0"/>
          <w:pgNumType w:fmt="decimal"/>
          <w:cols w:space="720" w:num="1"/>
          <w:docGrid w:linePitch="299" w:charSpace="0"/>
        </w:sectPr>
      </w:pPr>
    </w:p>
    <w:p w14:paraId="4B8864EA">
      <w:pPr>
        <w:spacing w:after="0" w:line="560" w:lineRule="exact"/>
        <w:jc w:val="center"/>
        <w:rPr>
          <w:rFonts w:hint="eastAsia" w:ascii="方正小标宋_GBK" w:hAnsi="方正小标宋_GBK" w:eastAsia="方正小标宋_GBK" w:cs="方正小标宋_GBK"/>
          <w:b w:val="0"/>
          <w:bCs/>
          <w:sz w:val="44"/>
          <w:szCs w:val="44"/>
          <w:lang w:eastAsia="zh-CN"/>
        </w:rPr>
      </w:pPr>
      <w:r>
        <w:rPr>
          <w:rFonts w:hint="eastAsia" w:ascii="方正小标宋_GBK" w:hAnsi="方正小标宋_GBK" w:eastAsia="方正小标宋_GBK" w:cs="方正小标宋_GBK"/>
          <w:b w:val="0"/>
          <w:bCs/>
          <w:sz w:val="44"/>
          <w:szCs w:val="44"/>
          <w:lang w:eastAsia="zh-CN"/>
        </w:rPr>
        <w:t>目  录</w:t>
      </w:r>
    </w:p>
    <w:p w14:paraId="5AE84DC2">
      <w:pPr>
        <w:spacing w:after="0" w:line="560" w:lineRule="exact"/>
        <w:jc w:val="center"/>
        <w:rPr>
          <w:rFonts w:ascii="Times New Roman" w:hAnsi="Times New Roman" w:eastAsia="仿宋_GB2312" w:cs="Times New Roman"/>
          <w:b/>
          <w:sz w:val="44"/>
          <w:szCs w:val="44"/>
          <w:lang w:eastAsia="zh-CN"/>
        </w:rPr>
      </w:pPr>
    </w:p>
    <w:p w14:paraId="7D8A9A8D">
      <w:pPr>
        <w:spacing w:after="0" w:line="560" w:lineRule="exact"/>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b/>
          <w:sz w:val="32"/>
          <w:szCs w:val="32"/>
          <w:lang w:eastAsia="zh-CN"/>
        </w:rPr>
        <w:t>第一部分 单位概况</w:t>
      </w:r>
    </w:p>
    <w:p w14:paraId="50C85A16">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一、主要职能</w:t>
      </w:r>
    </w:p>
    <w:p w14:paraId="32BBC0EC">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二、机构设置</w:t>
      </w:r>
    </w:p>
    <w:p w14:paraId="36AEE6C0">
      <w:pPr>
        <w:spacing w:after="0" w:line="560" w:lineRule="exact"/>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b/>
          <w:sz w:val="32"/>
          <w:szCs w:val="32"/>
          <w:lang w:eastAsia="zh-CN"/>
        </w:rPr>
        <w:t>第二部分 部门决算情况说明</w:t>
      </w:r>
    </w:p>
    <w:p w14:paraId="4BA5E6DF">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一、收入支出决算总体情况说明</w:t>
      </w:r>
    </w:p>
    <w:p w14:paraId="5B612524">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二、收入决算情况说明</w:t>
      </w:r>
    </w:p>
    <w:p w14:paraId="35331F3B">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三、支出决算情况说明</w:t>
      </w:r>
    </w:p>
    <w:p w14:paraId="6DC4B1DB">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四、财政拨款收入支出决算总体情况说明</w:t>
      </w:r>
    </w:p>
    <w:p w14:paraId="3C89D605">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五、一般公共预算财政拨款支出决算情况说明</w:t>
      </w:r>
    </w:p>
    <w:p w14:paraId="5C9F210D">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（一）一般公共预算财政拨款支出决算总体情况</w:t>
      </w:r>
    </w:p>
    <w:p w14:paraId="15D913FF">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（二）一般公共预算财政拨款支出决算结构情况</w:t>
      </w:r>
    </w:p>
    <w:p w14:paraId="44F81B34">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（三）一般公共预算财政拨款支出决算具体情况</w:t>
      </w:r>
    </w:p>
    <w:p w14:paraId="57AAAE1F">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六、一般公共预算财政拨款基本支出决算情况说明</w:t>
      </w:r>
    </w:p>
    <w:p w14:paraId="76FDF1DB">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七、政府性基金预算财政拨款收入支出决算情况说明</w:t>
      </w:r>
    </w:p>
    <w:p w14:paraId="158D812D">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八、国有资本经营预算财政拨款收入支出决算情况说明</w:t>
      </w:r>
    </w:p>
    <w:p w14:paraId="304D3362">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九、财政拨款“三公”经费支出决算情况说明</w:t>
      </w:r>
    </w:p>
    <w:p w14:paraId="3E450CAA">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十、其他重要事项的情况说明</w:t>
      </w:r>
    </w:p>
    <w:p w14:paraId="605A0ABD">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（一）机关运行经费及公用经费支出情况</w:t>
      </w:r>
    </w:p>
    <w:p w14:paraId="5319DA2E">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（二）政府采购情况</w:t>
      </w:r>
    </w:p>
    <w:p w14:paraId="1BD89AFF">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（三）国有资产占用情况说明</w:t>
      </w:r>
    </w:p>
    <w:p w14:paraId="2838D644">
      <w:pPr>
        <w:spacing w:after="0" w:line="560" w:lineRule="exact"/>
        <w:ind w:firstLine="640" w:firstLineChars="200"/>
        <w:rPr>
          <w:rFonts w:hint="eastAsia" w:ascii="方正仿宋_GBK" w:hAnsi="方正仿宋_GBK" w:eastAsia="方正仿宋_GBK" w:cs="方正仿宋_GBK"/>
          <w:sz w:val="32"/>
          <w:szCs w:val="32"/>
          <w:lang w:eastAsia="zh-CN"/>
        </w:rPr>
        <w:sectPr>
          <w:footerReference r:id="rId6" w:type="default"/>
          <w:pgSz w:w="12240" w:h="15840"/>
          <w:pgMar w:top="1701" w:right="1418" w:bottom="1701" w:left="1418" w:header="720" w:footer="720" w:gutter="0"/>
          <w:pgNumType w:fmt="decimal" w:start="1"/>
          <w:cols w:space="720" w:num="1"/>
          <w:docGrid w:linePitch="299" w:charSpace="0"/>
        </w:sectPr>
      </w:pPr>
    </w:p>
    <w:p w14:paraId="02C13150">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十一、预算绩效的情况说明</w:t>
      </w:r>
    </w:p>
    <w:p w14:paraId="7C9F007E">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十二、其他需说明的事项</w:t>
      </w:r>
    </w:p>
    <w:p w14:paraId="27F4F55F">
      <w:pPr>
        <w:spacing w:after="0" w:line="560" w:lineRule="exact"/>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b/>
          <w:sz w:val="32"/>
          <w:szCs w:val="32"/>
          <w:lang w:eastAsia="zh-CN"/>
        </w:rPr>
        <w:t>第三部分 专业名词解释</w:t>
      </w:r>
    </w:p>
    <w:p w14:paraId="21BF1F99">
      <w:pPr>
        <w:spacing w:after="0" w:line="560" w:lineRule="exact"/>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b/>
          <w:sz w:val="32"/>
          <w:szCs w:val="32"/>
          <w:lang w:eastAsia="zh-CN"/>
        </w:rPr>
        <w:t>第四部分 部门决算报表（见附表）</w:t>
      </w:r>
    </w:p>
    <w:p w14:paraId="2688941D">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一、《收入支出决算总表》</w:t>
      </w:r>
    </w:p>
    <w:p w14:paraId="69771263">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二、《收入决算表》</w:t>
      </w:r>
    </w:p>
    <w:p w14:paraId="1ACF0FD3">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三、《支出决算表》</w:t>
      </w:r>
    </w:p>
    <w:p w14:paraId="1720DEBC">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四、《财政拨款收入支出决算总表》</w:t>
      </w:r>
    </w:p>
    <w:p w14:paraId="4B6E3DAE">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五、《一般公共预算财政拨款支出决算表》</w:t>
      </w:r>
    </w:p>
    <w:p w14:paraId="3DFA34C9">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六、《一般公共预算财政拨款基本支出决算表》</w:t>
      </w:r>
    </w:p>
    <w:p w14:paraId="266A1943">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七、《政府性基金预算财政拨款收入支出决算表》</w:t>
      </w:r>
    </w:p>
    <w:p w14:paraId="1E44EB1C">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八、《国有资本经营预算财政拨款收入支出决算表》</w:t>
      </w:r>
    </w:p>
    <w:p w14:paraId="0C87AE91">
      <w:pPr>
        <w:spacing w:after="0" w:line="560" w:lineRule="exac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九、《财政拨款“三公”经费支出决算表》</w:t>
      </w:r>
    </w:p>
    <w:p w14:paraId="52315327">
      <w:pPr>
        <w:numPr>
          <w:ilvl w:val="0"/>
          <w:numId w:val="1"/>
        </w:numPr>
        <w:spacing w:after="0" w:line="560" w:lineRule="exact"/>
        <w:jc w:val="center"/>
        <w:outlineLvl w:val="0"/>
        <w:rPr>
          <w:rFonts w:hint="eastAsia" w:ascii="方正小标宋简体" w:hAnsi="Times New Roman" w:eastAsia="方正小标宋简体" w:cs="Times New Roman"/>
          <w:sz w:val="44"/>
          <w:szCs w:val="44"/>
          <w:lang w:eastAsia="zh-CN"/>
        </w:rPr>
        <w:sectPr>
          <w:footerReference r:id="rId7" w:type="default"/>
          <w:pgSz w:w="12240" w:h="15840"/>
          <w:pgMar w:top="1701" w:right="1418" w:bottom="1701" w:left="1418" w:header="720" w:footer="720" w:gutter="0"/>
          <w:pgNumType w:fmt="decimal" w:start="1"/>
          <w:cols w:space="720" w:num="1"/>
          <w:docGrid w:linePitch="299" w:charSpace="0"/>
        </w:sectPr>
      </w:pPr>
    </w:p>
    <w:p w14:paraId="148A4958">
      <w:pPr>
        <w:numPr>
          <w:ilvl w:val="0"/>
          <w:numId w:val="1"/>
        </w:numPr>
        <w:spacing w:after="0" w:line="560" w:lineRule="exact"/>
        <w:jc w:val="center"/>
        <w:outlineLvl w:val="0"/>
        <w:rPr>
          <w:rFonts w:hint="eastAsia" w:ascii="方正小标宋简体" w:hAnsi="Times New Roman" w:eastAsia="方正小标宋简体" w:cs="Times New Roman"/>
          <w:sz w:val="44"/>
          <w:szCs w:val="44"/>
          <w:lang w:eastAsia="zh-CN"/>
        </w:rPr>
      </w:pPr>
      <w:r>
        <w:rPr>
          <w:rFonts w:hint="eastAsia" w:ascii="方正小标宋简体" w:hAnsi="Times New Roman" w:eastAsia="方正小标宋简体" w:cs="Times New Roman"/>
          <w:sz w:val="44"/>
          <w:szCs w:val="44"/>
          <w:lang w:eastAsia="zh-CN"/>
        </w:rPr>
        <w:t>单位概况</w:t>
      </w:r>
    </w:p>
    <w:p w14:paraId="4E0C4087">
      <w:pPr>
        <w:numPr>
          <w:ilvl w:val="0"/>
          <w:numId w:val="0"/>
        </w:numPr>
        <w:spacing w:after="0" w:line="560" w:lineRule="exact"/>
        <w:jc w:val="both"/>
        <w:outlineLvl w:val="0"/>
        <w:rPr>
          <w:rFonts w:hint="eastAsia" w:ascii="方正小标宋简体" w:hAnsi="Times New Roman" w:eastAsia="方正小标宋简体" w:cs="Times New Roman"/>
          <w:sz w:val="44"/>
          <w:szCs w:val="44"/>
          <w:lang w:eastAsia="zh-CN"/>
        </w:rPr>
      </w:pPr>
    </w:p>
    <w:p w14:paraId="3E57566B">
      <w:pPr>
        <w:spacing w:after="0" w:line="560" w:lineRule="exact"/>
        <w:ind w:firstLine="640" w:firstLineChars="200"/>
        <w:outlineLvl w:val="1"/>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t>一、主要职能</w:t>
      </w:r>
    </w:p>
    <w:p w14:paraId="6997CE57">
      <w:pPr>
        <w:spacing w:after="0" w:line="560" w:lineRule="exact"/>
        <w:ind w:firstLine="640" w:firstLineChars="200"/>
        <w:jc w:val="both"/>
        <w:rPr>
          <w:rFonts w:ascii="Times New Roman" w:hAnsi="Times New Roman" w:eastAsia="仿宋_GB2312" w:cs="Times New Roman"/>
          <w:sz w:val="32"/>
          <w:szCs w:val="32"/>
          <w:lang w:eastAsia="zh-CN"/>
        </w:rPr>
      </w:pPr>
      <w:r>
        <w:rPr>
          <w:rFonts w:hint="eastAsia" w:ascii="方正仿宋_GBK" w:hAnsi="方正仿宋_GBK" w:eastAsia="方正仿宋_GBK" w:cs="方正仿宋_GBK"/>
          <w:sz w:val="32"/>
          <w:szCs w:val="32"/>
          <w:lang w:eastAsia="zh-CN"/>
        </w:rPr>
        <w:t>新疆维吾尔自治区老年康乐报社承办《老年康乐报》中文和维吾儿文两种文版的报纸，为老年人提供新闻和有关信息服务，老龄工作方针、养老惠老和养老事业产业发展政策宣传，老年康乐报社纸媒及新媒体相关编辑、出版、发行和广告经营等工作。</w:t>
      </w:r>
    </w:p>
    <w:p w14:paraId="5879751D">
      <w:pPr>
        <w:spacing w:after="0" w:line="560" w:lineRule="exact"/>
        <w:ind w:firstLine="640" w:firstLineChars="200"/>
        <w:outlineLvl w:val="1"/>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t>二、机构设置</w:t>
      </w:r>
    </w:p>
    <w:p w14:paraId="7DDEDF27">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新疆维吾尔自治区老年康乐报社无下属预算单位。</w:t>
      </w:r>
    </w:p>
    <w:p w14:paraId="0C19F591">
      <w:pPr>
        <w:spacing w:line="560" w:lineRule="exact"/>
        <w:rPr>
          <w:rFonts w:ascii="Times New Roman" w:hAnsi="Times New Roman" w:cs="Times New Roman"/>
          <w:lang w:eastAsia="zh-CN"/>
        </w:rPr>
      </w:pPr>
      <w:r>
        <w:rPr>
          <w:rFonts w:ascii="Times New Roman" w:hAnsi="Times New Roman" w:cs="Times New Roman"/>
          <w:sz w:val="0"/>
          <w:szCs w:val="0"/>
          <w:lang w:eastAsia="zh-CN"/>
        </w:rPr>
        <w:br w:type="page"/>
      </w:r>
    </w:p>
    <w:p w14:paraId="548FD070">
      <w:pPr>
        <w:numPr>
          <w:ilvl w:val="0"/>
          <w:numId w:val="1"/>
        </w:numPr>
        <w:spacing w:after="0" w:line="560" w:lineRule="exact"/>
        <w:ind w:left="0" w:leftChars="0" w:firstLine="0" w:firstLineChars="0"/>
        <w:jc w:val="center"/>
        <w:outlineLvl w:val="0"/>
        <w:rPr>
          <w:rFonts w:hint="eastAsia" w:ascii="方正小标宋简体" w:hAnsi="Times New Roman" w:eastAsia="方正小标宋简体" w:cs="Times New Roman"/>
          <w:sz w:val="44"/>
          <w:szCs w:val="44"/>
          <w:lang w:eastAsia="zh-CN"/>
        </w:rPr>
      </w:pPr>
      <w:r>
        <w:rPr>
          <w:rFonts w:hint="eastAsia" w:ascii="方正小标宋简体" w:hAnsi="Times New Roman" w:eastAsia="方正小标宋简体" w:cs="Times New Roman"/>
          <w:sz w:val="44"/>
          <w:szCs w:val="44"/>
          <w:lang w:eastAsia="zh-CN"/>
        </w:rPr>
        <w:t>部门决算情况说明</w:t>
      </w:r>
    </w:p>
    <w:p w14:paraId="0491A61E">
      <w:pPr>
        <w:numPr>
          <w:ilvl w:val="0"/>
          <w:numId w:val="0"/>
        </w:numPr>
        <w:spacing w:after="0" w:line="560" w:lineRule="exact"/>
        <w:ind w:leftChars="0"/>
        <w:jc w:val="both"/>
        <w:outlineLvl w:val="0"/>
        <w:rPr>
          <w:rFonts w:hint="eastAsia" w:ascii="方正小标宋简体" w:hAnsi="Times New Roman" w:eastAsia="方正小标宋简体" w:cs="Times New Roman"/>
          <w:sz w:val="44"/>
          <w:szCs w:val="44"/>
          <w:lang w:eastAsia="zh-CN"/>
        </w:rPr>
      </w:pPr>
    </w:p>
    <w:p w14:paraId="3F57944B">
      <w:pPr>
        <w:spacing w:after="0" w:line="560" w:lineRule="exact"/>
        <w:ind w:firstLine="640" w:firstLineChars="200"/>
        <w:outlineLvl w:val="1"/>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t>一、收入支出决算总体情况说明</w:t>
      </w:r>
    </w:p>
    <w:p w14:paraId="4B8921EA">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2025年度收入总计1,158.27万元，</w:t>
      </w:r>
      <w:r>
        <w:rPr>
          <w:rFonts w:hint="default" w:ascii="Times New Roman" w:hAnsi="Times New Roman" w:eastAsia="方正仿宋_GBK" w:cs="Times New Roman"/>
          <w:sz w:val="32"/>
          <w:szCs w:val="32"/>
          <w:lang w:eastAsia="zh-CN"/>
        </w:rPr>
        <w:t>其中：本年收入合计795.17万元，使用非财政拨款结余（含专用结余）363.09万元，年初结转和结余0.00万元。</w:t>
      </w:r>
    </w:p>
    <w:p w14:paraId="11D281A1">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2025年度支出总计1,158.27万元，</w:t>
      </w:r>
      <w:r>
        <w:rPr>
          <w:rFonts w:hint="default" w:ascii="Times New Roman" w:hAnsi="Times New Roman" w:eastAsia="方正仿宋_GBK" w:cs="Times New Roman"/>
          <w:sz w:val="32"/>
          <w:szCs w:val="32"/>
          <w:lang w:eastAsia="zh-CN"/>
        </w:rPr>
        <w:t>其中：本年支出合计1,158.27万元，结余分配0.00万元，年末结转和结余0.00万元。</w:t>
      </w:r>
    </w:p>
    <w:p w14:paraId="328A8FF9">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收入支出总体与上年相比，</w:t>
      </w:r>
      <w:r>
        <w:rPr>
          <w:rFonts w:hint="default" w:ascii="Times New Roman" w:hAnsi="Times New Roman" w:eastAsia="方正仿宋_GBK" w:cs="Times New Roman"/>
          <w:sz w:val="32"/>
          <w:szCs w:val="32"/>
          <w:lang w:eastAsia="zh-CN"/>
        </w:rPr>
        <w:t>增加253.81万元，增长28.06%，主要原因是：本年增加自治区财政安排政府性基金项目，资金较上年增长。</w:t>
      </w:r>
    </w:p>
    <w:p w14:paraId="38AC2598">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二、收入决算情况说明</w:t>
      </w:r>
    </w:p>
    <w:p w14:paraId="397B13D1">
      <w:pPr>
        <w:spacing w:after="0" w:line="560" w:lineRule="exact"/>
        <w:ind w:firstLine="640" w:firstLineChars="200"/>
        <w:jc w:val="both"/>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本年收入795.17万元，其中：财政拨款收入331.27万元,占41.66%；上级补助收入0.00万元,占0.00%；事业收入0.00万元，占0.00%；经营收入437.92万元,占55.07%；附属单位上缴收入0.00万元，占0.00%；其他收入25.98万元，占3.27%。</w:t>
      </w:r>
    </w:p>
    <w:p w14:paraId="47A2934A">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三、支出决算情况说明</w:t>
      </w:r>
    </w:p>
    <w:p w14:paraId="33619100">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本年支出1,158.27万元，</w:t>
      </w:r>
      <w:r>
        <w:rPr>
          <w:rFonts w:hint="default" w:ascii="Times New Roman" w:hAnsi="Times New Roman" w:eastAsia="方正仿宋_GBK" w:cs="Times New Roman"/>
          <w:sz w:val="32"/>
          <w:szCs w:val="32"/>
          <w:lang w:eastAsia="zh-CN"/>
        </w:rPr>
        <w:t>其中：基本支出289.35万元，占24.98%；项目支出431.00万元，占37.21%；上缴上级支出0.00万元，占0.00%；经营支出437.92万元，占37.81%；对附属单位补助支出0.00万元，占0.00%。</w:t>
      </w:r>
    </w:p>
    <w:p w14:paraId="64A4C624">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四、财政拨款收入支出决算总体情况说明</w:t>
      </w:r>
    </w:p>
    <w:p w14:paraId="6D624D50">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2025年度财政拨款收入总计331.27万元，</w:t>
      </w:r>
      <w:r>
        <w:rPr>
          <w:rFonts w:hint="default" w:ascii="Times New Roman" w:hAnsi="Times New Roman" w:eastAsia="方正仿宋_GBK" w:cs="Times New Roman"/>
          <w:sz w:val="32"/>
          <w:szCs w:val="32"/>
          <w:lang w:eastAsia="zh-CN"/>
        </w:rPr>
        <w:t>其中：年初财政拨款结转和结余0.00万元，本年财政拨款收入331.27万元。财政拨款支出总计331.27万元，其中：年末财政拨款结转和结余0.00万元，本年财政拨款支出331.27万元。</w:t>
      </w:r>
    </w:p>
    <w:p w14:paraId="16A9A202">
      <w:pPr>
        <w:spacing w:after="0" w:line="560" w:lineRule="exact"/>
        <w:ind w:firstLine="643" w:firstLineChars="200"/>
        <w:jc w:val="both"/>
        <w:rPr>
          <w:rFonts w:hint="default" w:ascii="Times New Roman" w:hAnsi="Times New Roman" w:eastAsia="仿宋_GB2312" w:cs="Times New Roman"/>
          <w:sz w:val="32"/>
          <w:szCs w:val="32"/>
          <w:lang w:eastAsia="zh-CN"/>
        </w:rPr>
      </w:pPr>
      <w:r>
        <w:rPr>
          <w:rFonts w:hint="default" w:ascii="Times New Roman" w:hAnsi="Times New Roman" w:eastAsia="方正仿宋_GBK" w:cs="Times New Roman"/>
          <w:b/>
          <w:sz w:val="32"/>
          <w:szCs w:val="32"/>
          <w:lang w:eastAsia="zh-CN"/>
        </w:rPr>
        <w:t>财政拨款收入支出总体与上年相比，</w:t>
      </w:r>
      <w:r>
        <w:rPr>
          <w:rFonts w:hint="default" w:ascii="Times New Roman" w:hAnsi="Times New Roman" w:eastAsia="方正仿宋_GBK" w:cs="Times New Roman"/>
          <w:sz w:val="32"/>
          <w:szCs w:val="32"/>
          <w:lang w:eastAsia="zh-CN"/>
        </w:rPr>
        <w:t>增加93.50万元，增长39.32%，主要原因是：本年增加自治区财政安排政府性基金项目，资金较上年增长。</w:t>
      </w:r>
      <w:r>
        <w:rPr>
          <w:rFonts w:hint="default" w:ascii="Times New Roman" w:hAnsi="Times New Roman" w:eastAsia="方正仿宋_GBK" w:cs="Times New Roman"/>
          <w:b/>
          <w:sz w:val="32"/>
          <w:szCs w:val="32"/>
          <w:lang w:eastAsia="zh-CN"/>
        </w:rPr>
        <w:t>与年初预算相比，</w:t>
      </w:r>
      <w:r>
        <w:rPr>
          <w:rFonts w:hint="default" w:ascii="Times New Roman" w:hAnsi="Times New Roman" w:eastAsia="方正仿宋_GBK" w:cs="Times New Roman"/>
          <w:sz w:val="32"/>
          <w:szCs w:val="32"/>
          <w:lang w:eastAsia="zh-CN"/>
        </w:rPr>
        <w:t>年初预算数319.23万元，决算数331.27万元，预决算差异率3.77%，主要原因是：按自治区基本医疗保险政策规定，调增单位基准缴费费率，支出增加。</w:t>
      </w:r>
    </w:p>
    <w:p w14:paraId="1F2F2AF0">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五、一般公共预算财政拨款支出决算情况说明</w:t>
      </w:r>
    </w:p>
    <w:p w14:paraId="33089DE1">
      <w:pPr>
        <w:spacing w:after="0" w:line="56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按照党中央、国务院关于党政机关习惯过紧日子的有关要求，厉行节约办一切事业，严控一般性支出。同时坚持有保有压，优化支出结构，提高资金使用效率，合理保障人员工资、单位运转等重点支出，体现在有关支出科目中。</w:t>
      </w:r>
    </w:p>
    <w:p w14:paraId="38DF3724">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按照支出功能分类，文化旅游体育与传媒支出（类）新闻出版电影（款）出版发行（项）的支出占本年财政拨款支出总额的比重最高，2025年度决算数为144.66万元，占比43.67%，主要用于人员工资支出。</w:t>
      </w:r>
    </w:p>
    <w:p w14:paraId="04A579B3">
      <w:pPr>
        <w:spacing w:after="0" w:line="560" w:lineRule="exact"/>
        <w:ind w:firstLine="640" w:firstLineChars="200"/>
        <w:jc w:val="both"/>
        <w:outlineLvl w:val="2"/>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（一）一般公共预算财政拨款支出决算总体情况</w:t>
      </w:r>
    </w:p>
    <w:p w14:paraId="6CE63816">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2025年度一般公共预算财政拨款支出224.27万元，</w:t>
      </w:r>
      <w:r>
        <w:rPr>
          <w:rFonts w:hint="default" w:ascii="Times New Roman" w:hAnsi="Times New Roman" w:eastAsia="方正仿宋_GBK" w:cs="Times New Roman"/>
          <w:sz w:val="32"/>
          <w:szCs w:val="32"/>
          <w:lang w:eastAsia="zh-CN"/>
        </w:rPr>
        <w:t>占本年支出合计的19.36%。</w:t>
      </w:r>
      <w:r>
        <w:rPr>
          <w:rFonts w:hint="default" w:ascii="Times New Roman" w:hAnsi="Times New Roman" w:eastAsia="方正仿宋_GBK" w:cs="Times New Roman"/>
          <w:b/>
          <w:sz w:val="32"/>
          <w:szCs w:val="32"/>
          <w:lang w:eastAsia="zh-CN"/>
        </w:rPr>
        <w:t>与上年相比，</w:t>
      </w:r>
      <w:r>
        <w:rPr>
          <w:rFonts w:hint="default" w:ascii="Times New Roman" w:hAnsi="Times New Roman" w:eastAsia="方正仿宋_GBK" w:cs="Times New Roman"/>
          <w:sz w:val="32"/>
          <w:szCs w:val="32"/>
          <w:lang w:eastAsia="zh-CN"/>
        </w:rPr>
        <w:t>减少13.50万元，下降5.68%，主要原因是：人员减少，支出较上年减少。</w:t>
      </w:r>
      <w:r>
        <w:rPr>
          <w:rFonts w:hint="default" w:ascii="Times New Roman" w:hAnsi="Times New Roman" w:eastAsia="方正仿宋_GBK" w:cs="Times New Roman"/>
          <w:b/>
          <w:sz w:val="32"/>
          <w:szCs w:val="32"/>
          <w:lang w:eastAsia="zh-CN"/>
        </w:rPr>
        <w:t>与年初预算相比，</w:t>
      </w:r>
      <w:r>
        <w:rPr>
          <w:rFonts w:hint="default" w:ascii="Times New Roman" w:hAnsi="Times New Roman" w:eastAsia="方正仿宋_GBK" w:cs="Times New Roman"/>
          <w:sz w:val="32"/>
          <w:szCs w:val="32"/>
          <w:lang w:eastAsia="zh-CN"/>
        </w:rPr>
        <w:t>年初预算数212.23万元，决算数224.27万元，预决算差异率5.67%，主要原因是：按自治区基本医疗保险政策规定，调增单位基准缴费费率，支出增加。</w:t>
      </w:r>
    </w:p>
    <w:p w14:paraId="5C07D2BA">
      <w:pPr>
        <w:spacing w:after="0" w:line="560" w:lineRule="exact"/>
        <w:ind w:firstLine="640" w:firstLineChars="200"/>
        <w:outlineLvl w:val="2"/>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（二）一般公共预算财政拨款支出决算结构情况</w:t>
      </w:r>
    </w:p>
    <w:p w14:paraId="66CCF30B">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1.文化旅游体育与传媒支出（类）144.66万元，占64.50%。</w:t>
      </w:r>
    </w:p>
    <w:p w14:paraId="10971B39">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2.社会保障和就业支出（类）42.43万元，占18.92%。</w:t>
      </w:r>
    </w:p>
    <w:p w14:paraId="1224E20C">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3.卫生健康支出（类）21.56万元，占9.61%。</w:t>
      </w:r>
    </w:p>
    <w:p w14:paraId="0F4289FC">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4.住房保障支出（类）15.62万元，占6.96%。</w:t>
      </w:r>
    </w:p>
    <w:p w14:paraId="36289758">
      <w:pPr>
        <w:spacing w:after="0" w:line="560" w:lineRule="exact"/>
        <w:ind w:firstLine="640" w:firstLineChars="200"/>
        <w:outlineLvl w:val="2"/>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（三）一般公共预算财政拨款支出决算具体情况</w:t>
      </w:r>
    </w:p>
    <w:p w14:paraId="14FE9163">
      <w:pPr>
        <w:spacing w:after="0" w:line="56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1.文化旅游体育与传媒支出（类）新闻出版电影（款）出版发行（项）：支出决算数为144.66万元，比上年决算减少73.09万元，下降33.57%，主要原因是：本单位是财政差额拨款事业单位，2025年按照财政保障比例，分别编列机关事业单位基本养老保险缴费、机关事业单位职业年金缴费、事业单位医疗、公务员医疗补助、住房公积金科目支出，支出较上年减少。</w:t>
      </w:r>
    </w:p>
    <w:p w14:paraId="68DA03AD">
      <w:pPr>
        <w:spacing w:after="0" w:line="56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社会保障和就业支出（类）行政事业单位养老支出（款）事业单位离退休（项）：支出决算数为11.75万元，比上年决算减少8.27万元，下降41.31%，主要原因是事业单位离退休项2025年按照财政保障比例编列，支出较上年减少。</w:t>
      </w:r>
    </w:p>
    <w:p w14:paraId="0372957B">
      <w:pPr>
        <w:spacing w:after="0" w:line="56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3.社会保障和就业支出（类）行政事业单位养老支出（款）机关事业单位基本养老保险缴费支出（项）：支出决算数为20.83万元，比上年决算增加20.83万元，增长100.00%，主要原因是：机关事业单位养老保险缴费2024年在出版发行科目列支，2025年调整至本科目列支，支出较上年增加。</w:t>
      </w:r>
    </w:p>
    <w:p w14:paraId="68B1D407">
      <w:pPr>
        <w:spacing w:after="0" w:line="56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4.社会保障和就业支出（类）行政事业单位养老支出（款）机关事业单位职业年金缴费支出（项）：支出决算数为9.85万元，比上年决算增加9.85万元，增长100.00%，主要原因是：机关事业单位职业年金缴费2024年在出版发行科目列支，2025年调整至本科目列支，支出较上年增加。</w:t>
      </w:r>
    </w:p>
    <w:p w14:paraId="5F238E5D">
      <w:pPr>
        <w:spacing w:after="0" w:line="56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5.卫生健康支出（类）行政事业单位医疗（款）事业单位医疗（项）：支出决算数为12.45万元，比上年决算增加12.45万元，增长100.00%，主要原因是：事业单位医疗2024年在出版发行科目列支，2025年调整至本科目列支，支出较上年增加。</w:t>
      </w:r>
    </w:p>
    <w:p w14:paraId="1EF1CAE6">
      <w:pPr>
        <w:spacing w:after="0" w:line="56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6.卫生健康支出（类）行政事业单位医疗（款）公务员医疗补助（项）：支出决算数为9.12万元，比上年决算增加9.12万元，增长100.00%，主要原因是：公务员医疗补助2024年在出版发行科目列支，2025年调整至本科目列支，支出较上年增加。</w:t>
      </w:r>
    </w:p>
    <w:p w14:paraId="02C83C53">
      <w:pPr>
        <w:spacing w:after="0" w:line="560"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方正仿宋_GBK" w:cs="Times New Roman"/>
          <w:sz w:val="32"/>
          <w:szCs w:val="32"/>
          <w:lang w:eastAsia="zh-CN"/>
        </w:rPr>
        <w:t>7.住房保障支出（类）住房改革支出（款）住房公积金（项）：</w:t>
      </w:r>
      <w:r>
        <w:rPr>
          <w:rFonts w:hint="default" w:ascii="Times New Roman" w:hAnsi="Times New Roman" w:eastAsia="方正仿宋_GBK" w:cs="Times New Roman"/>
          <w:spacing w:val="1"/>
          <w:w w:val="96"/>
          <w:kern w:val="0"/>
          <w:sz w:val="32"/>
          <w:szCs w:val="32"/>
          <w:fitText w:val="8160" w:id="-389898496"/>
          <w:lang w:eastAsia="zh-CN"/>
        </w:rPr>
        <w:t>支出决算数为15.62万元，比上年决算增加15.62万元，增</w:t>
      </w:r>
      <w:r>
        <w:rPr>
          <w:rFonts w:hint="default" w:ascii="Times New Roman" w:hAnsi="Times New Roman" w:eastAsia="方正仿宋_GBK" w:cs="Times New Roman"/>
          <w:spacing w:val="29"/>
          <w:w w:val="96"/>
          <w:kern w:val="0"/>
          <w:sz w:val="32"/>
          <w:szCs w:val="32"/>
          <w:fitText w:val="8160" w:id="-389898496"/>
          <w:lang w:eastAsia="zh-CN"/>
        </w:rPr>
        <w:t>长</w:t>
      </w:r>
      <w:r>
        <w:rPr>
          <w:rFonts w:hint="default" w:ascii="Times New Roman" w:hAnsi="Times New Roman" w:eastAsia="方正仿宋_GBK" w:cs="Times New Roman"/>
          <w:sz w:val="32"/>
          <w:szCs w:val="32"/>
          <w:lang w:eastAsia="zh-CN"/>
        </w:rPr>
        <w:t>100.00%，主要原因是：住房公积金2024年在出版发行科目列支，2025年调整至本科目列支，支出较上年增加。</w:t>
      </w:r>
    </w:p>
    <w:p w14:paraId="316942A6">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六、一般公共预算财政拨款基本支出决算情况说明</w:t>
      </w:r>
    </w:p>
    <w:p w14:paraId="096FAE4A">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2025年度一般公共预算财政拨款基本支出224.27万元，其中：</w:t>
      </w:r>
      <w:r>
        <w:rPr>
          <w:rFonts w:hint="default" w:ascii="Times New Roman" w:hAnsi="Times New Roman" w:eastAsia="方正仿宋_GBK" w:cs="Times New Roman"/>
          <w:b/>
          <w:sz w:val="32"/>
          <w:szCs w:val="32"/>
          <w:lang w:eastAsia="zh-CN"/>
        </w:rPr>
        <w:t>人员经费212.17万元，</w:t>
      </w:r>
      <w:r>
        <w:rPr>
          <w:rFonts w:hint="default" w:ascii="Times New Roman" w:hAnsi="Times New Roman" w:eastAsia="方正仿宋_GBK" w:cs="Times New Roman"/>
          <w:sz w:val="32"/>
          <w:szCs w:val="32"/>
          <w:lang w:eastAsia="zh-CN"/>
        </w:rPr>
        <w:t>包括：基本工资、津贴补贴、奖金、绩效工资、机关事业单位基本养老保险缴费、职业年金缴费、职工基本医疗保险缴费、公务员医疗补助缴费、其他社会保障缴费、住房公积金、其他工资福利支出、退休费和其他对个人和家庭的补助。</w:t>
      </w:r>
    </w:p>
    <w:p w14:paraId="44FAD8FB">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公用经费12.11万元，</w:t>
      </w:r>
      <w:r>
        <w:rPr>
          <w:rFonts w:hint="default" w:ascii="Times New Roman" w:hAnsi="Times New Roman" w:eastAsia="方正仿宋_GBK" w:cs="Times New Roman"/>
          <w:sz w:val="32"/>
          <w:szCs w:val="32"/>
          <w:lang w:eastAsia="zh-CN"/>
        </w:rPr>
        <w:t>包括：办公费、电费、邮电费、取暖费、差旅费、工会经费、福利费、公务用车运行维护费和其他商品和服务支出。</w:t>
      </w:r>
    </w:p>
    <w:p w14:paraId="6A68A4F4">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七、政府性基金预算财政拨款收入支出决算情况说明</w:t>
      </w:r>
    </w:p>
    <w:p w14:paraId="35141A18">
      <w:pPr>
        <w:spacing w:after="0" w:line="56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按照党中央、国务院关于党政机关习惯过紧日子的有关要求，厉行节约办一切事业，严控一般性支出。同时坚持有保有压，优化支出结构，提高资金使用效率，合理保障为老服务公益宣传等重点支出，体现在有关支出科目中。</w:t>
      </w:r>
    </w:p>
    <w:p w14:paraId="70252F69">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2025年度政府性基金预算财政拨款收入总计107.00万元，</w:t>
      </w:r>
      <w:r>
        <w:rPr>
          <w:rFonts w:hint="default" w:ascii="Times New Roman" w:hAnsi="Times New Roman" w:eastAsia="方正仿宋_GBK" w:cs="Times New Roman"/>
          <w:sz w:val="32"/>
          <w:szCs w:val="32"/>
          <w:lang w:eastAsia="zh-CN"/>
        </w:rPr>
        <w:t>其中：年初结转和结余0.00万元，本年收入107.00万元。</w:t>
      </w:r>
      <w:r>
        <w:rPr>
          <w:rFonts w:hint="default" w:ascii="Times New Roman" w:hAnsi="Times New Roman" w:eastAsia="方正仿宋_GBK" w:cs="Times New Roman"/>
          <w:b/>
          <w:sz w:val="32"/>
          <w:szCs w:val="32"/>
          <w:lang w:eastAsia="zh-CN"/>
        </w:rPr>
        <w:t>政府性基金预算财政拨款支出总计107.00万元，</w:t>
      </w:r>
      <w:r>
        <w:rPr>
          <w:rFonts w:hint="default" w:ascii="Times New Roman" w:hAnsi="Times New Roman" w:eastAsia="方正仿宋_GBK" w:cs="Times New Roman"/>
          <w:sz w:val="32"/>
          <w:szCs w:val="32"/>
          <w:lang w:eastAsia="zh-CN"/>
        </w:rPr>
        <w:t>其中：年末结转和结余0.00万元，本年支出107.00万元。</w:t>
      </w:r>
    </w:p>
    <w:p w14:paraId="29DB6A9D">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政府性基金预算财政拨款收入支出总体与上年相比，</w:t>
      </w:r>
      <w:r>
        <w:rPr>
          <w:rFonts w:hint="default" w:ascii="Times New Roman" w:hAnsi="Times New Roman" w:eastAsia="方正仿宋_GBK" w:cs="Times New Roman"/>
          <w:sz w:val="32"/>
          <w:szCs w:val="32"/>
          <w:lang w:eastAsia="zh-CN"/>
        </w:rPr>
        <w:t>增加107.00万元，增长100%，主要原因是：本年增加自治区财政安排政府性基金项目，资金较上年增长。与年初预算相比，年初预算数107.00万元，决算数107.00万元，预决算差异率0.00%，主要原因是：严格按照预算执行，预决算无差异。</w:t>
      </w:r>
    </w:p>
    <w:p w14:paraId="59B113F1">
      <w:pPr>
        <w:spacing w:after="0" w:line="560" w:lineRule="exact"/>
        <w:ind w:firstLine="643" w:firstLineChars="200"/>
        <w:jc w:val="both"/>
        <w:rPr>
          <w:rFonts w:hint="default" w:ascii="Times New Roman" w:hAnsi="Times New Roman" w:eastAsia="方正仿宋_GBK" w:cs="Times New Roman"/>
          <w:b/>
          <w:sz w:val="32"/>
          <w:szCs w:val="32"/>
          <w:lang w:eastAsia="zh-CN"/>
        </w:rPr>
      </w:pPr>
      <w:r>
        <w:rPr>
          <w:rFonts w:hint="default" w:ascii="Times New Roman" w:hAnsi="Times New Roman" w:eastAsia="方正仿宋_GBK" w:cs="Times New Roman"/>
          <w:b/>
          <w:sz w:val="32"/>
          <w:szCs w:val="32"/>
          <w:lang w:eastAsia="zh-CN"/>
        </w:rPr>
        <w:t>政府性基金预算财政拨款本年支出107.00万元。具体情况如下：</w:t>
      </w:r>
    </w:p>
    <w:p w14:paraId="72DE58CE">
      <w:pPr>
        <w:spacing w:after="0" w:line="560"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方正仿宋_GBK" w:cs="Times New Roman"/>
          <w:sz w:val="32"/>
          <w:szCs w:val="32"/>
          <w:lang w:eastAsia="zh-CN"/>
        </w:rPr>
        <w:t>1、其他支出（类）彩票公益金安排的支出（款）用于社会福利的彩票公益金支出（项）：支出决算数为107.00万元，比上年决算增加107.00万元，增长100.00%，主要原因是：本年增加自治区财政安排政府性基金项目，资金较上年增长。</w:t>
      </w:r>
    </w:p>
    <w:p w14:paraId="6633F8A2">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八、国有资本经营预算财政拨款收入支出决算情况说明</w:t>
      </w:r>
    </w:p>
    <w:p w14:paraId="1E58CB34">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本单位本年度无国有资本经营预算财政拨款收入、支出及结转和结余，国有资本经营预算财政拨款收入支出决算表为空表。</w:t>
      </w:r>
    </w:p>
    <w:p w14:paraId="13356AE3">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九、财政拨款“三公”经费支出决算情况说明</w:t>
      </w:r>
    </w:p>
    <w:p w14:paraId="567C88B0">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2025年度财政拨款“三公”经费支出1.14万元，</w:t>
      </w:r>
      <w:r>
        <w:rPr>
          <w:rFonts w:hint="default" w:ascii="Times New Roman" w:hAnsi="Times New Roman" w:eastAsia="方正仿宋_GBK" w:cs="Times New Roman"/>
          <w:sz w:val="32"/>
          <w:szCs w:val="32"/>
          <w:lang w:eastAsia="zh-CN"/>
        </w:rPr>
        <w:t>比上年增加1.14万元，增长100%，主要原因是：“三公经费”2024年在出版发行科目列支，2025年调整至本科目列支，支出较上年增加。其中：因公出国（境）费用支出0.00万元,占0.00%，与上年相比无变化，主要原因是：本单位本年无因公出国（境）支出；公务用车购置及运行维护费支出1.14万元，占100.00%，比上年增加1.14万元，增长100%，主要原因是：公务用车购置及运行维护费2024年在出版发行科目列支，2025年调整至本科目列支，支出较上年增加。公务接待费支出0.00万元，占0.00%，与上年相比无变化，主要原因是：本单位本年无公务接待支出。</w:t>
      </w:r>
    </w:p>
    <w:p w14:paraId="2F4B3544">
      <w:pPr>
        <w:spacing w:after="0" w:line="560" w:lineRule="exact"/>
        <w:ind w:firstLine="643" w:firstLineChars="200"/>
        <w:rPr>
          <w:rFonts w:hint="default" w:ascii="Times New Roman" w:hAnsi="Times New Roman" w:eastAsia="方正仿宋_GBK" w:cs="Times New Roman"/>
          <w:b/>
          <w:sz w:val="32"/>
          <w:szCs w:val="32"/>
          <w:lang w:eastAsia="zh-CN"/>
        </w:rPr>
      </w:pPr>
      <w:r>
        <w:rPr>
          <w:rFonts w:hint="default" w:ascii="Times New Roman" w:hAnsi="Times New Roman" w:eastAsia="方正仿宋_GBK" w:cs="Times New Roman"/>
          <w:b/>
          <w:sz w:val="32"/>
          <w:szCs w:val="32"/>
          <w:lang w:eastAsia="zh-CN"/>
        </w:rPr>
        <w:t>具体情况如下：</w:t>
      </w:r>
    </w:p>
    <w:p w14:paraId="7E3E728D">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因公出国（境）费用0.00万元，开支内容包括本单位无因公出国（境）费用。单位全年安排的因公出国（境）团组0个，因公出国（境）0人次。</w:t>
      </w:r>
    </w:p>
    <w:p w14:paraId="6BF370E1">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公务用车购置及运行维护费1.14万元，其中：公务用车购置费0.00万元，公务用车运行维护费1.14万元。公务用车运行维护费开支内容包括公务用车保险费，油料费。公务用车购置数0辆，公务用车保有量1辆。国有资产占用情况中固定资产车辆2辆，与公务用车保有量差异原因是：核减编制1辆，待报废。</w:t>
      </w:r>
    </w:p>
    <w:p w14:paraId="223D515F">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公务接待费0.00万元，开支内容包括本单位无公务接待费。单位全年安排的国内公务接待0批次，0人次。</w:t>
      </w:r>
    </w:p>
    <w:p w14:paraId="37170BFC">
      <w:pPr>
        <w:spacing w:after="0" w:line="560" w:lineRule="exact"/>
        <w:ind w:firstLine="643"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b/>
          <w:sz w:val="32"/>
          <w:szCs w:val="32"/>
          <w:lang w:eastAsia="zh-CN"/>
        </w:rPr>
        <w:t>与全年预算相比，</w:t>
      </w:r>
      <w:r>
        <w:rPr>
          <w:rFonts w:hint="default" w:ascii="Times New Roman" w:hAnsi="Times New Roman" w:eastAsia="方正仿宋_GBK" w:cs="Times New Roman"/>
          <w:sz w:val="32"/>
          <w:szCs w:val="32"/>
          <w:lang w:eastAsia="zh-CN"/>
        </w:rPr>
        <w:t>财政拨款“三公”经费支出全年预算数1.14万元，决算数1.14万元，预决算差异率0.00%，主要原因是：严格公务用车管理，严格按照预算执行，预决算无差异。其中：因公出国（境）费用全年预算数0.00万元，决算数0.00万元，预决算差异率0.00%，主要原因是：本单位无因公出国（境）支出；公务用车购置费全年预算数0.00万元，决算数0.00万元，预决算差异率0.00%，主要原因是：本单位无公务用车购置支出；公务用车运行维护费全年预算数1.14万元，决算数1.14万元，预决算差异率0.00%，主要原因是：严格公务用车管理，严格按照预算执行，预决算无差异；公务接待费全年预算数0.00万元，决算数0.00万元，预决算差异率0.00%，主要原因是：本单位本年无公务接待支出。</w:t>
      </w:r>
    </w:p>
    <w:p w14:paraId="6586D39B">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十、其他重要事项的情况说明</w:t>
      </w:r>
    </w:p>
    <w:p w14:paraId="0FAF147D">
      <w:pPr>
        <w:spacing w:after="0" w:line="560" w:lineRule="exact"/>
        <w:ind w:firstLine="643" w:firstLineChars="200"/>
        <w:outlineLvl w:val="2"/>
        <w:rPr>
          <w:rFonts w:hint="default" w:ascii="Times New Roman" w:hAnsi="Times New Roman" w:eastAsia="方正楷体_GBK" w:cs="Times New Roman"/>
          <w:b/>
          <w:sz w:val="32"/>
          <w:szCs w:val="32"/>
          <w:lang w:eastAsia="zh-CN"/>
        </w:rPr>
      </w:pPr>
      <w:r>
        <w:rPr>
          <w:rFonts w:hint="default" w:ascii="Times New Roman" w:hAnsi="Times New Roman" w:eastAsia="方正楷体_GBK" w:cs="Times New Roman"/>
          <w:b/>
          <w:sz w:val="32"/>
          <w:szCs w:val="32"/>
          <w:lang w:eastAsia="zh-CN"/>
        </w:rPr>
        <w:t>（一）机关运行经费及公用经费支出情况</w:t>
      </w:r>
    </w:p>
    <w:p w14:paraId="50FE588D">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2025年度新疆维吾尔自治区老年康乐报社（事业单位）公用经费支出12.11万元，比上年减少4.69万元，下降27.92%，主要原因是：电费、邮电费、差旅费减少，支出较上年减少。</w:t>
      </w:r>
    </w:p>
    <w:p w14:paraId="2A0CD3DD">
      <w:pPr>
        <w:spacing w:after="0" w:line="560" w:lineRule="exact"/>
        <w:ind w:firstLine="643" w:firstLineChars="200"/>
        <w:outlineLvl w:val="2"/>
        <w:rPr>
          <w:rFonts w:hint="default" w:ascii="Times New Roman" w:hAnsi="Times New Roman" w:eastAsia="方正楷体_GBK" w:cs="Times New Roman"/>
          <w:b/>
          <w:sz w:val="32"/>
          <w:szCs w:val="32"/>
          <w:lang w:eastAsia="zh-CN"/>
        </w:rPr>
      </w:pPr>
      <w:r>
        <w:rPr>
          <w:rFonts w:hint="default" w:ascii="Times New Roman" w:hAnsi="Times New Roman" w:eastAsia="方正楷体_GBK" w:cs="Times New Roman"/>
          <w:b/>
          <w:sz w:val="32"/>
          <w:szCs w:val="32"/>
          <w:lang w:eastAsia="zh-CN"/>
        </w:rPr>
        <w:t>（二）政府采购情况</w:t>
      </w:r>
    </w:p>
    <w:p w14:paraId="042216ED">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2025年度政府采购支出总额214.51万元，其中：政府采购货物支出13.06万元、政府采购工程支出0.00万元、政府采购服务支出201.45万元。</w:t>
      </w:r>
    </w:p>
    <w:p w14:paraId="59E7A119">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授予中小企业合同金额203.73万元，占政府采购支出总额的94.97%，其中：授予小微企业合同金额193.93万元，占政府采购支出总额的90.41%。</w:t>
      </w:r>
    </w:p>
    <w:p w14:paraId="1BA8AD95">
      <w:pPr>
        <w:spacing w:after="0" w:line="560" w:lineRule="exact"/>
        <w:ind w:firstLine="643" w:firstLineChars="200"/>
        <w:outlineLvl w:val="2"/>
        <w:rPr>
          <w:rFonts w:hint="default" w:ascii="Times New Roman" w:hAnsi="Times New Roman" w:eastAsia="方正楷体_GBK" w:cs="Times New Roman"/>
          <w:b/>
          <w:sz w:val="32"/>
          <w:szCs w:val="32"/>
          <w:lang w:eastAsia="zh-CN"/>
        </w:rPr>
      </w:pPr>
      <w:r>
        <w:rPr>
          <w:rFonts w:hint="default" w:ascii="Times New Roman" w:hAnsi="Times New Roman" w:eastAsia="方正楷体_GBK" w:cs="Times New Roman"/>
          <w:b/>
          <w:sz w:val="32"/>
          <w:szCs w:val="32"/>
          <w:lang w:eastAsia="zh-CN"/>
        </w:rPr>
        <w:t>（三）国有资产占用情况说明</w:t>
      </w:r>
    </w:p>
    <w:p w14:paraId="1825616D">
      <w:pPr>
        <w:spacing w:after="0" w:line="560" w:lineRule="exact"/>
        <w:ind w:firstLine="640" w:firstLineChars="200"/>
        <w:jc w:val="both"/>
        <w:rPr>
          <w:rFonts w:hint="default" w:ascii="Times New Roman" w:hAnsi="Times New Roman" w:eastAsia="仿宋_GB2312" w:cs="Times New Roman"/>
          <w:sz w:val="32"/>
          <w:szCs w:val="32"/>
          <w:lang w:eastAsia="zh-CN"/>
        </w:rPr>
      </w:pPr>
      <w:r>
        <w:rPr>
          <w:rFonts w:hint="default" w:ascii="Times New Roman" w:hAnsi="Times New Roman" w:eastAsia="方正仿宋_GBK" w:cs="Times New Roman"/>
          <w:sz w:val="32"/>
          <w:szCs w:val="32"/>
        </w:rPr>
        <w:t>截至2025年12月31日，房屋71.37平方米，价值27.09万元。</w:t>
      </w:r>
      <w:r>
        <w:rPr>
          <w:rFonts w:hint="default" w:ascii="Times New Roman" w:hAnsi="Times New Roman" w:eastAsia="方正仿宋_GBK" w:cs="Times New Roman"/>
          <w:sz w:val="32"/>
          <w:szCs w:val="32"/>
          <w:lang w:eastAsia="zh-CN"/>
        </w:rPr>
        <w:t>车辆2辆，价值45.34万元，其中：副部（省）级及以上领导用车0辆、主要负责人用车0辆、机要通信用车0辆、应急保障用车0辆、执法执勤用车0辆、特种专业技术用车0辆、离退休干部服务用车0辆、其他用车2辆，其他用车主要是：单位业务用车;单价100万元（含）以上设备（不含车辆）0台（套）。</w:t>
      </w:r>
    </w:p>
    <w:p w14:paraId="7B8E4CAB">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十一、预算绩效的情况说明</w:t>
      </w:r>
    </w:p>
    <w:p w14:paraId="04477904">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根据预算绩效管理要求，本单位2025年度预算绩效评价项目2个，全年预算数767.00万元，全年执行数767.00万元。预算绩效管理取得的成效：一是本年度项目正常开展，项目完成情况良好；二是报纸出版发行取得较好社会效益。发现的问题及原因：一是单位绩效管理体系不完善；二是部分项目绩效目标设置不够科学。下一步改进措施：一是完善绩效评价体系，加强监督检查和考核工作。进一步探索完善项目绩效评价指标体系，加强对绩效管理工作的跟踪督查，实现绩效管理的规范化、常态化；二是推动相关制度建设，逐步建立以绩效为导向的预算编制模式。从项目绩效评价制度入手，借鉴其他单位在绩效管理方面的经验和做法，制定单位统一的绩效考评制度，并将其贯彻到预算申请、预算分配、项目实施和绩效考评的全过程。把绩效考评的结果作为编制部门预算的重要依据，建立绩效预算激励机制。具体附项目支出绩效自评表。</w:t>
      </w:r>
    </w:p>
    <w:p w14:paraId="0A6B305F">
      <w:pPr>
        <w:spacing w:after="0" w:line="560" w:lineRule="exact"/>
        <w:ind w:firstLine="640" w:firstLineChars="200"/>
        <w:outlineLvl w:val="1"/>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十二、其他需说明的事项</w:t>
      </w:r>
    </w:p>
    <w:p w14:paraId="63CEC5E5">
      <w:pPr>
        <w:spacing w:after="0" w:line="560" w:lineRule="exact"/>
        <w:ind w:firstLine="640" w:firstLineChars="200"/>
        <w:jc w:val="both"/>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我单位1个项目无单独绩效自评表，</w:t>
      </w:r>
      <w:r>
        <w:rPr>
          <w:rFonts w:hint="eastAsia" w:ascii="Times New Roman" w:hAnsi="Times New Roman" w:eastAsia="方正仿宋_GBK" w:cs="Times New Roman"/>
          <w:sz w:val="32"/>
          <w:szCs w:val="32"/>
          <w:lang w:eastAsia="zh-CN"/>
        </w:rPr>
        <w:t>涉及全年</w:t>
      </w:r>
      <w:r>
        <w:rPr>
          <w:rFonts w:hint="default" w:ascii="Times New Roman" w:hAnsi="Times New Roman" w:eastAsia="方正仿宋_GBK" w:cs="Times New Roman"/>
          <w:sz w:val="32"/>
          <w:szCs w:val="32"/>
          <w:lang w:eastAsia="zh-CN"/>
        </w:rPr>
        <w:t>预算</w:t>
      </w:r>
      <w:r>
        <w:rPr>
          <w:rFonts w:hint="eastAsia" w:ascii="Times New Roman" w:hAnsi="Times New Roman" w:eastAsia="方正仿宋_GBK" w:cs="Times New Roman"/>
          <w:sz w:val="32"/>
          <w:szCs w:val="32"/>
          <w:lang w:eastAsia="zh-CN"/>
        </w:rPr>
        <w:t>数</w:t>
      </w:r>
      <w:r>
        <w:rPr>
          <w:rFonts w:hint="default" w:ascii="Times New Roman" w:hAnsi="Times New Roman" w:eastAsia="方正仿宋_GBK" w:cs="Times New Roman"/>
          <w:sz w:val="32"/>
          <w:szCs w:val="32"/>
          <w:lang w:eastAsia="zh-CN"/>
        </w:rPr>
        <w:t>107万元，全年执行数107万元。</w:t>
      </w:r>
    </w:p>
    <w:p w14:paraId="3831714D">
      <w:pPr>
        <w:spacing w:after="0" w:line="560" w:lineRule="exact"/>
        <w:ind w:firstLine="640" w:firstLineChars="200"/>
        <w:rPr>
          <w:rFonts w:ascii="Times New Roman" w:hAnsi="Times New Roman" w:eastAsia="仿宋_GB2312" w:cs="Times New Roman"/>
          <w:sz w:val="32"/>
          <w:szCs w:val="32"/>
          <w:lang w:eastAsia="zh-CN"/>
        </w:rPr>
      </w:pPr>
    </w:p>
    <w:p w14:paraId="3AB7E8A4">
      <w:pPr>
        <w:spacing w:line="560" w:lineRule="exact"/>
        <w:rPr>
          <w:rFonts w:ascii="Times New Roman" w:hAnsi="Times New Roman" w:cs="Times New Roman"/>
          <w:lang w:eastAsia="zh-CN"/>
        </w:rPr>
      </w:pPr>
      <w:r>
        <w:rPr>
          <w:rFonts w:ascii="Times New Roman" w:hAnsi="Times New Roman" w:cs="Times New Roman"/>
          <w:sz w:val="0"/>
          <w:szCs w:val="0"/>
          <w:lang w:eastAsia="zh-CN"/>
        </w:rPr>
        <w:br w:type="page"/>
      </w:r>
    </w:p>
    <w:p w14:paraId="75CC7469">
      <w:pPr>
        <w:numPr>
          <w:ilvl w:val="0"/>
          <w:numId w:val="1"/>
        </w:numPr>
        <w:spacing w:after="0" w:line="560" w:lineRule="exact"/>
        <w:ind w:left="0" w:leftChars="0" w:firstLine="0" w:firstLineChars="0"/>
        <w:jc w:val="center"/>
        <w:outlineLvl w:val="0"/>
        <w:rPr>
          <w:rFonts w:hint="eastAsia" w:ascii="方正小标宋简体" w:hAnsi="Times New Roman" w:eastAsia="方正小标宋简体" w:cs="Times New Roman"/>
          <w:sz w:val="44"/>
          <w:szCs w:val="44"/>
          <w:lang w:eastAsia="zh-CN"/>
        </w:rPr>
      </w:pPr>
      <w:r>
        <w:rPr>
          <w:rFonts w:hint="eastAsia" w:ascii="方正小标宋简体" w:hAnsi="Times New Roman" w:eastAsia="方正小标宋简体" w:cs="Times New Roman"/>
          <w:sz w:val="44"/>
          <w:szCs w:val="44"/>
          <w:lang w:eastAsia="zh-CN"/>
        </w:rPr>
        <w:t>专业名词解释</w:t>
      </w:r>
    </w:p>
    <w:p w14:paraId="626E6820">
      <w:pPr>
        <w:numPr>
          <w:ilvl w:val="0"/>
          <w:numId w:val="0"/>
        </w:numPr>
        <w:spacing w:after="0" w:line="560" w:lineRule="exact"/>
        <w:ind w:leftChars="0"/>
        <w:jc w:val="both"/>
        <w:outlineLvl w:val="0"/>
        <w:rPr>
          <w:rFonts w:hint="eastAsia" w:ascii="黑体" w:hAnsi="黑体" w:eastAsia="黑体" w:cs="黑体"/>
          <w:sz w:val="44"/>
          <w:szCs w:val="44"/>
          <w:lang w:eastAsia="zh-CN"/>
        </w:rPr>
      </w:pPr>
    </w:p>
    <w:p w14:paraId="68F26E1E">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一、财政拨款收入：</w:t>
      </w:r>
      <w:r>
        <w:rPr>
          <w:rFonts w:hint="eastAsia" w:ascii="方正仿宋_GBK" w:hAnsi="方正仿宋_GBK" w:eastAsia="方正仿宋_GBK" w:cs="方正仿宋_GBK"/>
          <w:sz w:val="32"/>
          <w:szCs w:val="32"/>
          <w:lang w:eastAsia="zh-CN"/>
        </w:rPr>
        <w:t>指单位本年度从同级财政部门取得的财政拨款，包括一般公共预算财政拨款、政府性基金预算财政拨款和国有资本经营预算财政拨款。</w:t>
      </w:r>
    </w:p>
    <w:p w14:paraId="60EE935E">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二、上级补助收入：</w:t>
      </w:r>
      <w:r>
        <w:rPr>
          <w:rFonts w:hint="eastAsia" w:ascii="方正仿宋_GBK" w:hAnsi="方正仿宋_GBK" w:eastAsia="方正仿宋_GBK" w:cs="方正仿宋_GBK"/>
          <w:sz w:val="32"/>
          <w:szCs w:val="32"/>
          <w:lang w:eastAsia="zh-CN"/>
        </w:rPr>
        <w:t>指事业单位从主管部门和上级单位取得的非财政补助收入。</w:t>
      </w:r>
    </w:p>
    <w:p w14:paraId="7A21265A">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三、事业收入：</w:t>
      </w:r>
      <w:r>
        <w:rPr>
          <w:rFonts w:hint="eastAsia" w:ascii="方正仿宋_GBK" w:hAnsi="方正仿宋_GBK" w:eastAsia="方正仿宋_GBK" w:cs="方正仿宋_GBK"/>
          <w:sz w:val="32"/>
          <w:szCs w:val="32"/>
          <w:lang w:eastAsia="zh-CN"/>
        </w:rPr>
        <w:t>指事业单位开展专业业务活动及其辅助活动取得的收入。</w:t>
      </w:r>
    </w:p>
    <w:p w14:paraId="6B769024">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四、经营收入：</w:t>
      </w:r>
      <w:r>
        <w:rPr>
          <w:rFonts w:hint="eastAsia" w:ascii="方正仿宋_GBK" w:hAnsi="方正仿宋_GBK" w:eastAsia="方正仿宋_GBK" w:cs="方正仿宋_GBK"/>
          <w:sz w:val="32"/>
          <w:szCs w:val="32"/>
          <w:lang w:eastAsia="zh-CN"/>
        </w:rPr>
        <w:t>指事业单位在专业业务活动及其辅助活动之外开展非独立核算经营活动取得的收入。</w:t>
      </w:r>
    </w:p>
    <w:p w14:paraId="023F51DD">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五、附属单位上缴收入：</w:t>
      </w:r>
      <w:r>
        <w:rPr>
          <w:rFonts w:hint="eastAsia" w:ascii="方正仿宋_GBK" w:hAnsi="方正仿宋_GBK" w:eastAsia="方正仿宋_GBK" w:cs="方正仿宋_GBK"/>
          <w:sz w:val="32"/>
          <w:szCs w:val="32"/>
          <w:lang w:eastAsia="zh-CN"/>
        </w:rPr>
        <w:t>指事业单位附属独立核算单位按照有关规定上缴的收入。</w:t>
      </w:r>
    </w:p>
    <w:p w14:paraId="60B4A13F">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六、其他收入：</w:t>
      </w:r>
      <w:r>
        <w:rPr>
          <w:rFonts w:hint="eastAsia" w:ascii="方正仿宋_GBK" w:hAnsi="方正仿宋_GBK" w:eastAsia="方正仿宋_GBK" w:cs="方正仿宋_GBK"/>
          <w:sz w:val="32"/>
          <w:szCs w:val="32"/>
          <w:lang w:eastAsia="zh-CN"/>
        </w:rPr>
        <w:t>指单位取得的除上述“财政拨款收入”“上级补助收入”“事业收入”“经营收入”“附属单位上缴收入”以外的各项收入。</w:t>
      </w:r>
    </w:p>
    <w:p w14:paraId="6B50F518">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七、年初结转和结余：</w:t>
      </w:r>
      <w:r>
        <w:rPr>
          <w:rFonts w:hint="eastAsia" w:ascii="方正仿宋_GBK" w:hAnsi="方正仿宋_GBK" w:eastAsia="方正仿宋_GBK" w:cs="方正仿宋_GBK"/>
          <w:sz w:val="32"/>
          <w:szCs w:val="32"/>
          <w:lang w:eastAsia="zh-CN"/>
        </w:rPr>
        <w:t>指单位上年结转本年使用的基本支出结转、项目支出结转和结余、经营结余。</w:t>
      </w:r>
    </w:p>
    <w:p w14:paraId="4B3A2D05">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八、使用非财政拨款结余（含专用结余）：</w:t>
      </w:r>
      <w:r>
        <w:rPr>
          <w:rFonts w:hint="eastAsia" w:ascii="方正仿宋_GBK" w:hAnsi="方正仿宋_GBK" w:eastAsia="方正仿宋_GBK" w:cs="方正仿宋_GBK"/>
          <w:sz w:val="32"/>
          <w:szCs w:val="32"/>
          <w:lang w:eastAsia="zh-CN"/>
        </w:rPr>
        <w:t>指单位按照预算管理要求使用非财政拨款结余弥补收支差额的金额，以及使用专用结余安排支出的金额。</w:t>
      </w:r>
    </w:p>
    <w:p w14:paraId="41595EF9">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九、结余分配：</w:t>
      </w:r>
      <w:r>
        <w:rPr>
          <w:rFonts w:hint="eastAsia" w:ascii="方正仿宋_GBK" w:hAnsi="方正仿宋_GBK" w:eastAsia="方正仿宋_GBK" w:cs="方正仿宋_GBK"/>
          <w:sz w:val="32"/>
          <w:szCs w:val="32"/>
          <w:lang w:eastAsia="zh-CN"/>
        </w:rPr>
        <w:t>指单位缴纳企业所得税以及从非财政拨款结余或经营结余中提取各类结余的情况。</w:t>
      </w:r>
    </w:p>
    <w:p w14:paraId="2B14411D">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十、年末结转和结余：</w:t>
      </w:r>
      <w:r>
        <w:rPr>
          <w:rFonts w:hint="eastAsia" w:ascii="方正仿宋_GBK" w:hAnsi="方正仿宋_GBK" w:eastAsia="方正仿宋_GBK" w:cs="方正仿宋_GBK"/>
          <w:sz w:val="32"/>
          <w:szCs w:val="32"/>
          <w:lang w:eastAsia="zh-CN"/>
        </w:rPr>
        <w:t>指单位结转下年的基本支出结转、项目支出结转和结余、经营结余。</w:t>
      </w:r>
    </w:p>
    <w:p w14:paraId="14E8F45C">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十一、基本支出：</w:t>
      </w:r>
      <w:r>
        <w:rPr>
          <w:rFonts w:hint="eastAsia" w:ascii="方正仿宋_GBK" w:hAnsi="方正仿宋_GBK" w:eastAsia="方正仿宋_GBK" w:cs="方正仿宋_GBK"/>
          <w:sz w:val="32"/>
          <w:szCs w:val="32"/>
          <w:lang w:eastAsia="zh-CN"/>
        </w:rPr>
        <w:t>指单位为保障机构正常运转、完成日常工作任务而发生的各项支出。</w:t>
      </w:r>
    </w:p>
    <w:p w14:paraId="3501B94F">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十二、项目支出：</w:t>
      </w:r>
      <w:r>
        <w:rPr>
          <w:rFonts w:hint="eastAsia" w:ascii="方正仿宋_GBK" w:hAnsi="方正仿宋_GBK" w:eastAsia="方正仿宋_GBK" w:cs="方正仿宋_GBK"/>
          <w:sz w:val="32"/>
          <w:szCs w:val="32"/>
          <w:lang w:eastAsia="zh-CN"/>
        </w:rPr>
        <w:t>指单位为完成特定的行政工作任务或事业发展目标，在基本支出之外发生的各项支出。</w:t>
      </w:r>
    </w:p>
    <w:p w14:paraId="01CB59A1">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十三、上缴上级支出：</w:t>
      </w:r>
      <w:r>
        <w:rPr>
          <w:rFonts w:hint="eastAsia" w:ascii="方正仿宋_GBK" w:hAnsi="方正仿宋_GBK" w:eastAsia="方正仿宋_GBK" w:cs="方正仿宋_GBK"/>
          <w:sz w:val="32"/>
          <w:szCs w:val="32"/>
          <w:lang w:eastAsia="zh-CN"/>
        </w:rPr>
        <w:t>指事业单位按照财政部门和主管部门的规定上缴上级单位的支出。</w:t>
      </w:r>
    </w:p>
    <w:p w14:paraId="015DC452">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十四、经营支出：</w:t>
      </w:r>
      <w:r>
        <w:rPr>
          <w:rFonts w:hint="eastAsia" w:ascii="方正仿宋_GBK" w:hAnsi="方正仿宋_GBK" w:eastAsia="方正仿宋_GBK" w:cs="方正仿宋_GBK"/>
          <w:sz w:val="32"/>
          <w:szCs w:val="32"/>
          <w:lang w:eastAsia="zh-CN"/>
        </w:rPr>
        <w:t>指事业单位在专业活动及辅助活动之外开展非独立核算经营活动发生的支出。</w:t>
      </w:r>
    </w:p>
    <w:p w14:paraId="655EA932">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十五、对附属单位补助支出：</w:t>
      </w:r>
      <w:r>
        <w:rPr>
          <w:rFonts w:hint="eastAsia" w:ascii="方正仿宋_GBK" w:hAnsi="方正仿宋_GBK" w:eastAsia="方正仿宋_GBK" w:cs="方正仿宋_GBK"/>
          <w:sz w:val="32"/>
          <w:szCs w:val="32"/>
          <w:lang w:eastAsia="zh-CN"/>
        </w:rPr>
        <w:t>指事业单位用财政补助收入之外的收入对附属单位补助发生的支出。</w:t>
      </w:r>
    </w:p>
    <w:p w14:paraId="73EB9FDD">
      <w:pPr>
        <w:spacing w:after="0" w:line="560" w:lineRule="exact"/>
        <w:ind w:firstLine="640" w:firstLineChars="200"/>
        <w:jc w:val="both"/>
        <w:rPr>
          <w:rFonts w:hint="eastAsia" w:ascii="方正仿宋_GBK" w:hAnsi="方正仿宋_GBK" w:eastAsia="方正仿宋_GBK" w:cs="方正仿宋_GBK"/>
          <w:sz w:val="32"/>
          <w:szCs w:val="32"/>
          <w:lang w:eastAsia="zh-CN"/>
        </w:rPr>
      </w:pPr>
      <w:r>
        <w:rPr>
          <w:rFonts w:hint="eastAsia" w:ascii="黑体" w:hAnsi="黑体" w:eastAsia="黑体" w:cs="黑体"/>
          <w:b w:val="0"/>
          <w:bCs/>
          <w:sz w:val="32"/>
          <w:szCs w:val="32"/>
          <w:lang w:eastAsia="zh-CN"/>
        </w:rPr>
        <w:t>十六、“三公”经费：</w:t>
      </w:r>
      <w:r>
        <w:rPr>
          <w:rFonts w:hint="eastAsia" w:ascii="方正仿宋_GBK" w:hAnsi="方正仿宋_GBK" w:eastAsia="方正仿宋_GBK" w:cs="方正仿宋_GBK"/>
          <w:sz w:val="32"/>
          <w:szCs w:val="32"/>
          <w:lang w:eastAsia="zh-CN"/>
        </w:rPr>
        <w:t>指单位使用财政拨款安排的因公出国（境）费用、公务用车购置及运行维护费和公务接待费。其中，因公出国（境）费用反映单位公务出国（境）的国际旅费、国外城市间交通费、住宿费、伙食费、培训费、公杂费等支出；公务用车购置费反映公务用车购置支出（含车辆购置税、牌照费）；公务用车运行维护费反映单位按规定保留的公务用车燃料费、新能源汽车充电费、维修费、过路过桥费、保险费、安全奖励费用等支出；公务接待费反映单位按规定开支的各类公务接待（含外宾接待）费用。</w:t>
      </w:r>
    </w:p>
    <w:p w14:paraId="2104A1CC">
      <w:pPr>
        <w:spacing w:after="0" w:line="560" w:lineRule="exact"/>
        <w:ind w:firstLine="640" w:firstLineChars="200"/>
        <w:jc w:val="both"/>
        <w:rPr>
          <w:rFonts w:ascii="Times New Roman" w:hAnsi="Times New Roman" w:eastAsia="仿宋_GB2312" w:cs="Times New Roman"/>
          <w:sz w:val="32"/>
          <w:szCs w:val="32"/>
          <w:lang w:eastAsia="zh-CN"/>
        </w:rPr>
      </w:pPr>
      <w:r>
        <w:rPr>
          <w:rFonts w:hint="eastAsia" w:ascii="黑体" w:hAnsi="黑体" w:eastAsia="黑体" w:cs="黑体"/>
          <w:b w:val="0"/>
          <w:bCs/>
          <w:sz w:val="32"/>
          <w:szCs w:val="32"/>
          <w:lang w:eastAsia="zh-CN"/>
        </w:rPr>
        <w:t>十七、机关运行经费：</w:t>
      </w:r>
      <w:bookmarkStart w:id="0" w:name="_GoBack"/>
      <w:r>
        <w:rPr>
          <w:rFonts w:hint="eastAsia" w:ascii="方正仿宋_GBK" w:hAnsi="方正仿宋_GBK" w:eastAsia="方正仿宋_GBK" w:cs="方正仿宋_GBK"/>
          <w:sz w:val="32"/>
          <w:szCs w:val="32"/>
          <w:lang w:eastAsia="zh-CN"/>
        </w:rPr>
        <w:t>指行政单位和参照公务员法管理的事业单位财政拨款基本支出中的公用经费支出。</w:t>
      </w:r>
      <w:bookmarkEnd w:id="0"/>
    </w:p>
    <w:p w14:paraId="087BB7D8">
      <w:pPr>
        <w:spacing w:line="560" w:lineRule="exact"/>
        <w:jc w:val="center"/>
        <w:rPr>
          <w:rFonts w:ascii="方正小标宋简体" w:hAnsi="Times New Roman" w:eastAsia="方正小标宋简体" w:cs="Times New Roman"/>
          <w:sz w:val="44"/>
          <w:szCs w:val="44"/>
          <w:lang w:eastAsia="zh-CN"/>
        </w:rPr>
      </w:pPr>
      <w:r>
        <w:rPr>
          <w:rFonts w:ascii="Times New Roman" w:hAnsi="Times New Roman" w:cs="Times New Roman"/>
          <w:sz w:val="0"/>
          <w:szCs w:val="0"/>
          <w:lang w:eastAsia="zh-CN"/>
        </w:rPr>
        <w:br w:type="page"/>
      </w:r>
      <w:r>
        <w:rPr>
          <w:rFonts w:hint="eastAsia" w:ascii="方正小标宋简体" w:hAnsi="Times New Roman" w:eastAsia="方正小标宋简体" w:cs="Times New Roman"/>
          <w:sz w:val="44"/>
          <w:szCs w:val="44"/>
          <w:lang w:eastAsia="zh-CN"/>
        </w:rPr>
        <w:t>第四部分 部门决算报表（见附表）</w:t>
      </w:r>
    </w:p>
    <w:p w14:paraId="2D07EE6D">
      <w:pPr>
        <w:spacing w:after="0" w:line="560" w:lineRule="exact"/>
        <w:ind w:firstLine="640" w:firstLineChars="200"/>
        <w:outlineLvl w:val="1"/>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一、《收入支出决算总表》</w:t>
      </w:r>
    </w:p>
    <w:p w14:paraId="67D14A84">
      <w:pPr>
        <w:spacing w:after="0" w:line="560" w:lineRule="exact"/>
        <w:ind w:firstLine="640" w:firstLineChars="200"/>
        <w:outlineLvl w:val="1"/>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二、《收入决算表》</w:t>
      </w:r>
    </w:p>
    <w:p w14:paraId="5ED5C33C">
      <w:pPr>
        <w:spacing w:after="0" w:line="560" w:lineRule="exact"/>
        <w:ind w:firstLine="640" w:firstLineChars="200"/>
        <w:outlineLvl w:val="1"/>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三、《支出决算表》</w:t>
      </w:r>
    </w:p>
    <w:p w14:paraId="770B2B79">
      <w:pPr>
        <w:spacing w:after="0" w:line="560" w:lineRule="exact"/>
        <w:ind w:firstLine="640" w:firstLineChars="200"/>
        <w:outlineLvl w:val="1"/>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四、《财政拨款收入支出决算总表》</w:t>
      </w:r>
    </w:p>
    <w:p w14:paraId="3B605617">
      <w:pPr>
        <w:spacing w:after="0" w:line="560" w:lineRule="exact"/>
        <w:ind w:firstLine="640" w:firstLineChars="200"/>
        <w:outlineLvl w:val="1"/>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五、《一般公共预算财政拨款支出决算表》</w:t>
      </w:r>
    </w:p>
    <w:p w14:paraId="52B77550">
      <w:pPr>
        <w:spacing w:after="0" w:line="560" w:lineRule="exact"/>
        <w:ind w:firstLine="640" w:firstLineChars="200"/>
        <w:outlineLvl w:val="1"/>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六、《一般公共预算财政拨款基本支出决算表》</w:t>
      </w:r>
    </w:p>
    <w:p w14:paraId="21868A35">
      <w:pPr>
        <w:spacing w:after="0" w:line="560" w:lineRule="exact"/>
        <w:ind w:firstLine="640" w:firstLineChars="200"/>
        <w:outlineLvl w:val="1"/>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七、《政府性基金预算财政拨款收入支出决算表》</w:t>
      </w:r>
    </w:p>
    <w:p w14:paraId="6EF08AF2">
      <w:pPr>
        <w:spacing w:after="0" w:line="560" w:lineRule="exact"/>
        <w:ind w:firstLine="640" w:firstLineChars="200"/>
        <w:outlineLvl w:val="1"/>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八、《国有资本经营预算财政拨款收入支出决算表》</w:t>
      </w:r>
    </w:p>
    <w:p w14:paraId="4C94A8AD">
      <w:pPr>
        <w:spacing w:after="0" w:line="560" w:lineRule="exact"/>
        <w:ind w:firstLine="640" w:firstLineChars="200"/>
        <w:outlineLvl w:val="1"/>
        <w:rPr>
          <w:rFonts w:ascii="Times New Roman" w:hAnsi="Times New Roman" w:eastAsia="仿宋_GB2312" w:cs="Times New Roman"/>
          <w:sz w:val="32"/>
          <w:szCs w:val="32"/>
          <w:lang w:eastAsia="zh-CN"/>
        </w:rPr>
      </w:pPr>
      <w:r>
        <w:rPr>
          <w:rFonts w:ascii="Times New Roman" w:hAnsi="Times New Roman" w:eastAsia="仿宋_GB2312" w:cs="Times New Roman"/>
          <w:sz w:val="32"/>
          <w:szCs w:val="32"/>
          <w:lang w:eastAsia="zh-CN"/>
        </w:rPr>
        <w:t>九、《财政拨款“三公”经费支出决算表》</w:t>
      </w:r>
    </w:p>
    <w:sectPr>
      <w:footerReference r:id="rId8" w:type="default"/>
      <w:pgSz w:w="12240" w:h="15840"/>
      <w:pgMar w:top="1701" w:right="1418" w:bottom="1701" w:left="1418" w:header="720" w:footer="720" w:gutter="0"/>
      <w:pgNumType w:fmt="decimal"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30304000000000000"/>
    <w:charset w:val="86"/>
    <w:family w:val="auto"/>
    <w:pitch w:val="default"/>
    <w:sig w:usb0="E7FFAEFF" w:usb1="F9FFFFFF" w:usb2="000FFDFF" w:usb3="00000000" w:csb0="603F01FF" w:csb1="FFFF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0000000" w:usb3="00000000" w:csb0="0000019F" w:csb1="00000000"/>
  </w:font>
  <w:font w:name="FreeSerif">
    <w:panose1 w:val="02020603050405020304"/>
    <w:charset w:val="00"/>
    <w:family w:val="auto"/>
    <w:pitch w:val="default"/>
    <w:sig w:usb0="E59FAFFF" w:usb1="C200FDFF" w:usb2="43501B29" w:usb3="04000043" w:csb0="600101FF" w:csb1="FFFF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8A5BA">
    <w:pPr>
      <w:pStyle w:val="8"/>
      <w:jc w:val="center"/>
    </w:pPr>
  </w:p>
  <w:p w14:paraId="353A1417">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FC1AE">
    <w:pPr>
      <w:pStyle w:val="8"/>
      <w:jc w:val="center"/>
    </w:pPr>
  </w:p>
  <w:p w14:paraId="21BDFC4E">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2BD99">
    <w:pPr>
      <w:pStyle w:val="8"/>
      <w:jc w:val="center"/>
    </w:pPr>
  </w:p>
  <w:p w14:paraId="0D098116">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F29A0">
    <w:pPr>
      <w:pStyle w:val="8"/>
      <w:jc w:val="center"/>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EEAC39D">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w:r>
  </w:p>
  <w:p w14:paraId="58B66F62">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7A91A5"/>
    <w:multiLevelType w:val="singleLevel"/>
    <w:tmpl w:val="FD7A91A5"/>
    <w:lvl w:ilvl="0" w:tentative="0">
      <w:start w:val="1"/>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hdrShapeDefaults>
    <o:shapelayout v:ext="edit">
      <o:idmap v:ext="edit" data="3,4"/>
    </o:shapelayout>
  </w:hdrShapeDefault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2"/>
    <w:compatSetting w:name="overrideTableStyleFontSizeAndJustification" w:uri="http://schemas.microsoft.com/office/word" w:val="1"/>
  </w:compat>
  <w:docVars>
    <w:docVar w:name="commondata" w:val="eyJoZGlkIjoiODViY2JkMjU3NGYzZTEwMzZmMGFkZWViYmNkYWU3NDIifQ=="/>
  </w:docVars>
  <w:rsids>
    <w:rsidRoot w:val="002F4653"/>
    <w:rsid w:val="0000363E"/>
    <w:rsid w:val="00030D66"/>
    <w:rsid w:val="000938CD"/>
    <w:rsid w:val="000B2D61"/>
    <w:rsid w:val="000F4BEB"/>
    <w:rsid w:val="00100863"/>
    <w:rsid w:val="00110CDE"/>
    <w:rsid w:val="0015518C"/>
    <w:rsid w:val="00163429"/>
    <w:rsid w:val="001817A5"/>
    <w:rsid w:val="001830C5"/>
    <w:rsid w:val="001903DB"/>
    <w:rsid w:val="001C017B"/>
    <w:rsid w:val="001D0530"/>
    <w:rsid w:val="001D3853"/>
    <w:rsid w:val="001D56E9"/>
    <w:rsid w:val="0027312F"/>
    <w:rsid w:val="002C4266"/>
    <w:rsid w:val="002F4653"/>
    <w:rsid w:val="00332B53"/>
    <w:rsid w:val="00346707"/>
    <w:rsid w:val="003658DD"/>
    <w:rsid w:val="00371D3D"/>
    <w:rsid w:val="00424D14"/>
    <w:rsid w:val="004723CE"/>
    <w:rsid w:val="00492253"/>
    <w:rsid w:val="00493240"/>
    <w:rsid w:val="004A38C2"/>
    <w:rsid w:val="004B79F7"/>
    <w:rsid w:val="004D189A"/>
    <w:rsid w:val="004E342F"/>
    <w:rsid w:val="005134C7"/>
    <w:rsid w:val="00621D4C"/>
    <w:rsid w:val="007056C4"/>
    <w:rsid w:val="00745FA0"/>
    <w:rsid w:val="007E54D2"/>
    <w:rsid w:val="00812B7F"/>
    <w:rsid w:val="008147D5"/>
    <w:rsid w:val="008568FD"/>
    <w:rsid w:val="008715DB"/>
    <w:rsid w:val="008A5B37"/>
    <w:rsid w:val="00916C56"/>
    <w:rsid w:val="00935D90"/>
    <w:rsid w:val="009F5E81"/>
    <w:rsid w:val="00A04F59"/>
    <w:rsid w:val="00A84404"/>
    <w:rsid w:val="00AA484A"/>
    <w:rsid w:val="00AC2484"/>
    <w:rsid w:val="00B20091"/>
    <w:rsid w:val="00B31474"/>
    <w:rsid w:val="00BA4C63"/>
    <w:rsid w:val="00BB02FD"/>
    <w:rsid w:val="00BE6972"/>
    <w:rsid w:val="00C73026"/>
    <w:rsid w:val="00C81730"/>
    <w:rsid w:val="00C87FDB"/>
    <w:rsid w:val="00CA3756"/>
    <w:rsid w:val="00CD5AAC"/>
    <w:rsid w:val="00CE0157"/>
    <w:rsid w:val="00D04968"/>
    <w:rsid w:val="00D11BFF"/>
    <w:rsid w:val="00D175C9"/>
    <w:rsid w:val="00E0158A"/>
    <w:rsid w:val="00E320B4"/>
    <w:rsid w:val="00E51BED"/>
    <w:rsid w:val="00E922AF"/>
    <w:rsid w:val="00E9450A"/>
    <w:rsid w:val="00EC5C27"/>
    <w:rsid w:val="00EC6DC9"/>
    <w:rsid w:val="00EF02EE"/>
    <w:rsid w:val="00F06294"/>
    <w:rsid w:val="00F0684A"/>
    <w:rsid w:val="00F111D7"/>
    <w:rsid w:val="00F474DC"/>
    <w:rsid w:val="00FD6B78"/>
    <w:rsid w:val="191A70DD"/>
    <w:rsid w:val="1DFB2512"/>
    <w:rsid w:val="2D7F7E73"/>
    <w:rsid w:val="398919E9"/>
    <w:rsid w:val="3B053510"/>
    <w:rsid w:val="3CFF176C"/>
    <w:rsid w:val="3FCFDB4B"/>
    <w:rsid w:val="3FDFF552"/>
    <w:rsid w:val="4093139F"/>
    <w:rsid w:val="41DF7DF0"/>
    <w:rsid w:val="43D8491E"/>
    <w:rsid w:val="500D6FCF"/>
    <w:rsid w:val="591A5E93"/>
    <w:rsid w:val="59B9808F"/>
    <w:rsid w:val="62785DC5"/>
    <w:rsid w:val="64F65FB9"/>
    <w:rsid w:val="66A829C2"/>
    <w:rsid w:val="6BFC2EEF"/>
    <w:rsid w:val="77DE23C6"/>
    <w:rsid w:val="79FA4306"/>
    <w:rsid w:val="7BF7360F"/>
    <w:rsid w:val="7C9787F2"/>
    <w:rsid w:val="7CEE5F41"/>
    <w:rsid w:val="7F352247"/>
    <w:rsid w:val="BFFFE613"/>
    <w:rsid w:val="DCBAF72F"/>
    <w:rsid w:val="DEFF0757"/>
    <w:rsid w:val="DFFD29C8"/>
    <w:rsid w:val="FBFFB9C3"/>
    <w:rsid w:val="FD535FE2"/>
    <w:rsid w:val="FDF67123"/>
    <w:rsid w:val="FF4F8E2D"/>
    <w:rsid w:val="FFFF9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8"/>
    <w:qFormat/>
    <w:uiPriority w:val="9"/>
    <w:pPr>
      <w:keepNext/>
      <w:keepLines/>
      <w:spacing w:before="48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19"/>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4">
    <w:name w:val="heading 3"/>
    <w:basedOn w:val="1"/>
    <w:next w:val="1"/>
    <w:link w:val="20"/>
    <w:unhideWhenUsed/>
    <w:qFormat/>
    <w:uiPriority w:val="9"/>
    <w:pPr>
      <w:keepNext/>
      <w:keepLines/>
      <w:spacing w:before="200"/>
      <w:outlineLvl w:val="2"/>
    </w:pPr>
    <w:rPr>
      <w:rFonts w:asciiTheme="majorHAnsi" w:hAnsiTheme="majorHAnsi" w:eastAsiaTheme="majorEastAsia" w:cstheme="majorBidi"/>
      <w:b/>
      <w:bCs/>
      <w:color w:val="4F81BD" w:themeColor="accent1"/>
    </w:rPr>
  </w:style>
  <w:style w:type="paragraph" w:styleId="5">
    <w:name w:val="heading 4"/>
    <w:basedOn w:val="1"/>
    <w:next w:val="1"/>
    <w:link w:val="21"/>
    <w:unhideWhenUsed/>
    <w:qFormat/>
    <w:uiPriority w:val="9"/>
    <w:pPr>
      <w:keepNext/>
      <w:keepLines/>
      <w:spacing w:before="200"/>
      <w:outlineLvl w:val="3"/>
    </w:pPr>
    <w:rPr>
      <w:rFonts w:asciiTheme="majorHAnsi" w:hAnsiTheme="majorHAnsi" w:eastAsiaTheme="majorEastAsia" w:cstheme="majorBidi"/>
      <w:b/>
      <w:bCs/>
      <w:i/>
      <w:iCs/>
      <w:color w:val="4F81BD" w:themeColor="accent1"/>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rPr>
  </w:style>
  <w:style w:type="paragraph" w:styleId="8">
    <w:name w:val="footer"/>
    <w:basedOn w:val="1"/>
    <w:link w:val="24"/>
    <w:unhideWhenUsed/>
    <w:qFormat/>
    <w:uiPriority w:val="99"/>
    <w:pPr>
      <w:tabs>
        <w:tab w:val="center" w:pos="4153"/>
        <w:tab w:val="right" w:pos="8306"/>
      </w:tabs>
      <w:snapToGrid w:val="0"/>
      <w:spacing w:line="240" w:lineRule="auto"/>
    </w:pPr>
    <w:rPr>
      <w:sz w:val="18"/>
      <w:szCs w:val="18"/>
    </w:rPr>
  </w:style>
  <w:style w:type="paragraph" w:styleId="9">
    <w:name w:val="header"/>
    <w:basedOn w:val="1"/>
    <w:link w:val="17"/>
    <w:unhideWhenUsed/>
    <w:qFormat/>
    <w:uiPriority w:val="99"/>
    <w:pPr>
      <w:tabs>
        <w:tab w:val="center" w:pos="4680"/>
        <w:tab w:val="right" w:pos="9360"/>
      </w:tabs>
    </w:pPr>
  </w:style>
  <w:style w:type="paragraph" w:styleId="10">
    <w:name w:val="Subtitle"/>
    <w:basedOn w:val="1"/>
    <w:next w:val="1"/>
    <w:link w:val="22"/>
    <w:qFormat/>
    <w:uiPriority w:val="11"/>
    <w:pPr>
      <w:ind w:left="86"/>
    </w:pPr>
    <w:rPr>
      <w:rFonts w:asciiTheme="majorHAnsi" w:hAnsiTheme="majorHAnsi" w:eastAsiaTheme="majorEastAsia" w:cstheme="majorBidi"/>
      <w:i/>
      <w:iCs/>
      <w:color w:val="4F81BD" w:themeColor="accent1"/>
      <w:spacing w:val="15"/>
      <w:sz w:val="24"/>
      <w:szCs w:val="24"/>
    </w:rPr>
  </w:style>
  <w:style w:type="paragraph" w:styleId="11">
    <w:name w:val="Title"/>
    <w:basedOn w:val="1"/>
    <w:next w:val="1"/>
    <w:link w:val="23"/>
    <w:qFormat/>
    <w:uiPriority w:val="10"/>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table" w:styleId="13">
    <w:name w:val="Table Grid"/>
    <w:basedOn w:val="12"/>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5">
    <w:name w:val="Emphasis"/>
    <w:basedOn w:val="14"/>
    <w:qFormat/>
    <w:uiPriority w:val="20"/>
    <w:rPr>
      <w:i/>
      <w:iCs/>
    </w:rPr>
  </w:style>
  <w:style w:type="character" w:styleId="16">
    <w:name w:val="Hyperlink"/>
    <w:basedOn w:val="14"/>
    <w:unhideWhenUsed/>
    <w:qFormat/>
    <w:uiPriority w:val="99"/>
    <w:rPr>
      <w:color w:val="0000FF" w:themeColor="hyperlink"/>
      <w:u w:val="single"/>
    </w:rPr>
  </w:style>
  <w:style w:type="character" w:customStyle="1" w:styleId="17">
    <w:name w:val="页眉 Char"/>
    <w:basedOn w:val="14"/>
    <w:link w:val="9"/>
    <w:qFormat/>
    <w:uiPriority w:val="99"/>
  </w:style>
  <w:style w:type="character" w:customStyle="1" w:styleId="18">
    <w:name w:val="标题 1 Char"/>
    <w:basedOn w:val="14"/>
    <w:link w:val="2"/>
    <w:qFormat/>
    <w:uiPriority w:val="9"/>
    <w:rPr>
      <w:rFonts w:asciiTheme="majorHAnsi" w:hAnsiTheme="majorHAnsi" w:eastAsiaTheme="majorEastAsia" w:cstheme="majorBidi"/>
      <w:b/>
      <w:bCs/>
      <w:color w:val="366091" w:themeColor="accent1" w:themeShade="BF"/>
      <w:sz w:val="28"/>
      <w:szCs w:val="28"/>
    </w:rPr>
  </w:style>
  <w:style w:type="character" w:customStyle="1" w:styleId="19">
    <w:name w:val="标题 2 Char"/>
    <w:basedOn w:val="14"/>
    <w:link w:val="3"/>
    <w:qFormat/>
    <w:uiPriority w:val="9"/>
    <w:rPr>
      <w:rFonts w:asciiTheme="majorHAnsi" w:hAnsiTheme="majorHAnsi" w:eastAsiaTheme="majorEastAsia" w:cstheme="majorBidi"/>
      <w:b/>
      <w:bCs/>
      <w:color w:val="4F81BD" w:themeColor="accent1"/>
      <w:sz w:val="26"/>
      <w:szCs w:val="26"/>
    </w:rPr>
  </w:style>
  <w:style w:type="character" w:customStyle="1" w:styleId="20">
    <w:name w:val="标题 3 Char"/>
    <w:basedOn w:val="14"/>
    <w:link w:val="4"/>
    <w:qFormat/>
    <w:uiPriority w:val="9"/>
    <w:rPr>
      <w:rFonts w:asciiTheme="majorHAnsi" w:hAnsiTheme="majorHAnsi" w:eastAsiaTheme="majorEastAsia" w:cstheme="majorBidi"/>
      <w:b/>
      <w:bCs/>
      <w:color w:val="4F81BD" w:themeColor="accent1"/>
    </w:rPr>
  </w:style>
  <w:style w:type="character" w:customStyle="1" w:styleId="21">
    <w:name w:val="标题 4 Char"/>
    <w:basedOn w:val="14"/>
    <w:link w:val="5"/>
    <w:qFormat/>
    <w:uiPriority w:val="9"/>
    <w:rPr>
      <w:rFonts w:asciiTheme="majorHAnsi" w:hAnsiTheme="majorHAnsi" w:eastAsiaTheme="majorEastAsia" w:cstheme="majorBidi"/>
      <w:b/>
      <w:bCs/>
      <w:i/>
      <w:iCs/>
      <w:color w:val="4F81BD" w:themeColor="accent1"/>
    </w:rPr>
  </w:style>
  <w:style w:type="character" w:customStyle="1" w:styleId="22">
    <w:name w:val="副标题 Char"/>
    <w:basedOn w:val="14"/>
    <w:link w:val="10"/>
    <w:qFormat/>
    <w:uiPriority w:val="11"/>
    <w:rPr>
      <w:rFonts w:asciiTheme="majorHAnsi" w:hAnsiTheme="majorHAnsi" w:eastAsiaTheme="majorEastAsia" w:cstheme="majorBidi"/>
      <w:i/>
      <w:iCs/>
      <w:color w:val="4F81BD" w:themeColor="accent1"/>
      <w:spacing w:val="15"/>
      <w:sz w:val="24"/>
      <w:szCs w:val="24"/>
    </w:rPr>
  </w:style>
  <w:style w:type="character" w:customStyle="1" w:styleId="23">
    <w:name w:val="标题 Char"/>
    <w:basedOn w:val="14"/>
    <w:link w:val="11"/>
    <w:qFormat/>
    <w:uiPriority w:val="10"/>
    <w:rPr>
      <w:rFonts w:asciiTheme="majorHAnsi" w:hAnsiTheme="majorHAnsi" w:eastAsiaTheme="majorEastAsia" w:cstheme="majorBidi"/>
      <w:color w:val="17365D" w:themeColor="text2" w:themeShade="BF"/>
      <w:spacing w:val="5"/>
      <w:kern w:val="28"/>
      <w:sz w:val="52"/>
      <w:szCs w:val="52"/>
    </w:rPr>
  </w:style>
  <w:style w:type="character" w:customStyle="1" w:styleId="24">
    <w:name w:val="页脚 Char"/>
    <w:basedOn w:val="14"/>
    <w:link w:val="8"/>
    <w:qFormat/>
    <w:uiPriority w:val="99"/>
    <w:rPr>
      <w:rFonts w:asciiTheme="minorHAnsi" w:hAnsiTheme="minorHAnsi" w:eastAsiaTheme="minorHAnsi" w:cstheme="minorBidi"/>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17</Pages>
  <Words>1035</Words>
  <Characters>5906</Characters>
  <Lines>49</Lines>
  <Paragraphs>13</Paragraphs>
  <TotalTime>1</TotalTime>
  <ScaleCrop>false</ScaleCrop>
  <LinksUpToDate>false</LinksUpToDate>
  <CharactersWithSpaces>6928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2026-08-20T18:45:00Z</dcterms:created>
  <dc:creator>ldan</dc:creator>
  <cp:lastModifiedBy>user</cp:lastModifiedBy>
  <dcterms:modified xsi:type="dcterms:W3CDTF">2026-08-25T12:59:17Z</dcterms:modified>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C2C2268E141B4740B76F9080770A37E0_12</vt:lpwstr>
  </property>
  <property fmtid="{D5CDD505-2E9C-101B-9397-08002B2CF9AE}" pid="4" name="KSOTemplateDocerSaveRecord">
    <vt:lpwstr>eyJoZGlkIjoiNThiYTJlOTYyYzMwNDc1MWQ0MmQ0MjM2MDYyN2M3NmYiLCJ1c2VySWQiOiIyNDIxODUzMzcifQ==</vt:lpwstr>
  </property>
</Properties>
</file>