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060CB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both"/>
        <w:textAlignment w:val="auto"/>
        <w:rPr>
          <w:rFonts w:hint="default" w:ascii="Times New Roman" w:hAnsi="Times New Roman" w:eastAsia="宋体" w:cs="Times New Roman"/>
          <w:sz w:val="32"/>
          <w:szCs w:val="32"/>
          <w:highlight w:val="none"/>
        </w:rPr>
      </w:pPr>
    </w:p>
    <w:p w14:paraId="389E041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both"/>
        <w:textAlignment w:val="auto"/>
        <w:rPr>
          <w:rFonts w:hint="default" w:ascii="Times New Roman" w:hAnsi="Times New Roman" w:eastAsia="宋体" w:cs="Times New Roman"/>
          <w:sz w:val="44"/>
          <w:szCs w:val="44"/>
          <w:highlight w:val="none"/>
        </w:rPr>
      </w:pPr>
    </w:p>
    <w:p w14:paraId="17CE4D6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both"/>
        <w:textAlignment w:val="auto"/>
        <w:rPr>
          <w:rFonts w:hint="default" w:ascii="Times New Roman" w:hAnsi="Times New Roman" w:eastAsia="宋体" w:cs="Times New Roman"/>
          <w:sz w:val="44"/>
          <w:szCs w:val="44"/>
          <w:highlight w:val="none"/>
        </w:rPr>
      </w:pPr>
    </w:p>
    <w:p w14:paraId="3373BFE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both"/>
        <w:textAlignment w:val="auto"/>
        <w:rPr>
          <w:rFonts w:hint="default" w:ascii="Times New Roman" w:hAnsi="Times New Roman" w:eastAsia="宋体" w:cs="Times New Roman"/>
          <w:sz w:val="44"/>
          <w:szCs w:val="44"/>
          <w:highlight w:val="none"/>
        </w:rPr>
      </w:pPr>
    </w:p>
    <w:p w14:paraId="107E255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eastAsia" w:ascii="方正小标宋_GBK" w:hAnsi="方正小标宋_GBK" w:eastAsia="方正小标宋_GBK" w:cs="方正小标宋_GBK"/>
          <w:sz w:val="44"/>
          <w:szCs w:val="44"/>
          <w:highlight w:val="none"/>
        </w:rPr>
      </w:pPr>
      <w:r>
        <w:rPr>
          <w:rFonts w:hint="eastAsia" w:ascii="方正小标宋_GBK" w:hAnsi="方正小标宋_GBK" w:eastAsia="方正小标宋_GBK" w:cs="方正小标宋_GBK"/>
          <w:b w:val="0"/>
          <w:sz w:val="44"/>
          <w:szCs w:val="44"/>
          <w:highlight w:val="none"/>
        </w:rPr>
        <w:t>新疆维吾尔自治区民政康复中心</w:t>
      </w:r>
    </w:p>
    <w:p w14:paraId="1F1AAD7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eastAsia" w:ascii="方正小标宋_GBK" w:hAnsi="方正小标宋_GBK" w:eastAsia="方正小标宋_GBK" w:cs="方正小标宋_GBK"/>
          <w:sz w:val="44"/>
          <w:szCs w:val="44"/>
          <w:highlight w:val="none"/>
        </w:rPr>
      </w:pPr>
      <w:r>
        <w:rPr>
          <w:rFonts w:hint="eastAsia" w:ascii="方正小标宋_GBK" w:hAnsi="方正小标宋_GBK" w:eastAsia="方正小标宋_GBK" w:cs="方正小标宋_GBK"/>
          <w:b w:val="0"/>
          <w:sz w:val="44"/>
          <w:szCs w:val="44"/>
          <w:highlight w:val="none"/>
        </w:rPr>
        <w:t>2025年度部门决算公开说明</w:t>
      </w:r>
    </w:p>
    <w:p w14:paraId="1085336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rPr>
          <w:rFonts w:hint="eastAsia" w:ascii="方正小标宋_GBK" w:hAnsi="方正小标宋_GBK" w:eastAsia="方正小标宋_GBK" w:cs="方正小标宋_GBK"/>
          <w:b/>
          <w:sz w:val="44"/>
          <w:szCs w:val="44"/>
          <w:highlight w:val="none"/>
        </w:rPr>
        <w:sectPr>
          <w:pgSz w:w="12240" w:h="15840"/>
          <w:pgMar w:top="2098" w:right="1531" w:bottom="1984" w:left="1531" w:header="720" w:footer="720" w:gutter="0"/>
          <w:pgNumType w:fmt="decimal"/>
          <w:cols w:space="720" w:num="1"/>
        </w:sectPr>
      </w:pPr>
    </w:p>
    <w:p w14:paraId="747E768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rPr>
          <w:rFonts w:hint="eastAsia" w:ascii="方正小标宋_GBK" w:hAnsi="方正小标宋_GBK" w:eastAsia="方正小标宋_GBK" w:cs="方正小标宋_GBK"/>
          <w:b/>
          <w:sz w:val="44"/>
          <w:szCs w:val="44"/>
          <w:highlight w:val="none"/>
        </w:rPr>
      </w:pPr>
      <w:r>
        <w:rPr>
          <w:rFonts w:hint="eastAsia" w:ascii="方正小标宋_GBK" w:hAnsi="方正小标宋_GBK" w:eastAsia="方正小标宋_GBK" w:cs="方正小标宋_GBK"/>
          <w:b/>
          <w:sz w:val="44"/>
          <w:szCs w:val="44"/>
          <w:highlight w:val="none"/>
        </w:rPr>
        <w:t>目 录</w:t>
      </w:r>
    </w:p>
    <w:p w14:paraId="6114F0C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rPr>
          <w:rFonts w:hint="eastAsia" w:ascii="方正小标宋_GBK" w:hAnsi="方正小标宋_GBK" w:eastAsia="方正小标宋_GBK" w:cs="方正小标宋_GBK"/>
          <w:b/>
          <w:sz w:val="44"/>
          <w:szCs w:val="44"/>
          <w:highlight w:val="none"/>
        </w:rPr>
      </w:pPr>
    </w:p>
    <w:p w14:paraId="49E83E7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both"/>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sz w:val="32"/>
          <w:szCs w:val="32"/>
          <w:highlight w:val="none"/>
        </w:rPr>
        <w:t>第一部分</w:t>
      </w:r>
      <w:r>
        <w:rPr>
          <w:rFonts w:hint="default" w:ascii="Times New Roman" w:hAnsi="Times New Roman" w:eastAsia="仿宋_GB2312" w:cs="Times New Roman"/>
          <w:b/>
          <w:sz w:val="32"/>
          <w:szCs w:val="32"/>
          <w:highlight w:val="none"/>
          <w:lang w:val="en-US" w:eastAsia="zh-CN"/>
        </w:rPr>
        <w:t xml:space="preserve"> </w:t>
      </w:r>
      <w:r>
        <w:rPr>
          <w:rFonts w:hint="default" w:ascii="Times New Roman" w:hAnsi="Times New Roman" w:eastAsia="仿宋_GB2312" w:cs="Times New Roman"/>
          <w:b/>
          <w:sz w:val="32"/>
          <w:szCs w:val="32"/>
          <w:highlight w:val="none"/>
        </w:rPr>
        <w:t>单位概况</w:t>
      </w:r>
    </w:p>
    <w:p w14:paraId="15BEB1D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b w:val="0"/>
          <w:sz w:val="32"/>
          <w:szCs w:val="32"/>
          <w:highlight w:val="none"/>
        </w:rPr>
        <w:t>一、主要职能</w:t>
      </w:r>
    </w:p>
    <w:p w14:paraId="25ADAA6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eastAsia" w:ascii="方正仿宋_GBK" w:hAnsi="方正仿宋_GBK" w:eastAsia="方正仿宋_GBK" w:cs="方正仿宋_GBK"/>
          <w:sz w:val="32"/>
          <w:szCs w:val="32"/>
          <w:highlight w:val="none"/>
        </w:rPr>
      </w:pPr>
      <w:r>
        <w:rPr>
          <w:rFonts w:hint="eastAsia" w:ascii="方正仿宋_GBK" w:hAnsi="方正仿宋_GBK" w:eastAsia="方正仿宋_GBK" w:cs="方正仿宋_GBK"/>
          <w:b w:val="0"/>
          <w:sz w:val="32"/>
          <w:szCs w:val="32"/>
          <w:highlight w:val="none"/>
        </w:rPr>
        <w:t>二、机构设置</w:t>
      </w:r>
    </w:p>
    <w:p w14:paraId="174F4BF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both"/>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sz w:val="32"/>
          <w:szCs w:val="32"/>
          <w:highlight w:val="none"/>
        </w:rPr>
        <w:t>第二部分 部门决算情况说明</w:t>
      </w:r>
    </w:p>
    <w:p w14:paraId="59B3AE1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方正仿宋_GBK" w:hAnsi="方正仿宋_GBK" w:eastAsia="方正仿宋_GBK" w:cs="方正仿宋_GBK"/>
          <w:b w:val="0"/>
          <w:sz w:val="32"/>
          <w:szCs w:val="32"/>
          <w:highlight w:val="none"/>
        </w:rPr>
      </w:pPr>
      <w:r>
        <w:rPr>
          <w:rFonts w:hint="default" w:ascii="方正仿宋_GBK" w:hAnsi="方正仿宋_GBK" w:eastAsia="方正仿宋_GBK" w:cs="方正仿宋_GBK"/>
          <w:b w:val="0"/>
          <w:sz w:val="32"/>
          <w:szCs w:val="32"/>
          <w:highlight w:val="none"/>
        </w:rPr>
        <w:t>一、收入支出决算总体情况说明</w:t>
      </w:r>
    </w:p>
    <w:p w14:paraId="4CE3A4A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方正仿宋_GBK" w:hAnsi="方正仿宋_GBK" w:eastAsia="方正仿宋_GBK" w:cs="方正仿宋_GBK"/>
          <w:b w:val="0"/>
          <w:sz w:val="32"/>
          <w:szCs w:val="32"/>
          <w:highlight w:val="none"/>
        </w:rPr>
      </w:pPr>
      <w:r>
        <w:rPr>
          <w:rFonts w:hint="default" w:ascii="方正仿宋_GBK" w:hAnsi="方正仿宋_GBK" w:eastAsia="方正仿宋_GBK" w:cs="方正仿宋_GBK"/>
          <w:b w:val="0"/>
          <w:sz w:val="32"/>
          <w:szCs w:val="32"/>
          <w:highlight w:val="none"/>
        </w:rPr>
        <w:t>二、收入决算情况说明</w:t>
      </w:r>
    </w:p>
    <w:p w14:paraId="4092CBE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方正仿宋_GBK" w:hAnsi="方正仿宋_GBK" w:eastAsia="方正仿宋_GBK" w:cs="方正仿宋_GBK"/>
          <w:b w:val="0"/>
          <w:sz w:val="32"/>
          <w:szCs w:val="32"/>
          <w:highlight w:val="none"/>
        </w:rPr>
      </w:pPr>
      <w:r>
        <w:rPr>
          <w:rFonts w:hint="default" w:ascii="方正仿宋_GBK" w:hAnsi="方正仿宋_GBK" w:eastAsia="方正仿宋_GBK" w:cs="方正仿宋_GBK"/>
          <w:b w:val="0"/>
          <w:sz w:val="32"/>
          <w:szCs w:val="32"/>
          <w:highlight w:val="none"/>
        </w:rPr>
        <w:t>三、支出决算情况说明</w:t>
      </w:r>
    </w:p>
    <w:p w14:paraId="7294173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方正仿宋_GBK" w:hAnsi="方正仿宋_GBK" w:eastAsia="方正仿宋_GBK" w:cs="方正仿宋_GBK"/>
          <w:b w:val="0"/>
          <w:sz w:val="32"/>
          <w:szCs w:val="32"/>
          <w:highlight w:val="none"/>
        </w:rPr>
      </w:pPr>
      <w:r>
        <w:rPr>
          <w:rFonts w:hint="default" w:ascii="方正仿宋_GBK" w:hAnsi="方正仿宋_GBK" w:eastAsia="方正仿宋_GBK" w:cs="方正仿宋_GBK"/>
          <w:b w:val="0"/>
          <w:sz w:val="32"/>
          <w:szCs w:val="32"/>
          <w:highlight w:val="none"/>
        </w:rPr>
        <w:t>四、财政拨款收入支出决算总体情况说明</w:t>
      </w:r>
    </w:p>
    <w:p w14:paraId="1C9D9E5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方正仿宋_GBK" w:hAnsi="方正仿宋_GBK" w:eastAsia="方正仿宋_GBK" w:cs="方正仿宋_GBK"/>
          <w:b w:val="0"/>
          <w:sz w:val="32"/>
          <w:szCs w:val="32"/>
          <w:highlight w:val="none"/>
        </w:rPr>
      </w:pPr>
      <w:r>
        <w:rPr>
          <w:rFonts w:hint="default" w:ascii="方正仿宋_GBK" w:hAnsi="方正仿宋_GBK" w:eastAsia="方正仿宋_GBK" w:cs="方正仿宋_GBK"/>
          <w:b w:val="0"/>
          <w:sz w:val="32"/>
          <w:szCs w:val="32"/>
          <w:highlight w:val="none"/>
        </w:rPr>
        <w:t>五、一般公共预算财政拨款支出决算情况说明</w:t>
      </w:r>
    </w:p>
    <w:p w14:paraId="50D4669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方正仿宋_GBK" w:hAnsi="方正仿宋_GBK" w:eastAsia="方正仿宋_GBK" w:cs="方正仿宋_GBK"/>
          <w:b w:val="0"/>
          <w:sz w:val="32"/>
          <w:szCs w:val="32"/>
          <w:highlight w:val="none"/>
        </w:rPr>
      </w:pPr>
      <w:r>
        <w:rPr>
          <w:rFonts w:hint="default" w:ascii="方正仿宋_GBK" w:hAnsi="方正仿宋_GBK" w:eastAsia="方正仿宋_GBK" w:cs="方正仿宋_GBK"/>
          <w:b w:val="0"/>
          <w:sz w:val="32"/>
          <w:szCs w:val="32"/>
          <w:highlight w:val="none"/>
        </w:rPr>
        <w:t>（一）一般公共预算财政拨款支出决算总体情况</w:t>
      </w:r>
    </w:p>
    <w:p w14:paraId="695E15A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方正仿宋_GBK" w:hAnsi="方正仿宋_GBK" w:eastAsia="方正仿宋_GBK" w:cs="方正仿宋_GBK"/>
          <w:b w:val="0"/>
          <w:sz w:val="32"/>
          <w:szCs w:val="32"/>
          <w:highlight w:val="none"/>
        </w:rPr>
      </w:pPr>
      <w:r>
        <w:rPr>
          <w:rFonts w:hint="default" w:ascii="方正仿宋_GBK" w:hAnsi="方正仿宋_GBK" w:eastAsia="方正仿宋_GBK" w:cs="方正仿宋_GBK"/>
          <w:b w:val="0"/>
          <w:sz w:val="32"/>
          <w:szCs w:val="32"/>
          <w:highlight w:val="none"/>
        </w:rPr>
        <w:t>（二）一般公共预算财政拨款支出决算结构情况</w:t>
      </w:r>
    </w:p>
    <w:p w14:paraId="4B9FEB3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方正仿宋_GBK" w:hAnsi="方正仿宋_GBK" w:eastAsia="方正仿宋_GBK" w:cs="方正仿宋_GBK"/>
          <w:b w:val="0"/>
          <w:sz w:val="32"/>
          <w:szCs w:val="32"/>
          <w:highlight w:val="none"/>
        </w:rPr>
      </w:pPr>
      <w:r>
        <w:rPr>
          <w:rFonts w:hint="default" w:ascii="方正仿宋_GBK" w:hAnsi="方正仿宋_GBK" w:eastAsia="方正仿宋_GBK" w:cs="方正仿宋_GBK"/>
          <w:b w:val="0"/>
          <w:sz w:val="32"/>
          <w:szCs w:val="32"/>
          <w:highlight w:val="none"/>
        </w:rPr>
        <w:t>（三）一般公共预算财政拨款支出决算具体情况</w:t>
      </w:r>
    </w:p>
    <w:p w14:paraId="664E808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方正仿宋_GBK" w:hAnsi="方正仿宋_GBK" w:eastAsia="方正仿宋_GBK" w:cs="方正仿宋_GBK"/>
          <w:b w:val="0"/>
          <w:sz w:val="32"/>
          <w:szCs w:val="32"/>
          <w:highlight w:val="none"/>
        </w:rPr>
      </w:pPr>
      <w:r>
        <w:rPr>
          <w:rFonts w:hint="default" w:ascii="方正仿宋_GBK" w:hAnsi="方正仿宋_GBK" w:eastAsia="方正仿宋_GBK" w:cs="方正仿宋_GBK"/>
          <w:b w:val="0"/>
          <w:sz w:val="32"/>
          <w:szCs w:val="32"/>
          <w:highlight w:val="none"/>
        </w:rPr>
        <w:t>六、一般公共预算财政拨款基本支出决算情况说明</w:t>
      </w:r>
    </w:p>
    <w:p w14:paraId="6284238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方正仿宋_GBK" w:hAnsi="方正仿宋_GBK" w:eastAsia="方正仿宋_GBK" w:cs="方正仿宋_GBK"/>
          <w:b w:val="0"/>
          <w:sz w:val="32"/>
          <w:szCs w:val="32"/>
          <w:highlight w:val="none"/>
        </w:rPr>
      </w:pPr>
      <w:r>
        <w:rPr>
          <w:rFonts w:hint="default" w:ascii="方正仿宋_GBK" w:hAnsi="方正仿宋_GBK" w:eastAsia="方正仿宋_GBK" w:cs="方正仿宋_GBK"/>
          <w:b w:val="0"/>
          <w:sz w:val="32"/>
          <w:szCs w:val="32"/>
          <w:highlight w:val="none"/>
        </w:rPr>
        <w:t>七、政府性基金预算财政拨款收入支出决算情况说明</w:t>
      </w:r>
    </w:p>
    <w:p w14:paraId="23B7B65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方正仿宋_GBK" w:hAnsi="方正仿宋_GBK" w:eastAsia="方正仿宋_GBK" w:cs="方正仿宋_GBK"/>
          <w:b w:val="0"/>
          <w:sz w:val="32"/>
          <w:szCs w:val="32"/>
          <w:highlight w:val="none"/>
        </w:rPr>
      </w:pPr>
      <w:r>
        <w:rPr>
          <w:rFonts w:hint="default" w:ascii="方正仿宋_GBK" w:hAnsi="方正仿宋_GBK" w:eastAsia="方正仿宋_GBK" w:cs="方正仿宋_GBK"/>
          <w:b w:val="0"/>
          <w:sz w:val="32"/>
          <w:szCs w:val="32"/>
          <w:highlight w:val="none"/>
        </w:rPr>
        <w:t>八、国有资本经营预算财政拨款收入支出决算情况说明</w:t>
      </w:r>
    </w:p>
    <w:p w14:paraId="352B83B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方正仿宋_GBK" w:hAnsi="方正仿宋_GBK" w:eastAsia="方正仿宋_GBK" w:cs="方正仿宋_GBK"/>
          <w:b w:val="0"/>
          <w:sz w:val="32"/>
          <w:szCs w:val="32"/>
          <w:highlight w:val="none"/>
        </w:rPr>
      </w:pPr>
      <w:r>
        <w:rPr>
          <w:rFonts w:hint="default" w:ascii="方正仿宋_GBK" w:hAnsi="方正仿宋_GBK" w:eastAsia="方正仿宋_GBK" w:cs="方正仿宋_GBK"/>
          <w:b w:val="0"/>
          <w:sz w:val="32"/>
          <w:szCs w:val="32"/>
          <w:highlight w:val="none"/>
        </w:rPr>
        <w:t>九、财政拨款“三公”经费支出决算情况说明</w:t>
      </w:r>
    </w:p>
    <w:p w14:paraId="043FACA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方正仿宋_GBK" w:hAnsi="方正仿宋_GBK" w:eastAsia="方正仿宋_GBK" w:cs="方正仿宋_GBK"/>
          <w:b w:val="0"/>
          <w:sz w:val="32"/>
          <w:szCs w:val="32"/>
          <w:highlight w:val="none"/>
        </w:rPr>
      </w:pPr>
      <w:r>
        <w:rPr>
          <w:rFonts w:hint="default" w:ascii="方正仿宋_GBK" w:hAnsi="方正仿宋_GBK" w:eastAsia="方正仿宋_GBK" w:cs="方正仿宋_GBK"/>
          <w:b w:val="0"/>
          <w:sz w:val="32"/>
          <w:szCs w:val="32"/>
          <w:highlight w:val="none"/>
        </w:rPr>
        <w:t>十、其他重要事项的情况说明</w:t>
      </w:r>
    </w:p>
    <w:p w14:paraId="77E332E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方正仿宋_GBK" w:hAnsi="方正仿宋_GBK" w:eastAsia="方正仿宋_GBK" w:cs="方正仿宋_GBK"/>
          <w:b w:val="0"/>
          <w:sz w:val="32"/>
          <w:szCs w:val="32"/>
          <w:highlight w:val="none"/>
        </w:rPr>
      </w:pPr>
      <w:r>
        <w:rPr>
          <w:rFonts w:hint="default" w:ascii="方正仿宋_GBK" w:hAnsi="方正仿宋_GBK" w:eastAsia="方正仿宋_GBK" w:cs="方正仿宋_GBK"/>
          <w:b w:val="0"/>
          <w:sz w:val="32"/>
          <w:szCs w:val="32"/>
          <w:highlight w:val="none"/>
        </w:rPr>
        <w:t>（一）机关运行经费及公用经费支出情况</w:t>
      </w:r>
    </w:p>
    <w:p w14:paraId="6058DDA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方正仿宋_GBK" w:hAnsi="方正仿宋_GBK" w:eastAsia="方正仿宋_GBK" w:cs="方正仿宋_GBK"/>
          <w:b w:val="0"/>
          <w:sz w:val="32"/>
          <w:szCs w:val="32"/>
          <w:highlight w:val="none"/>
        </w:rPr>
      </w:pPr>
      <w:r>
        <w:rPr>
          <w:rFonts w:hint="default" w:ascii="方正仿宋_GBK" w:hAnsi="方正仿宋_GBK" w:eastAsia="方正仿宋_GBK" w:cs="方正仿宋_GBK"/>
          <w:b w:val="0"/>
          <w:sz w:val="32"/>
          <w:szCs w:val="32"/>
          <w:highlight w:val="none"/>
        </w:rPr>
        <w:t>（二）政府采购情况</w:t>
      </w:r>
    </w:p>
    <w:p w14:paraId="65721B5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方正仿宋_GBK" w:hAnsi="方正仿宋_GBK" w:eastAsia="方正仿宋_GBK" w:cs="方正仿宋_GBK"/>
          <w:b w:val="0"/>
          <w:sz w:val="32"/>
          <w:szCs w:val="32"/>
          <w:highlight w:val="none"/>
        </w:rPr>
      </w:pPr>
      <w:r>
        <w:rPr>
          <w:rFonts w:hint="default" w:ascii="方正仿宋_GBK" w:hAnsi="方正仿宋_GBK" w:eastAsia="方正仿宋_GBK" w:cs="方正仿宋_GBK"/>
          <w:b w:val="0"/>
          <w:sz w:val="32"/>
          <w:szCs w:val="32"/>
          <w:highlight w:val="none"/>
        </w:rPr>
        <w:t>（三）国有资产占用情况说明</w:t>
      </w:r>
    </w:p>
    <w:p w14:paraId="77D3A07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方正仿宋_GBK" w:hAnsi="方正仿宋_GBK" w:eastAsia="方正仿宋_GBK" w:cs="方正仿宋_GBK"/>
          <w:b w:val="0"/>
          <w:sz w:val="32"/>
          <w:szCs w:val="32"/>
          <w:highlight w:val="none"/>
        </w:rPr>
      </w:pPr>
      <w:r>
        <w:rPr>
          <w:rFonts w:hint="default" w:ascii="方正仿宋_GBK" w:hAnsi="方正仿宋_GBK" w:eastAsia="方正仿宋_GBK" w:cs="方正仿宋_GBK"/>
          <w:b w:val="0"/>
          <w:sz w:val="32"/>
          <w:szCs w:val="32"/>
          <w:highlight w:val="none"/>
        </w:rPr>
        <w:t>十一、预算绩效的情况说明</w:t>
      </w:r>
    </w:p>
    <w:p w14:paraId="115D380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方正仿宋_GBK" w:hAnsi="方正仿宋_GBK" w:eastAsia="方正仿宋_GBK" w:cs="方正仿宋_GBK"/>
          <w:b w:val="0"/>
          <w:sz w:val="32"/>
          <w:szCs w:val="32"/>
          <w:highlight w:val="none"/>
        </w:rPr>
        <w:sectPr>
          <w:footerReference r:id="rId5" w:type="default"/>
          <w:pgSz w:w="12240" w:h="15840"/>
          <w:pgMar w:top="2098" w:right="1531" w:bottom="1984" w:left="1531" w:header="720" w:footer="720" w:gutter="0"/>
          <w:pgNumType w:fmt="decimal" w:start="1"/>
          <w:cols w:space="720" w:num="1"/>
        </w:sectPr>
      </w:pPr>
    </w:p>
    <w:p w14:paraId="151A56E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方正仿宋_GBK" w:hAnsi="方正仿宋_GBK" w:eastAsia="方正仿宋_GBK" w:cs="方正仿宋_GBK"/>
          <w:b w:val="0"/>
          <w:sz w:val="32"/>
          <w:szCs w:val="32"/>
          <w:highlight w:val="none"/>
        </w:rPr>
      </w:pPr>
      <w:r>
        <w:rPr>
          <w:rFonts w:hint="default" w:ascii="方正仿宋_GBK" w:hAnsi="方正仿宋_GBK" w:eastAsia="方正仿宋_GBK" w:cs="方正仿宋_GBK"/>
          <w:b w:val="0"/>
          <w:sz w:val="32"/>
          <w:szCs w:val="32"/>
          <w:highlight w:val="none"/>
        </w:rPr>
        <w:t>十二、其他需说明的事项</w:t>
      </w:r>
    </w:p>
    <w:p w14:paraId="0FEE89A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both"/>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sz w:val="32"/>
          <w:szCs w:val="32"/>
          <w:highlight w:val="none"/>
        </w:rPr>
        <w:t>第三部分 专业名词解释</w:t>
      </w:r>
    </w:p>
    <w:p w14:paraId="621B85E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both"/>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b/>
          <w:sz w:val="32"/>
          <w:szCs w:val="32"/>
          <w:highlight w:val="none"/>
        </w:rPr>
        <w:t>第四部分 部门决算报表（见附表）</w:t>
      </w:r>
    </w:p>
    <w:p w14:paraId="6588B5D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方正仿宋_GBK" w:hAnsi="方正仿宋_GBK" w:eastAsia="方正仿宋_GBK" w:cs="方正仿宋_GBK"/>
          <w:b w:val="0"/>
          <w:sz w:val="32"/>
          <w:szCs w:val="32"/>
          <w:highlight w:val="none"/>
        </w:rPr>
      </w:pPr>
      <w:r>
        <w:rPr>
          <w:rFonts w:hint="default" w:ascii="方正仿宋_GBK" w:hAnsi="方正仿宋_GBK" w:eastAsia="方正仿宋_GBK" w:cs="方正仿宋_GBK"/>
          <w:b w:val="0"/>
          <w:sz w:val="32"/>
          <w:szCs w:val="32"/>
          <w:highlight w:val="none"/>
        </w:rPr>
        <w:t>一、《收入支出决算总表》</w:t>
      </w:r>
    </w:p>
    <w:p w14:paraId="55731EB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方正仿宋_GBK" w:hAnsi="方正仿宋_GBK" w:eastAsia="方正仿宋_GBK" w:cs="方正仿宋_GBK"/>
          <w:b w:val="0"/>
          <w:sz w:val="32"/>
          <w:szCs w:val="32"/>
          <w:highlight w:val="none"/>
        </w:rPr>
      </w:pPr>
      <w:r>
        <w:rPr>
          <w:rFonts w:hint="default" w:ascii="方正仿宋_GBK" w:hAnsi="方正仿宋_GBK" w:eastAsia="方正仿宋_GBK" w:cs="方正仿宋_GBK"/>
          <w:b w:val="0"/>
          <w:sz w:val="32"/>
          <w:szCs w:val="32"/>
          <w:highlight w:val="none"/>
        </w:rPr>
        <w:t>二、《收入决算表》</w:t>
      </w:r>
    </w:p>
    <w:p w14:paraId="2B1E096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方正仿宋_GBK" w:hAnsi="方正仿宋_GBK" w:eastAsia="方正仿宋_GBK" w:cs="方正仿宋_GBK"/>
          <w:b w:val="0"/>
          <w:sz w:val="32"/>
          <w:szCs w:val="32"/>
          <w:highlight w:val="none"/>
        </w:rPr>
      </w:pPr>
      <w:r>
        <w:rPr>
          <w:rFonts w:hint="default" w:ascii="方正仿宋_GBK" w:hAnsi="方正仿宋_GBK" w:eastAsia="方正仿宋_GBK" w:cs="方正仿宋_GBK"/>
          <w:b w:val="0"/>
          <w:sz w:val="32"/>
          <w:szCs w:val="32"/>
          <w:highlight w:val="none"/>
        </w:rPr>
        <w:t>三、《支出决算表》</w:t>
      </w:r>
    </w:p>
    <w:p w14:paraId="1656C61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方正仿宋_GBK" w:hAnsi="方正仿宋_GBK" w:eastAsia="方正仿宋_GBK" w:cs="方正仿宋_GBK"/>
          <w:b w:val="0"/>
          <w:sz w:val="32"/>
          <w:szCs w:val="32"/>
          <w:highlight w:val="none"/>
        </w:rPr>
      </w:pPr>
      <w:r>
        <w:rPr>
          <w:rFonts w:hint="default" w:ascii="方正仿宋_GBK" w:hAnsi="方正仿宋_GBK" w:eastAsia="方正仿宋_GBK" w:cs="方正仿宋_GBK"/>
          <w:b w:val="0"/>
          <w:sz w:val="32"/>
          <w:szCs w:val="32"/>
          <w:highlight w:val="none"/>
        </w:rPr>
        <w:t>四、《财政拨款收入支出决算总表》</w:t>
      </w:r>
    </w:p>
    <w:p w14:paraId="4837E10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方正仿宋_GBK" w:hAnsi="方正仿宋_GBK" w:eastAsia="方正仿宋_GBK" w:cs="方正仿宋_GBK"/>
          <w:b w:val="0"/>
          <w:sz w:val="32"/>
          <w:szCs w:val="32"/>
          <w:highlight w:val="none"/>
        </w:rPr>
      </w:pPr>
      <w:r>
        <w:rPr>
          <w:rFonts w:hint="default" w:ascii="方正仿宋_GBK" w:hAnsi="方正仿宋_GBK" w:eastAsia="方正仿宋_GBK" w:cs="方正仿宋_GBK"/>
          <w:b w:val="0"/>
          <w:sz w:val="32"/>
          <w:szCs w:val="32"/>
          <w:highlight w:val="none"/>
        </w:rPr>
        <w:t>五、《一般公共预算财政拨款支出决算表》</w:t>
      </w:r>
    </w:p>
    <w:p w14:paraId="0E722A5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方正仿宋_GBK" w:hAnsi="方正仿宋_GBK" w:eastAsia="方正仿宋_GBK" w:cs="方正仿宋_GBK"/>
          <w:b w:val="0"/>
          <w:sz w:val="32"/>
          <w:szCs w:val="32"/>
          <w:highlight w:val="none"/>
        </w:rPr>
      </w:pPr>
      <w:r>
        <w:rPr>
          <w:rFonts w:hint="default" w:ascii="方正仿宋_GBK" w:hAnsi="方正仿宋_GBK" w:eastAsia="方正仿宋_GBK" w:cs="方正仿宋_GBK"/>
          <w:b w:val="0"/>
          <w:sz w:val="32"/>
          <w:szCs w:val="32"/>
          <w:highlight w:val="none"/>
        </w:rPr>
        <w:t>六、《一般公共预算财政拨款基本支出决算表》</w:t>
      </w:r>
    </w:p>
    <w:p w14:paraId="5A0732D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方正仿宋_GBK" w:hAnsi="方正仿宋_GBK" w:eastAsia="方正仿宋_GBK" w:cs="方正仿宋_GBK"/>
          <w:b w:val="0"/>
          <w:sz w:val="32"/>
          <w:szCs w:val="32"/>
          <w:highlight w:val="none"/>
        </w:rPr>
      </w:pPr>
      <w:r>
        <w:rPr>
          <w:rFonts w:hint="default" w:ascii="方正仿宋_GBK" w:hAnsi="方正仿宋_GBK" w:eastAsia="方正仿宋_GBK" w:cs="方正仿宋_GBK"/>
          <w:b w:val="0"/>
          <w:sz w:val="32"/>
          <w:szCs w:val="32"/>
          <w:highlight w:val="none"/>
        </w:rPr>
        <w:t>七、《政府性基金预算财政拨款收入支出决算表》</w:t>
      </w:r>
    </w:p>
    <w:p w14:paraId="44A138D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方正仿宋_GBK" w:hAnsi="方正仿宋_GBK" w:eastAsia="方正仿宋_GBK" w:cs="方正仿宋_GBK"/>
          <w:b w:val="0"/>
          <w:sz w:val="32"/>
          <w:szCs w:val="32"/>
          <w:highlight w:val="none"/>
        </w:rPr>
      </w:pPr>
      <w:r>
        <w:rPr>
          <w:rFonts w:hint="default" w:ascii="方正仿宋_GBK" w:hAnsi="方正仿宋_GBK" w:eastAsia="方正仿宋_GBK" w:cs="方正仿宋_GBK"/>
          <w:b w:val="0"/>
          <w:sz w:val="32"/>
          <w:szCs w:val="32"/>
          <w:highlight w:val="none"/>
        </w:rPr>
        <w:t>八、《国有资本经营预算财政拨款收入支出决算表》</w:t>
      </w:r>
    </w:p>
    <w:p w14:paraId="1AA3A91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方正仿宋_GBK" w:hAnsi="方正仿宋_GBK" w:eastAsia="方正仿宋_GBK" w:cs="方正仿宋_GBK"/>
          <w:b w:val="0"/>
          <w:sz w:val="32"/>
          <w:szCs w:val="32"/>
          <w:highlight w:val="none"/>
        </w:rPr>
      </w:pPr>
      <w:r>
        <w:rPr>
          <w:rFonts w:hint="default" w:ascii="方正仿宋_GBK" w:hAnsi="方正仿宋_GBK" w:eastAsia="方正仿宋_GBK" w:cs="方正仿宋_GBK"/>
          <w:b w:val="0"/>
          <w:sz w:val="32"/>
          <w:szCs w:val="32"/>
          <w:highlight w:val="none"/>
        </w:rPr>
        <w:t>九、《财政拨款“三公”经费支出决算表》</w:t>
      </w:r>
    </w:p>
    <w:p w14:paraId="773C1DE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default" w:ascii="Times New Roman" w:hAnsi="Times New Roman" w:eastAsia="方正小标宋_GBK" w:cs="Times New Roman"/>
          <w:b w:val="0"/>
          <w:sz w:val="44"/>
          <w:szCs w:val="44"/>
          <w:highlight w:val="none"/>
        </w:rPr>
        <w:sectPr>
          <w:footerReference r:id="rId6" w:type="default"/>
          <w:pgSz w:w="12240" w:h="15840"/>
          <w:pgMar w:top="2098" w:right="1531" w:bottom="1984" w:left="1531" w:header="720" w:footer="720" w:gutter="0"/>
          <w:pgNumType w:fmt="decimal" w:start="1"/>
          <w:cols w:space="720" w:num="1"/>
        </w:sectPr>
      </w:pPr>
    </w:p>
    <w:p w14:paraId="247052F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default" w:ascii="Times New Roman" w:hAnsi="Times New Roman" w:eastAsia="黑体" w:cs="Times New Roman"/>
          <w:sz w:val="32"/>
          <w:szCs w:val="32"/>
          <w:highlight w:val="none"/>
          <w:lang w:val="en-US" w:eastAsia="zh-CN"/>
        </w:rPr>
      </w:pPr>
      <w:r>
        <w:rPr>
          <w:rFonts w:hint="default" w:ascii="Times New Roman" w:hAnsi="Times New Roman" w:eastAsia="方正小标宋_GBK" w:cs="Times New Roman"/>
          <w:b w:val="0"/>
          <w:sz w:val="44"/>
          <w:szCs w:val="44"/>
          <w:highlight w:val="none"/>
        </w:rPr>
        <w:t>第一部分</w:t>
      </w:r>
      <w:r>
        <w:rPr>
          <w:rFonts w:hint="default" w:ascii="Times New Roman" w:hAnsi="Times New Roman" w:eastAsia="方正小标宋_GBK" w:cs="Times New Roman"/>
          <w:b w:val="0"/>
          <w:sz w:val="44"/>
          <w:szCs w:val="44"/>
          <w:highlight w:val="none"/>
          <w:lang w:val="en-US" w:eastAsia="zh-CN"/>
        </w:rPr>
        <w:t xml:space="preserve"> </w:t>
      </w:r>
      <w:r>
        <w:rPr>
          <w:rFonts w:hint="default" w:ascii="Times New Roman" w:hAnsi="Times New Roman" w:eastAsia="方正小标宋_GBK" w:cs="Times New Roman"/>
          <w:b w:val="0"/>
          <w:sz w:val="44"/>
          <w:szCs w:val="44"/>
          <w:highlight w:val="none"/>
        </w:rPr>
        <w:t>单位概况</w:t>
      </w:r>
    </w:p>
    <w:p w14:paraId="4479BAA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hint="default" w:ascii="Times New Roman" w:hAnsi="Times New Roman" w:eastAsia="黑体" w:cs="Times New Roman"/>
          <w:b w:val="0"/>
          <w:sz w:val="32"/>
          <w:szCs w:val="32"/>
          <w:highlight w:val="none"/>
        </w:rPr>
      </w:pPr>
    </w:p>
    <w:p w14:paraId="2C1ACCA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hint="default" w:ascii="Times New Roman" w:hAnsi="Times New Roman" w:eastAsia="黑体" w:cs="Times New Roman"/>
          <w:sz w:val="32"/>
          <w:szCs w:val="32"/>
          <w:highlight w:val="none"/>
        </w:rPr>
      </w:pPr>
      <w:r>
        <w:rPr>
          <w:rFonts w:hint="default" w:ascii="Times New Roman" w:hAnsi="Times New Roman" w:eastAsia="黑体" w:cs="Times New Roman"/>
          <w:b w:val="0"/>
          <w:sz w:val="32"/>
          <w:szCs w:val="32"/>
          <w:highlight w:val="none"/>
        </w:rPr>
        <w:t>一、主要职能</w:t>
      </w:r>
    </w:p>
    <w:p w14:paraId="60D086B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rPr>
      </w:pPr>
      <w:r>
        <w:rPr>
          <w:rFonts w:hint="default" w:ascii="Times New Roman" w:hAnsi="Times New Roman" w:eastAsia="方正仿宋_GBK" w:cs="Times New Roman"/>
          <w:b w:val="0"/>
          <w:sz w:val="32"/>
          <w:szCs w:val="32"/>
          <w:highlight w:val="none"/>
        </w:rPr>
        <w:t>开展康养医养结合的养老服务工作，承担民政保障性困难群体医疗服务、救助项目；指导保障性养老机构和社会组织规范运行，开展专业化养老服务</w:t>
      </w:r>
      <w:r>
        <w:rPr>
          <w:rFonts w:hint="default" w:ascii="Times New Roman" w:hAnsi="Times New Roman" w:eastAsia="方正仿宋_GBK" w:cs="Times New Roman"/>
          <w:b w:val="0"/>
          <w:sz w:val="32"/>
          <w:szCs w:val="32"/>
          <w:highlight w:val="none"/>
          <w:lang w:eastAsia="zh-CN"/>
        </w:rPr>
        <w:t>，</w:t>
      </w:r>
      <w:r>
        <w:rPr>
          <w:rFonts w:hint="default" w:ascii="Times New Roman" w:hAnsi="Times New Roman" w:eastAsia="方正仿宋_GBK" w:cs="Times New Roman"/>
          <w:b w:val="0"/>
          <w:sz w:val="32"/>
          <w:szCs w:val="32"/>
          <w:highlight w:val="none"/>
          <w:lang w:val="en-US" w:eastAsia="zh-CN"/>
        </w:rPr>
        <w:t>开展全区养老机构等级评定和标准化建设等工作。</w:t>
      </w:r>
    </w:p>
    <w:p w14:paraId="1865C10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hint="default" w:ascii="Times New Roman" w:hAnsi="Times New Roman" w:eastAsia="黑体" w:cs="Times New Roman"/>
          <w:sz w:val="32"/>
          <w:szCs w:val="32"/>
          <w:highlight w:val="none"/>
        </w:rPr>
      </w:pPr>
      <w:r>
        <w:rPr>
          <w:rFonts w:hint="default" w:ascii="Times New Roman" w:hAnsi="Times New Roman" w:eastAsia="黑体" w:cs="Times New Roman"/>
          <w:b w:val="0"/>
          <w:sz w:val="32"/>
          <w:szCs w:val="32"/>
          <w:highlight w:val="none"/>
        </w:rPr>
        <w:t>二、机构设置</w:t>
      </w:r>
    </w:p>
    <w:p w14:paraId="64411AA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rPr>
      </w:pPr>
      <w:r>
        <w:rPr>
          <w:rFonts w:hint="default" w:ascii="Times New Roman" w:hAnsi="Times New Roman" w:eastAsia="方正仿宋_GBK" w:cs="Times New Roman"/>
          <w:b w:val="0"/>
          <w:sz w:val="32"/>
          <w:szCs w:val="32"/>
          <w:highlight w:val="none"/>
        </w:rPr>
        <w:t>新疆维吾尔自治区民政康复中心无下属预算单位。</w:t>
      </w:r>
    </w:p>
    <w:p w14:paraId="77322BD8">
      <w:pPr>
        <w:keepNext w:val="0"/>
        <w:keepLines w:val="0"/>
        <w:pageBreakBefore w:val="0"/>
        <w:widowControl/>
        <w:kinsoku/>
        <w:wordWrap/>
        <w:overflowPunct/>
        <w:topLinePunct w:val="0"/>
        <w:autoSpaceDE/>
        <w:autoSpaceDN/>
        <w:bidi w:val="0"/>
        <w:adjustRightInd/>
        <w:snapToGrid/>
        <w:spacing w:line="560" w:lineRule="exact"/>
        <w:jc w:val="both"/>
        <w:textAlignment w:val="auto"/>
        <w:rPr>
          <w:rFonts w:hint="default" w:ascii="Times New Roman" w:hAnsi="Times New Roman" w:cs="Times New Roman"/>
          <w:highlight w:val="none"/>
        </w:rPr>
      </w:pPr>
      <w:r>
        <w:rPr>
          <w:rFonts w:hint="default" w:ascii="Times New Roman" w:hAnsi="Times New Roman" w:cs="Times New Roman"/>
          <w:b w:val="0"/>
          <w:sz w:val="0"/>
          <w:szCs w:val="0"/>
          <w:highlight w:val="none"/>
        </w:rPr>
        <w:br w:type="page"/>
      </w:r>
    </w:p>
    <w:p w14:paraId="45F2DAB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default" w:ascii="Times New Roman" w:hAnsi="Times New Roman" w:eastAsia="方正小标宋_GBK" w:cs="Times New Roman"/>
          <w:sz w:val="44"/>
          <w:szCs w:val="44"/>
          <w:highlight w:val="none"/>
        </w:rPr>
      </w:pPr>
      <w:r>
        <w:rPr>
          <w:rFonts w:hint="default" w:ascii="Times New Roman" w:hAnsi="Times New Roman" w:eastAsia="方正小标宋_GBK" w:cs="Times New Roman"/>
          <w:b w:val="0"/>
          <w:sz w:val="44"/>
          <w:szCs w:val="44"/>
          <w:highlight w:val="none"/>
        </w:rPr>
        <w:t>第二部分 部门决算情况说明</w:t>
      </w:r>
    </w:p>
    <w:p w14:paraId="5A2013E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hint="default" w:ascii="Times New Roman" w:hAnsi="Times New Roman" w:eastAsia="黑体" w:cs="Times New Roman"/>
          <w:b w:val="0"/>
          <w:sz w:val="32"/>
          <w:szCs w:val="32"/>
          <w:highlight w:val="none"/>
        </w:rPr>
      </w:pPr>
    </w:p>
    <w:p w14:paraId="4D4F8BA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hint="default" w:ascii="Times New Roman" w:hAnsi="Times New Roman" w:eastAsia="黑体" w:cs="Times New Roman"/>
          <w:sz w:val="32"/>
          <w:szCs w:val="32"/>
          <w:highlight w:val="none"/>
        </w:rPr>
      </w:pPr>
      <w:r>
        <w:rPr>
          <w:rFonts w:hint="default" w:ascii="Times New Roman" w:hAnsi="Times New Roman" w:eastAsia="黑体" w:cs="Times New Roman"/>
          <w:b w:val="0"/>
          <w:sz w:val="32"/>
          <w:szCs w:val="32"/>
          <w:highlight w:val="none"/>
        </w:rPr>
        <w:t>一、收入支出决算总体情况说明</w:t>
      </w:r>
    </w:p>
    <w:p w14:paraId="15141CD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rPr>
      </w:pPr>
      <w:r>
        <w:rPr>
          <w:rFonts w:hint="default" w:ascii="Times New Roman" w:hAnsi="Times New Roman" w:eastAsia="方正仿宋_GBK" w:cs="Times New Roman"/>
          <w:b w:val="0"/>
          <w:sz w:val="32"/>
          <w:szCs w:val="32"/>
          <w:highlight w:val="none"/>
        </w:rPr>
        <w:t>2025年度收入总计2,802.02万元，其中：本年收入合计2,744.74万元，使用非财政拨款结余（含专用结余）0.00万元，年初结转和结余57.28万元。</w:t>
      </w:r>
    </w:p>
    <w:p w14:paraId="249FE40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rPr>
      </w:pPr>
      <w:r>
        <w:rPr>
          <w:rFonts w:hint="default" w:ascii="Times New Roman" w:hAnsi="Times New Roman" w:eastAsia="方正仿宋_GBK" w:cs="Times New Roman"/>
          <w:b w:val="0"/>
          <w:sz w:val="32"/>
          <w:szCs w:val="32"/>
          <w:highlight w:val="none"/>
        </w:rPr>
        <w:t>2025年度支出总计2,802.02万元，其中：本年支出合计2,744.66万元，结余分配0.00万元，年末结转和结余57.36万元。</w:t>
      </w:r>
    </w:p>
    <w:p w14:paraId="184AFEF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val="0"/>
          <w:sz w:val="32"/>
          <w:szCs w:val="32"/>
          <w:highlight w:val="none"/>
        </w:rPr>
      </w:pPr>
      <w:r>
        <w:rPr>
          <w:rFonts w:hint="default" w:ascii="Times New Roman" w:hAnsi="Times New Roman" w:eastAsia="方正仿宋_GBK" w:cs="Times New Roman"/>
          <w:b/>
          <w:bCs/>
          <w:sz w:val="32"/>
          <w:szCs w:val="32"/>
          <w:highlight w:val="none"/>
        </w:rPr>
        <w:t>收入支出总体与上年相比</w:t>
      </w:r>
      <w:r>
        <w:rPr>
          <w:rFonts w:hint="default" w:ascii="Times New Roman" w:hAnsi="Times New Roman" w:eastAsia="方正仿宋_GBK" w:cs="Times New Roman"/>
          <w:b w:val="0"/>
          <w:sz w:val="32"/>
          <w:szCs w:val="32"/>
          <w:highlight w:val="none"/>
        </w:rPr>
        <w:t>，增加164.94万元，增长6.25%，主要原因是：</w:t>
      </w:r>
      <w:r>
        <w:rPr>
          <w:rFonts w:hint="default" w:ascii="Times New Roman" w:hAnsi="Times New Roman" w:eastAsia="方正仿宋_GBK" w:cs="Times New Roman"/>
          <w:b w:val="0"/>
          <w:sz w:val="32"/>
          <w:szCs w:val="32"/>
          <w:highlight w:val="none"/>
          <w:lang w:val="en-US" w:eastAsia="zh-CN"/>
        </w:rPr>
        <w:t>2025年在职人员增加</w:t>
      </w:r>
      <w:r>
        <w:rPr>
          <w:rFonts w:hint="default" w:ascii="Times New Roman" w:hAnsi="Times New Roman" w:eastAsia="方正仿宋_GBK" w:cs="Times New Roman"/>
          <w:b w:val="0"/>
          <w:sz w:val="32"/>
          <w:szCs w:val="32"/>
          <w:highlight w:val="none"/>
          <w:lang w:eastAsia="zh-CN"/>
        </w:rPr>
        <w:t>、</w:t>
      </w:r>
      <w:r>
        <w:rPr>
          <w:rFonts w:hint="default" w:ascii="Times New Roman" w:hAnsi="Times New Roman" w:eastAsia="方正仿宋_GBK" w:cs="Times New Roman"/>
          <w:b w:val="0"/>
          <w:sz w:val="32"/>
          <w:szCs w:val="32"/>
          <w:highlight w:val="none"/>
        </w:rPr>
        <w:t>人员正常晋升，支出</w:t>
      </w:r>
      <w:r>
        <w:rPr>
          <w:rFonts w:hint="default" w:ascii="Times New Roman" w:hAnsi="Times New Roman" w:eastAsia="方正仿宋_GBK" w:cs="Times New Roman"/>
          <w:b w:val="0"/>
          <w:sz w:val="32"/>
          <w:szCs w:val="32"/>
          <w:highlight w:val="none"/>
          <w:lang w:val="en-US" w:eastAsia="zh-CN"/>
        </w:rPr>
        <w:t>较上年</w:t>
      </w:r>
      <w:r>
        <w:rPr>
          <w:rFonts w:hint="default" w:ascii="Times New Roman" w:hAnsi="Times New Roman" w:eastAsia="方正仿宋_GBK" w:cs="Times New Roman"/>
          <w:b w:val="0"/>
          <w:sz w:val="32"/>
          <w:szCs w:val="32"/>
          <w:highlight w:val="none"/>
        </w:rPr>
        <w:t>增加。</w:t>
      </w:r>
    </w:p>
    <w:p w14:paraId="5C5A79E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hint="default" w:ascii="Times New Roman" w:hAnsi="Times New Roman" w:eastAsia="黑体" w:cs="Times New Roman"/>
          <w:sz w:val="32"/>
          <w:szCs w:val="32"/>
          <w:highlight w:val="none"/>
        </w:rPr>
      </w:pPr>
      <w:r>
        <w:rPr>
          <w:rFonts w:hint="default" w:ascii="Times New Roman" w:hAnsi="Times New Roman" w:eastAsia="黑体" w:cs="Times New Roman"/>
          <w:b w:val="0"/>
          <w:sz w:val="32"/>
          <w:szCs w:val="32"/>
          <w:highlight w:val="none"/>
        </w:rPr>
        <w:t>二、收入决算情况说明</w:t>
      </w:r>
    </w:p>
    <w:p w14:paraId="7B96E4F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val="0"/>
          <w:sz w:val="32"/>
          <w:szCs w:val="32"/>
          <w:highlight w:val="none"/>
        </w:rPr>
      </w:pPr>
      <w:r>
        <w:rPr>
          <w:rFonts w:hint="default" w:ascii="Times New Roman" w:hAnsi="Times New Roman" w:eastAsia="方正仿宋_GBK" w:cs="Times New Roman"/>
          <w:b/>
          <w:bCs/>
          <w:sz w:val="32"/>
          <w:szCs w:val="32"/>
          <w:highlight w:val="none"/>
        </w:rPr>
        <w:t>本年收入2,744.74万元</w:t>
      </w:r>
      <w:r>
        <w:rPr>
          <w:rFonts w:hint="default" w:ascii="Times New Roman" w:hAnsi="Times New Roman" w:eastAsia="方正仿宋_GBK" w:cs="Times New Roman"/>
          <w:b w:val="0"/>
          <w:sz w:val="32"/>
          <w:szCs w:val="32"/>
          <w:highlight w:val="none"/>
        </w:rPr>
        <w:t>，其中：财政拨款收入2,661.23万元,占96.96%；上级补助收入0.00万元,占0.00%；事业收入0.00万元，占0.00%；经营收入0.00万元,占0.00%；附属单位上缴收入0.00万元，占0.00%；其他收入83.50万元，占3.04%。</w:t>
      </w:r>
    </w:p>
    <w:p w14:paraId="0713135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hint="default" w:ascii="Times New Roman" w:hAnsi="Times New Roman" w:eastAsia="黑体" w:cs="Times New Roman"/>
          <w:sz w:val="32"/>
          <w:szCs w:val="32"/>
          <w:highlight w:val="none"/>
        </w:rPr>
      </w:pPr>
      <w:r>
        <w:rPr>
          <w:rFonts w:hint="default" w:ascii="Times New Roman" w:hAnsi="Times New Roman" w:eastAsia="黑体" w:cs="Times New Roman"/>
          <w:b w:val="0"/>
          <w:sz w:val="32"/>
          <w:szCs w:val="32"/>
          <w:highlight w:val="none"/>
        </w:rPr>
        <w:t>三、支出决算情况说明</w:t>
      </w:r>
    </w:p>
    <w:p w14:paraId="786AB60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val="0"/>
          <w:sz w:val="32"/>
          <w:szCs w:val="32"/>
          <w:highlight w:val="none"/>
        </w:rPr>
      </w:pPr>
      <w:r>
        <w:rPr>
          <w:rFonts w:hint="default" w:ascii="Times New Roman" w:hAnsi="Times New Roman" w:eastAsia="方正仿宋_GBK" w:cs="Times New Roman"/>
          <w:b/>
          <w:bCs/>
          <w:sz w:val="32"/>
          <w:szCs w:val="32"/>
          <w:highlight w:val="none"/>
        </w:rPr>
        <w:t>本年支出2,744.66万元</w:t>
      </w:r>
      <w:r>
        <w:rPr>
          <w:rFonts w:hint="default" w:ascii="Times New Roman" w:hAnsi="Times New Roman" w:eastAsia="方正仿宋_GBK" w:cs="Times New Roman"/>
          <w:b w:val="0"/>
          <w:sz w:val="32"/>
          <w:szCs w:val="32"/>
          <w:highlight w:val="none"/>
        </w:rPr>
        <w:t>，其中：基本支出1,685.57万元，占61.41%；项目支出1,059.09万元，占38.59%；上缴上级支出0.00万元，占0.00%；经营支出0.00万元，占0.00%；对附属单位补助支出0.00万元，占0.00%。</w:t>
      </w:r>
    </w:p>
    <w:p w14:paraId="116F43E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hint="default" w:ascii="Times New Roman" w:hAnsi="Times New Roman" w:eastAsia="黑体" w:cs="Times New Roman"/>
          <w:sz w:val="32"/>
          <w:szCs w:val="32"/>
          <w:highlight w:val="none"/>
        </w:rPr>
      </w:pPr>
      <w:r>
        <w:rPr>
          <w:rFonts w:hint="default" w:ascii="Times New Roman" w:hAnsi="Times New Roman" w:eastAsia="黑体" w:cs="Times New Roman"/>
          <w:b w:val="0"/>
          <w:sz w:val="32"/>
          <w:szCs w:val="32"/>
          <w:highlight w:val="none"/>
        </w:rPr>
        <w:t>四、财政拨款收入支出决算总体情况说明</w:t>
      </w:r>
    </w:p>
    <w:p w14:paraId="56A276C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rPr>
      </w:pPr>
      <w:r>
        <w:rPr>
          <w:rFonts w:hint="default" w:ascii="Times New Roman" w:hAnsi="Times New Roman" w:eastAsia="方正仿宋_GBK" w:cs="Times New Roman"/>
          <w:b w:val="0"/>
          <w:sz w:val="32"/>
          <w:szCs w:val="32"/>
          <w:highlight w:val="none"/>
        </w:rPr>
        <w:t>2025年度财政拨款收入总计2,704.41万元，其中：年初财政拨款结转和结余43.18万元，本年财政拨款收入2,661.23万元。财政拨款支出总计2,704.41万元，其中：年末财政拨款结转和结余28.18万元，本年财政拨款支出2,676.24万元。</w:t>
      </w:r>
    </w:p>
    <w:p w14:paraId="3E65F04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default" w:ascii="Times New Roman" w:hAnsi="Times New Roman" w:eastAsia="方正仿宋_GBK" w:cs="Times New Roman"/>
          <w:b w:val="0"/>
          <w:sz w:val="32"/>
          <w:szCs w:val="32"/>
          <w:highlight w:val="none"/>
        </w:rPr>
        <w:t>财政拨款收入支出总体与上年相比，增加81.44万元，增长3.10%，主要原因是：</w:t>
      </w:r>
      <w:r>
        <w:rPr>
          <w:rFonts w:hint="default" w:ascii="Times New Roman" w:hAnsi="Times New Roman" w:eastAsia="方正仿宋_GBK" w:cs="Times New Roman"/>
          <w:b w:val="0"/>
          <w:sz w:val="32"/>
          <w:szCs w:val="32"/>
          <w:highlight w:val="none"/>
          <w:lang w:val="en-US" w:eastAsia="zh-CN"/>
        </w:rPr>
        <w:t>2025年在职人员增加</w:t>
      </w:r>
      <w:r>
        <w:rPr>
          <w:rFonts w:hint="default" w:ascii="Times New Roman" w:hAnsi="Times New Roman" w:eastAsia="方正仿宋_GBK" w:cs="Times New Roman"/>
          <w:b w:val="0"/>
          <w:sz w:val="32"/>
          <w:szCs w:val="32"/>
          <w:highlight w:val="none"/>
          <w:lang w:eastAsia="zh-CN"/>
        </w:rPr>
        <w:t>、</w:t>
      </w:r>
      <w:r>
        <w:rPr>
          <w:rFonts w:hint="default" w:ascii="Times New Roman" w:hAnsi="Times New Roman" w:eastAsia="方正仿宋_GBK" w:cs="Times New Roman"/>
          <w:b w:val="0"/>
          <w:sz w:val="32"/>
          <w:szCs w:val="32"/>
          <w:highlight w:val="none"/>
        </w:rPr>
        <w:t>人员正常晋升，支出</w:t>
      </w:r>
      <w:r>
        <w:rPr>
          <w:rFonts w:hint="default" w:ascii="Times New Roman" w:hAnsi="Times New Roman" w:eastAsia="方正仿宋_GBK" w:cs="Times New Roman"/>
          <w:b w:val="0"/>
          <w:sz w:val="32"/>
          <w:szCs w:val="32"/>
          <w:highlight w:val="none"/>
          <w:lang w:val="en-US" w:eastAsia="zh-CN"/>
        </w:rPr>
        <w:t>较上年</w:t>
      </w:r>
      <w:r>
        <w:rPr>
          <w:rFonts w:hint="default" w:ascii="Times New Roman" w:hAnsi="Times New Roman" w:eastAsia="方正仿宋_GBK" w:cs="Times New Roman"/>
          <w:b w:val="0"/>
          <w:sz w:val="32"/>
          <w:szCs w:val="32"/>
          <w:highlight w:val="none"/>
        </w:rPr>
        <w:t>增加。与年初预算相比，年初预算数2,410.38万元，决算数2,704.41万元，预决算差异率12.20%，主要原因是：</w:t>
      </w:r>
      <w:r>
        <w:rPr>
          <w:rFonts w:hint="default" w:ascii="Times New Roman" w:hAnsi="Times New Roman" w:eastAsia="方正仿宋_GBK" w:cs="Times New Roman"/>
          <w:b w:val="0"/>
          <w:sz w:val="32"/>
          <w:szCs w:val="32"/>
          <w:highlight w:val="none"/>
          <w:lang w:eastAsia="zh-CN"/>
        </w:rPr>
        <w:t>按自治区基本医疗调整基准缴费费率，支出增加。</w:t>
      </w:r>
    </w:p>
    <w:p w14:paraId="6FDF2C3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hint="default" w:ascii="Times New Roman" w:hAnsi="Times New Roman" w:eastAsia="黑体" w:cs="Times New Roman"/>
          <w:sz w:val="32"/>
          <w:szCs w:val="32"/>
          <w:highlight w:val="none"/>
        </w:rPr>
      </w:pPr>
      <w:r>
        <w:rPr>
          <w:rFonts w:hint="default" w:ascii="Times New Roman" w:hAnsi="Times New Roman" w:eastAsia="黑体" w:cs="Times New Roman"/>
          <w:b w:val="0"/>
          <w:sz w:val="32"/>
          <w:szCs w:val="32"/>
          <w:highlight w:val="none"/>
        </w:rPr>
        <w:t>五、一般公共预算财政拨款支出决算情况说明</w:t>
      </w:r>
    </w:p>
    <w:p w14:paraId="285790A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rPr>
      </w:pPr>
      <w:r>
        <w:rPr>
          <w:rFonts w:hint="default" w:ascii="Times New Roman" w:hAnsi="Times New Roman" w:eastAsia="方正仿宋_GBK" w:cs="Times New Roman"/>
          <w:b w:val="0"/>
          <w:sz w:val="32"/>
          <w:szCs w:val="32"/>
          <w:highlight w:val="none"/>
        </w:rPr>
        <w:t>按照党中央、国务院关于党政机关习惯过紧日子的有关要求，厉行节约办一切事业，严控一般性支出。同时坚持有保有压，优化支出结构，提高资金使用效率，合理保障</w:t>
      </w:r>
      <w:r>
        <w:rPr>
          <w:rFonts w:hint="default" w:ascii="Times New Roman" w:hAnsi="Times New Roman" w:eastAsia="方正仿宋_GBK" w:cs="Times New Roman"/>
          <w:b w:val="0"/>
          <w:sz w:val="32"/>
          <w:szCs w:val="32"/>
          <w:highlight w:val="none"/>
          <w:lang w:val="en-US" w:eastAsia="zh-CN"/>
        </w:rPr>
        <w:t>人员工资、单位运转</w:t>
      </w:r>
      <w:r>
        <w:rPr>
          <w:rFonts w:hint="default" w:ascii="Times New Roman" w:hAnsi="Times New Roman" w:eastAsia="方正仿宋_GBK" w:cs="Times New Roman"/>
          <w:b w:val="0"/>
          <w:sz w:val="32"/>
          <w:szCs w:val="32"/>
          <w:highlight w:val="none"/>
        </w:rPr>
        <w:t>等重点支出，体现在有关支出科目中。</w:t>
      </w:r>
    </w:p>
    <w:p w14:paraId="3DB6F54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rPr>
      </w:pPr>
      <w:r>
        <w:rPr>
          <w:rFonts w:hint="default" w:ascii="Times New Roman" w:hAnsi="Times New Roman" w:eastAsia="方正仿宋_GBK" w:cs="Times New Roman"/>
          <w:b w:val="0"/>
          <w:sz w:val="32"/>
          <w:szCs w:val="32"/>
          <w:highlight w:val="none"/>
        </w:rPr>
        <w:t>按照支出功能分类，社会保障和就业支出（类）社会福利（款）社会福利事业单位（项）的支出占本年财政拨款支出总额的比重最高，2025年度决算数为1,037.41万元，占比38.76%，主要用于人员工资、社会保险缴费</w:t>
      </w:r>
      <w:r>
        <w:rPr>
          <w:rFonts w:hint="default" w:ascii="Times New Roman" w:hAnsi="Times New Roman" w:eastAsia="方正仿宋_GBK" w:cs="Times New Roman"/>
          <w:b w:val="0"/>
          <w:sz w:val="32"/>
          <w:szCs w:val="32"/>
          <w:highlight w:val="none"/>
          <w:lang w:val="en-US" w:eastAsia="zh-CN"/>
        </w:rPr>
        <w:t>等</w:t>
      </w:r>
      <w:r>
        <w:rPr>
          <w:rFonts w:hint="default" w:ascii="Times New Roman" w:hAnsi="Times New Roman" w:eastAsia="方正仿宋_GBK" w:cs="Times New Roman"/>
          <w:b w:val="0"/>
          <w:sz w:val="32"/>
          <w:szCs w:val="32"/>
          <w:highlight w:val="none"/>
        </w:rPr>
        <w:t>。</w:t>
      </w:r>
    </w:p>
    <w:p w14:paraId="5A3B421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2"/>
        <w:rPr>
          <w:rFonts w:hint="default" w:ascii="Times New Roman" w:hAnsi="Times New Roman" w:eastAsia="方正楷体_GBK" w:cs="Times New Roman"/>
          <w:sz w:val="32"/>
          <w:szCs w:val="32"/>
          <w:highlight w:val="none"/>
          <w:lang w:val="en-US" w:eastAsia="zh-CN"/>
        </w:rPr>
      </w:pPr>
      <w:r>
        <w:rPr>
          <w:rFonts w:hint="default" w:ascii="Times New Roman" w:hAnsi="Times New Roman" w:eastAsia="方正楷体_GBK" w:cs="Times New Roman"/>
          <w:b w:val="0"/>
          <w:sz w:val="32"/>
          <w:szCs w:val="32"/>
          <w:highlight w:val="none"/>
        </w:rPr>
        <w:t>（一）一般公共预算财政拨款支出决算总体情况</w:t>
      </w:r>
    </w:p>
    <w:p w14:paraId="6DBE00B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rPr>
      </w:pPr>
      <w:r>
        <w:rPr>
          <w:rFonts w:hint="default" w:ascii="Times New Roman" w:hAnsi="Times New Roman" w:eastAsia="方正仿宋_GBK" w:cs="Times New Roman"/>
          <w:b w:val="0"/>
          <w:sz w:val="32"/>
          <w:szCs w:val="32"/>
          <w:highlight w:val="none"/>
        </w:rPr>
        <w:t>2025年度一般公共预算财政拨款支出2,328.75万元，占本年支出合计的84.85%。与上年相比，增加12.82万元，增长0.55%，主要原因是：</w:t>
      </w:r>
      <w:r>
        <w:rPr>
          <w:rFonts w:hint="default" w:ascii="Times New Roman" w:hAnsi="Times New Roman" w:eastAsia="方正仿宋_GBK" w:cs="Times New Roman"/>
          <w:b w:val="0"/>
          <w:sz w:val="32"/>
          <w:szCs w:val="32"/>
          <w:highlight w:val="none"/>
          <w:lang w:val="en-US" w:eastAsia="zh-CN"/>
        </w:rPr>
        <w:t>2025年在职人员增加</w:t>
      </w:r>
      <w:r>
        <w:rPr>
          <w:rFonts w:hint="default" w:ascii="Times New Roman" w:hAnsi="Times New Roman" w:eastAsia="方正仿宋_GBK" w:cs="Times New Roman"/>
          <w:b w:val="0"/>
          <w:sz w:val="32"/>
          <w:szCs w:val="32"/>
          <w:highlight w:val="none"/>
          <w:lang w:eastAsia="zh-CN"/>
        </w:rPr>
        <w:t>、</w:t>
      </w:r>
      <w:r>
        <w:rPr>
          <w:rFonts w:hint="default" w:ascii="Times New Roman" w:hAnsi="Times New Roman" w:eastAsia="方正仿宋_GBK" w:cs="Times New Roman"/>
          <w:b w:val="0"/>
          <w:sz w:val="32"/>
          <w:szCs w:val="32"/>
          <w:highlight w:val="none"/>
        </w:rPr>
        <w:t>人员正常晋升，支出</w:t>
      </w:r>
      <w:r>
        <w:rPr>
          <w:rFonts w:hint="default" w:ascii="Times New Roman" w:hAnsi="Times New Roman" w:eastAsia="方正仿宋_GBK" w:cs="Times New Roman"/>
          <w:b w:val="0"/>
          <w:sz w:val="32"/>
          <w:szCs w:val="32"/>
          <w:highlight w:val="none"/>
          <w:lang w:val="en-US" w:eastAsia="zh-CN"/>
        </w:rPr>
        <w:t>较上年</w:t>
      </w:r>
      <w:r>
        <w:rPr>
          <w:rFonts w:hint="default" w:ascii="Times New Roman" w:hAnsi="Times New Roman" w:eastAsia="方正仿宋_GBK" w:cs="Times New Roman"/>
          <w:b w:val="0"/>
          <w:sz w:val="32"/>
          <w:szCs w:val="32"/>
          <w:highlight w:val="none"/>
        </w:rPr>
        <w:t>增加。与年初预算相比，年初预算数2,060.38万元，决算数2,328.75万元，预决算差异率13.03%，主要原因是：</w:t>
      </w:r>
      <w:r>
        <w:rPr>
          <w:rFonts w:hint="default" w:ascii="Times New Roman" w:hAnsi="Times New Roman" w:eastAsia="方正仿宋_GBK" w:cs="Times New Roman"/>
          <w:b w:val="0"/>
          <w:sz w:val="32"/>
          <w:szCs w:val="32"/>
          <w:highlight w:val="none"/>
          <w:lang w:val="en-US" w:eastAsia="zh-CN"/>
        </w:rPr>
        <w:t>按照自治区基本医疗保险政策规定，调增单位基准缴费费率，支出增加</w:t>
      </w:r>
      <w:r>
        <w:rPr>
          <w:rFonts w:hint="default" w:ascii="Times New Roman" w:hAnsi="Times New Roman" w:eastAsia="方正仿宋_GBK" w:cs="Times New Roman"/>
          <w:b w:val="0"/>
          <w:sz w:val="32"/>
          <w:szCs w:val="32"/>
          <w:highlight w:val="none"/>
        </w:rPr>
        <w:t>。</w:t>
      </w:r>
    </w:p>
    <w:p w14:paraId="71543E3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2"/>
        <w:rPr>
          <w:rFonts w:hint="default" w:ascii="Times New Roman" w:hAnsi="Times New Roman" w:eastAsia="方正楷体_GBK" w:cs="Times New Roman"/>
          <w:sz w:val="32"/>
          <w:szCs w:val="32"/>
          <w:highlight w:val="none"/>
        </w:rPr>
      </w:pPr>
      <w:r>
        <w:rPr>
          <w:rFonts w:hint="default" w:ascii="Times New Roman" w:hAnsi="Times New Roman" w:eastAsia="方正楷体_GBK" w:cs="Times New Roman"/>
          <w:b w:val="0"/>
          <w:sz w:val="32"/>
          <w:szCs w:val="32"/>
          <w:highlight w:val="none"/>
        </w:rPr>
        <w:t>（二）一般公共预算财政拨款支出决算结构情况</w:t>
      </w:r>
    </w:p>
    <w:p w14:paraId="703EB27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rPr>
      </w:pPr>
      <w:r>
        <w:rPr>
          <w:rFonts w:hint="default" w:ascii="Times New Roman" w:hAnsi="Times New Roman" w:eastAsia="方正仿宋_GBK" w:cs="Times New Roman"/>
          <w:b w:val="0"/>
          <w:sz w:val="32"/>
          <w:szCs w:val="32"/>
          <w:highlight w:val="none"/>
        </w:rPr>
        <w:t>1.社会保障和就业支出（类）2,116.11万元，占90.87%。</w:t>
      </w:r>
    </w:p>
    <w:p w14:paraId="2947103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rPr>
      </w:pPr>
      <w:r>
        <w:rPr>
          <w:rFonts w:hint="default" w:ascii="Times New Roman" w:hAnsi="Times New Roman" w:eastAsia="方正仿宋_GBK" w:cs="Times New Roman"/>
          <w:b w:val="0"/>
          <w:sz w:val="32"/>
          <w:szCs w:val="32"/>
          <w:highlight w:val="none"/>
        </w:rPr>
        <w:t>2.卫生健康支出（类）122.53万元，占5.26%。</w:t>
      </w:r>
    </w:p>
    <w:p w14:paraId="08239FC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rPr>
      </w:pPr>
      <w:r>
        <w:rPr>
          <w:rFonts w:hint="default" w:ascii="Times New Roman" w:hAnsi="Times New Roman" w:eastAsia="方正仿宋_GBK" w:cs="Times New Roman"/>
          <w:b w:val="0"/>
          <w:sz w:val="32"/>
          <w:szCs w:val="32"/>
          <w:highlight w:val="none"/>
        </w:rPr>
        <w:t>3.住房保障支出（类）90.11万元，占3.87%。</w:t>
      </w:r>
    </w:p>
    <w:p w14:paraId="03BEA40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2"/>
        <w:rPr>
          <w:rFonts w:hint="default" w:ascii="Times New Roman" w:hAnsi="Times New Roman" w:eastAsia="方正楷体_GBK" w:cs="Times New Roman"/>
          <w:sz w:val="32"/>
          <w:szCs w:val="32"/>
          <w:highlight w:val="none"/>
        </w:rPr>
      </w:pPr>
      <w:r>
        <w:rPr>
          <w:rFonts w:hint="default" w:ascii="Times New Roman" w:hAnsi="Times New Roman" w:eastAsia="方正楷体_GBK" w:cs="Times New Roman"/>
          <w:b w:val="0"/>
          <w:sz w:val="32"/>
          <w:szCs w:val="32"/>
          <w:highlight w:val="none"/>
        </w:rPr>
        <w:t>（三）一般公共预算财政拨款支出决算具体情况</w:t>
      </w:r>
    </w:p>
    <w:p w14:paraId="3A535C0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rPr>
      </w:pPr>
      <w:r>
        <w:rPr>
          <w:rFonts w:hint="default" w:ascii="Times New Roman" w:hAnsi="Times New Roman" w:eastAsia="方正仿宋_GBK" w:cs="Times New Roman"/>
          <w:b w:val="0"/>
          <w:sz w:val="32"/>
          <w:szCs w:val="32"/>
          <w:highlight w:val="none"/>
        </w:rPr>
        <w:t>1</w:t>
      </w:r>
      <w:r>
        <w:rPr>
          <w:rFonts w:hint="default" w:ascii="Times New Roman" w:hAnsi="Times New Roman" w:eastAsia="方正仿宋_GBK" w:cs="Times New Roman"/>
          <w:b w:val="0"/>
          <w:sz w:val="32"/>
          <w:szCs w:val="32"/>
          <w:highlight w:val="none"/>
          <w:lang w:eastAsia="zh-CN"/>
        </w:rPr>
        <w:t>.</w:t>
      </w:r>
      <w:r>
        <w:rPr>
          <w:rFonts w:hint="default" w:ascii="Times New Roman" w:hAnsi="Times New Roman" w:eastAsia="方正仿宋_GBK" w:cs="Times New Roman"/>
          <w:b w:val="0"/>
          <w:sz w:val="32"/>
          <w:szCs w:val="32"/>
          <w:highlight w:val="none"/>
        </w:rPr>
        <w:t>社会保障和就业支出（类）行政事业单位养老支出（款）事业单位离退休（项）：支出决算数为239.00万元，比上年决算增加41.54万元，增长21.04%，主要原因是：</w:t>
      </w:r>
      <w:r>
        <w:rPr>
          <w:rFonts w:hint="default" w:ascii="Times New Roman" w:hAnsi="Times New Roman" w:eastAsia="方正仿宋_GBK" w:cs="Times New Roman"/>
          <w:b w:val="0"/>
          <w:sz w:val="32"/>
          <w:szCs w:val="32"/>
          <w:highlight w:val="none"/>
          <w:lang w:val="en-US" w:eastAsia="zh-CN"/>
        </w:rPr>
        <w:t>2025年退休人员待遇提高，</w:t>
      </w:r>
      <w:r>
        <w:rPr>
          <w:rFonts w:hint="default" w:ascii="Times New Roman" w:hAnsi="Times New Roman" w:eastAsia="方正仿宋_GBK" w:cs="Times New Roman"/>
          <w:b w:val="0"/>
          <w:color w:val="auto"/>
          <w:sz w:val="32"/>
          <w:szCs w:val="32"/>
          <w:highlight w:val="none"/>
        </w:rPr>
        <w:t>支出</w:t>
      </w:r>
      <w:r>
        <w:rPr>
          <w:rFonts w:hint="default" w:ascii="Times New Roman" w:hAnsi="Times New Roman" w:eastAsia="方正仿宋_GBK" w:cs="Times New Roman"/>
          <w:b w:val="0"/>
          <w:color w:val="auto"/>
          <w:sz w:val="32"/>
          <w:szCs w:val="32"/>
          <w:highlight w:val="none"/>
          <w:lang w:val="en-US" w:eastAsia="zh-CN"/>
        </w:rPr>
        <w:t>较上年</w:t>
      </w:r>
      <w:r>
        <w:rPr>
          <w:rFonts w:hint="default" w:ascii="Times New Roman" w:hAnsi="Times New Roman" w:eastAsia="方正仿宋_GBK" w:cs="Times New Roman"/>
          <w:b w:val="0"/>
          <w:color w:val="auto"/>
          <w:sz w:val="32"/>
          <w:szCs w:val="32"/>
          <w:highlight w:val="none"/>
        </w:rPr>
        <w:t>增加</w:t>
      </w:r>
      <w:r>
        <w:rPr>
          <w:rFonts w:hint="default" w:ascii="Times New Roman" w:hAnsi="Times New Roman" w:eastAsia="方正仿宋_GBK" w:cs="Times New Roman"/>
          <w:b w:val="0"/>
          <w:sz w:val="32"/>
          <w:szCs w:val="32"/>
          <w:highlight w:val="none"/>
          <w:lang w:val="en-US" w:eastAsia="zh-CN"/>
        </w:rPr>
        <w:t>。</w:t>
      </w:r>
    </w:p>
    <w:p w14:paraId="539F72D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yellow"/>
        </w:rPr>
      </w:pPr>
      <w:r>
        <w:rPr>
          <w:rFonts w:hint="default" w:ascii="Times New Roman" w:hAnsi="Times New Roman" w:eastAsia="方正仿宋_GBK" w:cs="Times New Roman"/>
          <w:b w:val="0"/>
          <w:sz w:val="32"/>
          <w:szCs w:val="32"/>
          <w:highlight w:val="none"/>
        </w:rPr>
        <w:t>2</w:t>
      </w:r>
      <w:r>
        <w:rPr>
          <w:rFonts w:hint="default" w:ascii="Times New Roman" w:hAnsi="Times New Roman" w:eastAsia="方正仿宋_GBK" w:cs="Times New Roman"/>
          <w:b w:val="0"/>
          <w:sz w:val="32"/>
          <w:szCs w:val="32"/>
          <w:highlight w:val="none"/>
          <w:lang w:eastAsia="zh-CN"/>
        </w:rPr>
        <w:t>.</w:t>
      </w:r>
      <w:r>
        <w:rPr>
          <w:rFonts w:hint="default" w:ascii="Times New Roman" w:hAnsi="Times New Roman" w:eastAsia="方正仿宋_GBK" w:cs="Times New Roman"/>
          <w:b w:val="0"/>
          <w:sz w:val="32"/>
          <w:szCs w:val="32"/>
          <w:highlight w:val="none"/>
        </w:rPr>
        <w:t>社会保障和就业支出（类）行政事业单位养老支出（款）机关事业单位基本养老保险缴费支出（项）：支出决算数为116.25万元，比上年决算减少14.79万元，下降11.29%，主要原因是：</w:t>
      </w:r>
      <w:r>
        <w:rPr>
          <w:rFonts w:hint="eastAsia" w:ascii="Times New Roman" w:hAnsi="Times New Roman" w:eastAsia="方正仿宋_GBK" w:cs="Times New Roman"/>
          <w:b w:val="0"/>
          <w:sz w:val="32"/>
          <w:szCs w:val="32"/>
          <w:highlight w:val="none"/>
          <w:lang w:val="en-US" w:eastAsia="zh-CN"/>
        </w:rPr>
        <w:t>2025年</w:t>
      </w:r>
      <w:r>
        <w:rPr>
          <w:rFonts w:hint="default" w:ascii="Times New Roman" w:hAnsi="Times New Roman" w:eastAsia="方正仿宋_GBK" w:cs="Times New Roman"/>
          <w:b w:val="0"/>
          <w:sz w:val="32"/>
          <w:szCs w:val="32"/>
          <w:highlight w:val="none"/>
        </w:rPr>
        <w:t>机关事业单位基本养老保险缴费</w:t>
      </w:r>
      <w:r>
        <w:rPr>
          <w:rFonts w:hint="eastAsia" w:ascii="Times New Roman" w:hAnsi="Times New Roman" w:eastAsia="方正仿宋_GBK" w:cs="Times New Roman"/>
          <w:b w:val="0"/>
          <w:sz w:val="32"/>
          <w:szCs w:val="32"/>
          <w:highlight w:val="none"/>
          <w:lang w:eastAsia="zh-CN"/>
        </w:rPr>
        <w:t>基数降低</w:t>
      </w:r>
      <w:r>
        <w:rPr>
          <w:rFonts w:hint="default" w:ascii="Times New Roman" w:hAnsi="Times New Roman" w:eastAsia="方正仿宋_GBK" w:cs="Times New Roman"/>
          <w:b w:val="0"/>
          <w:sz w:val="32"/>
          <w:szCs w:val="32"/>
          <w:highlight w:val="none"/>
        </w:rPr>
        <w:t>，支出</w:t>
      </w:r>
      <w:r>
        <w:rPr>
          <w:rFonts w:hint="default" w:ascii="Times New Roman" w:hAnsi="Times New Roman" w:eastAsia="方正仿宋_GBK" w:cs="Times New Roman"/>
          <w:b w:val="0"/>
          <w:sz w:val="32"/>
          <w:szCs w:val="32"/>
          <w:highlight w:val="none"/>
          <w:lang w:val="en-US" w:eastAsia="zh-CN"/>
        </w:rPr>
        <w:t>较上年</w:t>
      </w:r>
      <w:r>
        <w:rPr>
          <w:rFonts w:hint="default" w:ascii="Times New Roman" w:hAnsi="Times New Roman" w:eastAsia="方正仿宋_GBK" w:cs="Times New Roman"/>
          <w:b w:val="0"/>
          <w:sz w:val="32"/>
          <w:szCs w:val="32"/>
          <w:highlight w:val="none"/>
        </w:rPr>
        <w:t>减少。</w:t>
      </w:r>
    </w:p>
    <w:p w14:paraId="4BC5C80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eastAsia="zh-CN"/>
        </w:rPr>
      </w:pPr>
      <w:r>
        <w:rPr>
          <w:rFonts w:hint="default" w:ascii="Times New Roman" w:hAnsi="Times New Roman" w:eastAsia="方正仿宋_GBK" w:cs="Times New Roman"/>
          <w:b w:val="0"/>
          <w:sz w:val="32"/>
          <w:szCs w:val="32"/>
          <w:highlight w:val="none"/>
        </w:rPr>
        <w:t>3</w:t>
      </w:r>
      <w:r>
        <w:rPr>
          <w:rFonts w:hint="default" w:ascii="Times New Roman" w:hAnsi="Times New Roman" w:eastAsia="方正仿宋_GBK" w:cs="Times New Roman"/>
          <w:b w:val="0"/>
          <w:sz w:val="32"/>
          <w:szCs w:val="32"/>
          <w:highlight w:val="none"/>
          <w:lang w:eastAsia="zh-CN"/>
        </w:rPr>
        <w:t>.</w:t>
      </w:r>
      <w:r>
        <w:rPr>
          <w:rFonts w:hint="default" w:ascii="Times New Roman" w:hAnsi="Times New Roman" w:eastAsia="方正仿宋_GBK" w:cs="Times New Roman"/>
          <w:b w:val="0"/>
          <w:sz w:val="32"/>
          <w:szCs w:val="32"/>
          <w:highlight w:val="none"/>
        </w:rPr>
        <w:t>社会保障和就业支出（类）行政事业单位养老支出（款）机关事业单位职业年金缴费支出（项）：支出决算数为110.64万元，比上年决算增加80.01万元，增长261.21%，主要原因是：</w:t>
      </w:r>
      <w:r>
        <w:rPr>
          <w:rFonts w:hint="default" w:ascii="Times New Roman" w:hAnsi="Times New Roman" w:eastAsia="方正仿宋_GBK" w:cs="Times New Roman"/>
          <w:b w:val="0"/>
          <w:sz w:val="32"/>
          <w:szCs w:val="32"/>
          <w:highlight w:val="none"/>
          <w:lang w:eastAsia="zh-CN"/>
        </w:rPr>
        <w:t>按自治区职业年金缴费有关政策规定，在职人员职业年金支出增加。</w:t>
      </w:r>
    </w:p>
    <w:p w14:paraId="387F6C7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rPr>
      </w:pPr>
      <w:r>
        <w:rPr>
          <w:rFonts w:hint="default" w:ascii="Times New Roman" w:hAnsi="Times New Roman" w:eastAsia="方正仿宋_GBK" w:cs="Times New Roman"/>
          <w:b w:val="0"/>
          <w:sz w:val="32"/>
          <w:szCs w:val="32"/>
          <w:highlight w:val="none"/>
        </w:rPr>
        <w:t>4</w:t>
      </w:r>
      <w:r>
        <w:rPr>
          <w:rFonts w:hint="eastAsia" w:ascii="Times New Roman" w:hAnsi="Times New Roman" w:eastAsia="方正仿宋_GBK" w:cs="Times New Roman"/>
          <w:b w:val="0"/>
          <w:sz w:val="32"/>
          <w:szCs w:val="32"/>
          <w:highlight w:val="none"/>
          <w:lang w:eastAsia="zh-CN"/>
        </w:rPr>
        <w:t>.</w:t>
      </w:r>
      <w:r>
        <w:rPr>
          <w:rFonts w:hint="default" w:ascii="Times New Roman" w:hAnsi="Times New Roman" w:eastAsia="方正仿宋_GBK" w:cs="Times New Roman"/>
          <w:b w:val="0"/>
          <w:sz w:val="32"/>
          <w:szCs w:val="32"/>
          <w:highlight w:val="none"/>
        </w:rPr>
        <w:t>社会保障和就业支出（类）抚恤（款）死亡抚恤（项）：支出决算数为12.81万元，比上年决算增加12.81万元，增长100.00%，主要原因是：</w:t>
      </w:r>
      <w:r>
        <w:rPr>
          <w:rFonts w:hint="default" w:ascii="Times New Roman" w:hAnsi="Times New Roman" w:eastAsia="方正仿宋_GBK" w:cs="Times New Roman"/>
          <w:b w:val="0"/>
          <w:sz w:val="32"/>
          <w:szCs w:val="32"/>
          <w:highlight w:val="none"/>
          <w:lang w:val="en-US" w:eastAsia="zh-CN"/>
        </w:rPr>
        <w:t>2025年</w:t>
      </w:r>
      <w:r>
        <w:rPr>
          <w:rFonts w:hint="default" w:ascii="Times New Roman" w:hAnsi="Times New Roman" w:eastAsia="方正仿宋_GBK" w:cs="Times New Roman"/>
          <w:b w:val="0"/>
          <w:sz w:val="32"/>
          <w:szCs w:val="32"/>
          <w:highlight w:val="none"/>
        </w:rPr>
        <w:t>去世人员</w:t>
      </w:r>
      <w:r>
        <w:rPr>
          <w:rFonts w:hint="default" w:ascii="Times New Roman" w:hAnsi="Times New Roman" w:eastAsia="方正仿宋_GBK" w:cs="Times New Roman"/>
          <w:b w:val="0"/>
          <w:sz w:val="32"/>
          <w:szCs w:val="32"/>
          <w:highlight w:val="none"/>
          <w:lang w:val="en-US" w:eastAsia="zh-CN"/>
        </w:rPr>
        <w:t>抚恤金由社会福利事业单位科目调整至此科目列支</w:t>
      </w:r>
      <w:r>
        <w:rPr>
          <w:rFonts w:hint="default" w:ascii="Times New Roman" w:hAnsi="Times New Roman" w:eastAsia="方正仿宋_GBK" w:cs="Times New Roman"/>
          <w:b w:val="0"/>
          <w:sz w:val="32"/>
          <w:szCs w:val="32"/>
          <w:highlight w:val="none"/>
        </w:rPr>
        <w:t>，支出</w:t>
      </w:r>
      <w:r>
        <w:rPr>
          <w:rFonts w:hint="default" w:ascii="Times New Roman" w:hAnsi="Times New Roman" w:eastAsia="方正仿宋_GBK" w:cs="Times New Roman"/>
          <w:b w:val="0"/>
          <w:sz w:val="32"/>
          <w:szCs w:val="32"/>
          <w:highlight w:val="none"/>
          <w:lang w:val="en-US" w:eastAsia="zh-CN"/>
        </w:rPr>
        <w:t>较上</w:t>
      </w:r>
      <w:bookmarkStart w:id="0" w:name="_GoBack"/>
      <w:bookmarkEnd w:id="0"/>
      <w:r>
        <w:rPr>
          <w:rFonts w:hint="default" w:ascii="Times New Roman" w:hAnsi="Times New Roman" w:eastAsia="方正仿宋_GBK" w:cs="Times New Roman"/>
          <w:b w:val="0"/>
          <w:sz w:val="32"/>
          <w:szCs w:val="32"/>
          <w:highlight w:val="none"/>
          <w:lang w:val="en-US" w:eastAsia="zh-CN"/>
        </w:rPr>
        <w:t>年</w:t>
      </w:r>
      <w:r>
        <w:rPr>
          <w:rFonts w:hint="default" w:ascii="Times New Roman" w:hAnsi="Times New Roman" w:eastAsia="方正仿宋_GBK" w:cs="Times New Roman"/>
          <w:b w:val="0"/>
          <w:sz w:val="32"/>
          <w:szCs w:val="32"/>
          <w:highlight w:val="none"/>
        </w:rPr>
        <w:t>增加。</w:t>
      </w:r>
    </w:p>
    <w:p w14:paraId="34A90C0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yellow"/>
        </w:rPr>
      </w:pPr>
      <w:r>
        <w:rPr>
          <w:rFonts w:hint="eastAsia" w:ascii="Times New Roman" w:hAnsi="Times New Roman" w:eastAsia="方正仿宋_GBK" w:cs="Times New Roman"/>
          <w:b w:val="0"/>
          <w:sz w:val="32"/>
          <w:szCs w:val="32"/>
          <w:highlight w:val="none"/>
          <w:lang w:val="en-US" w:eastAsia="zh-CN"/>
        </w:rPr>
        <w:t>5</w:t>
      </w:r>
      <w:r>
        <w:rPr>
          <w:rFonts w:hint="default" w:ascii="Times New Roman" w:hAnsi="Times New Roman" w:eastAsia="方正仿宋_GBK" w:cs="Times New Roman"/>
          <w:b w:val="0"/>
          <w:sz w:val="32"/>
          <w:szCs w:val="32"/>
          <w:highlight w:val="none"/>
          <w:lang w:val="en-US" w:eastAsia="zh-CN"/>
        </w:rPr>
        <w:t>.</w:t>
      </w:r>
      <w:r>
        <w:rPr>
          <w:rFonts w:hint="default" w:ascii="Times New Roman" w:hAnsi="Times New Roman" w:eastAsia="方正仿宋_GBK" w:cs="Times New Roman"/>
          <w:b w:val="0"/>
          <w:sz w:val="32"/>
          <w:szCs w:val="32"/>
          <w:highlight w:val="none"/>
        </w:rPr>
        <w:t>社会保障和就业支出（类）社会福利（款）社会福利事业单位（项）：支出决算数为1,037.41万元，比上年决算减少59.68万元，下降5.44%，主要原因是：</w:t>
      </w:r>
      <w:r>
        <w:rPr>
          <w:rFonts w:hint="eastAsia" w:ascii="Times New Roman" w:hAnsi="Times New Roman" w:eastAsia="方正仿宋_GBK" w:cs="Times New Roman"/>
          <w:b w:val="0"/>
          <w:sz w:val="32"/>
          <w:szCs w:val="32"/>
          <w:highlight w:val="none"/>
          <w:lang w:val="en-US" w:eastAsia="zh-CN"/>
        </w:rPr>
        <w:t>2025年</w:t>
      </w:r>
      <w:r>
        <w:rPr>
          <w:rFonts w:hint="default" w:ascii="Times New Roman" w:hAnsi="Times New Roman" w:eastAsia="方正仿宋_GBK" w:cs="Times New Roman"/>
          <w:b w:val="0"/>
          <w:sz w:val="32"/>
          <w:szCs w:val="32"/>
          <w:highlight w:val="none"/>
        </w:rPr>
        <w:t>去世人员</w:t>
      </w:r>
      <w:r>
        <w:rPr>
          <w:rFonts w:hint="default" w:ascii="Times New Roman" w:hAnsi="Times New Roman" w:eastAsia="方正仿宋_GBK" w:cs="Times New Roman"/>
          <w:b w:val="0"/>
          <w:sz w:val="32"/>
          <w:szCs w:val="32"/>
          <w:highlight w:val="none"/>
          <w:lang w:val="en-US" w:eastAsia="zh-CN"/>
        </w:rPr>
        <w:t>抚恤金由</w:t>
      </w:r>
      <w:r>
        <w:rPr>
          <w:rFonts w:hint="eastAsia" w:ascii="Times New Roman" w:hAnsi="Times New Roman" w:eastAsia="方正仿宋_GBK" w:cs="Times New Roman"/>
          <w:b w:val="0"/>
          <w:sz w:val="32"/>
          <w:szCs w:val="32"/>
          <w:highlight w:val="none"/>
          <w:lang w:val="en-US" w:eastAsia="zh-CN"/>
        </w:rPr>
        <w:t>此科目</w:t>
      </w:r>
      <w:r>
        <w:rPr>
          <w:rFonts w:hint="default" w:ascii="Times New Roman" w:hAnsi="Times New Roman" w:eastAsia="方正仿宋_GBK" w:cs="Times New Roman"/>
          <w:b w:val="0"/>
          <w:sz w:val="32"/>
          <w:szCs w:val="32"/>
          <w:highlight w:val="none"/>
          <w:lang w:val="en-US" w:eastAsia="zh-CN"/>
        </w:rPr>
        <w:t>调整至</w:t>
      </w:r>
      <w:r>
        <w:rPr>
          <w:rFonts w:hint="default" w:ascii="Times New Roman" w:hAnsi="Times New Roman" w:eastAsia="方正仿宋_GBK" w:cs="Times New Roman"/>
          <w:b w:val="0"/>
          <w:sz w:val="32"/>
          <w:szCs w:val="32"/>
          <w:highlight w:val="none"/>
        </w:rPr>
        <w:t>死亡抚恤</w:t>
      </w:r>
      <w:r>
        <w:rPr>
          <w:rFonts w:hint="default" w:ascii="Times New Roman" w:hAnsi="Times New Roman" w:eastAsia="方正仿宋_GBK" w:cs="Times New Roman"/>
          <w:b w:val="0"/>
          <w:sz w:val="32"/>
          <w:szCs w:val="32"/>
          <w:highlight w:val="none"/>
          <w:lang w:val="en-US" w:eastAsia="zh-CN"/>
        </w:rPr>
        <w:t>列支</w:t>
      </w:r>
      <w:r>
        <w:rPr>
          <w:rFonts w:hint="eastAsia" w:ascii="Times New Roman" w:hAnsi="Times New Roman" w:eastAsia="方正仿宋_GBK" w:cs="Times New Roman"/>
          <w:b w:val="0"/>
          <w:sz w:val="32"/>
          <w:szCs w:val="32"/>
          <w:highlight w:val="none"/>
          <w:lang w:val="en-US" w:eastAsia="zh-CN"/>
        </w:rPr>
        <w:t>，</w:t>
      </w:r>
      <w:r>
        <w:rPr>
          <w:rFonts w:hint="default" w:ascii="Times New Roman" w:hAnsi="Times New Roman" w:eastAsia="方正仿宋_GBK" w:cs="Times New Roman"/>
          <w:b w:val="0"/>
          <w:sz w:val="32"/>
          <w:szCs w:val="32"/>
          <w:highlight w:val="none"/>
        </w:rPr>
        <w:t>支出</w:t>
      </w:r>
      <w:r>
        <w:rPr>
          <w:rFonts w:hint="default" w:ascii="Times New Roman" w:hAnsi="Times New Roman" w:eastAsia="方正仿宋_GBK" w:cs="Times New Roman"/>
          <w:b w:val="0"/>
          <w:sz w:val="32"/>
          <w:szCs w:val="32"/>
          <w:highlight w:val="none"/>
          <w:lang w:val="en-US" w:eastAsia="zh-CN"/>
        </w:rPr>
        <w:t>较上年</w:t>
      </w:r>
      <w:r>
        <w:rPr>
          <w:rFonts w:hint="default" w:ascii="Times New Roman" w:hAnsi="Times New Roman" w:eastAsia="方正仿宋_GBK" w:cs="Times New Roman"/>
          <w:b w:val="0"/>
          <w:sz w:val="32"/>
          <w:szCs w:val="32"/>
          <w:highlight w:val="none"/>
        </w:rPr>
        <w:t>减少。</w:t>
      </w:r>
    </w:p>
    <w:p w14:paraId="578DE56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rPr>
      </w:pPr>
      <w:r>
        <w:rPr>
          <w:rFonts w:hint="eastAsia" w:ascii="Times New Roman" w:hAnsi="Times New Roman" w:eastAsia="方正仿宋_GBK" w:cs="Times New Roman"/>
          <w:b w:val="0"/>
          <w:sz w:val="32"/>
          <w:szCs w:val="32"/>
          <w:highlight w:val="none"/>
          <w:lang w:val="en-US" w:eastAsia="zh-CN"/>
        </w:rPr>
        <w:t>6</w:t>
      </w:r>
      <w:r>
        <w:rPr>
          <w:rFonts w:hint="default" w:ascii="Times New Roman" w:hAnsi="Times New Roman" w:eastAsia="方正仿宋_GBK" w:cs="Times New Roman"/>
          <w:b w:val="0"/>
          <w:sz w:val="32"/>
          <w:szCs w:val="32"/>
          <w:highlight w:val="none"/>
          <w:lang w:eastAsia="zh-CN"/>
        </w:rPr>
        <w:t>.</w:t>
      </w:r>
      <w:r>
        <w:rPr>
          <w:rFonts w:hint="default" w:ascii="Times New Roman" w:hAnsi="Times New Roman" w:eastAsia="方正仿宋_GBK" w:cs="Times New Roman"/>
          <w:b w:val="0"/>
          <w:sz w:val="32"/>
          <w:szCs w:val="32"/>
          <w:highlight w:val="none"/>
        </w:rPr>
        <w:t>社会保障和就业支出（类）临时救助（款）临时救助支出（项）：支出决算数为600.00万元，比上年决算减少100.00万元，下降14.29%，主要原因是：自治区困难群众救助补助资金</w:t>
      </w:r>
      <w:r>
        <w:rPr>
          <w:rFonts w:hint="default" w:ascii="Times New Roman" w:hAnsi="Times New Roman" w:eastAsia="方正仿宋_GBK" w:cs="Times New Roman"/>
          <w:b w:val="0"/>
          <w:sz w:val="32"/>
          <w:szCs w:val="32"/>
          <w:highlight w:val="none"/>
          <w:lang w:val="en-US" w:eastAsia="zh-CN"/>
        </w:rPr>
        <w:t>较上年</w:t>
      </w:r>
      <w:r>
        <w:rPr>
          <w:rFonts w:hint="default" w:ascii="Times New Roman" w:hAnsi="Times New Roman" w:eastAsia="方正仿宋_GBK" w:cs="Times New Roman"/>
          <w:b w:val="0"/>
          <w:sz w:val="32"/>
          <w:szCs w:val="32"/>
          <w:highlight w:val="none"/>
        </w:rPr>
        <w:t>减少100万元。</w:t>
      </w:r>
    </w:p>
    <w:p w14:paraId="4E474F5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eastAsia" w:ascii="Times New Roman" w:hAnsi="Times New Roman" w:eastAsia="方正仿宋_GBK" w:cs="Times New Roman"/>
          <w:b w:val="0"/>
          <w:sz w:val="32"/>
          <w:szCs w:val="32"/>
          <w:highlight w:val="none"/>
          <w:lang w:val="en-US" w:eastAsia="zh-CN"/>
        </w:rPr>
        <w:t>7</w:t>
      </w:r>
      <w:r>
        <w:rPr>
          <w:rFonts w:hint="default" w:ascii="Times New Roman" w:hAnsi="Times New Roman" w:eastAsia="方正仿宋_GBK" w:cs="Times New Roman"/>
          <w:b w:val="0"/>
          <w:sz w:val="32"/>
          <w:szCs w:val="32"/>
          <w:highlight w:val="none"/>
          <w:lang w:val="en-US" w:eastAsia="zh-CN"/>
        </w:rPr>
        <w:t>.</w:t>
      </w:r>
      <w:r>
        <w:rPr>
          <w:rFonts w:hint="default" w:ascii="Times New Roman" w:hAnsi="Times New Roman" w:eastAsia="方正仿宋_GBK" w:cs="Times New Roman"/>
          <w:b w:val="0"/>
          <w:sz w:val="32"/>
          <w:szCs w:val="32"/>
          <w:highlight w:val="none"/>
        </w:rPr>
        <w:t>卫生健康支出（类）行政事业单位医疗（款）事业单位医疗（项）：支出决算数为68.27万元，比上年决算增加6.84万元，增长11.13%，主要原因是：</w:t>
      </w:r>
      <w:r>
        <w:rPr>
          <w:rFonts w:hint="default" w:ascii="Times New Roman" w:hAnsi="Times New Roman" w:eastAsia="方正仿宋_GBK" w:cs="Times New Roman"/>
          <w:b w:val="0"/>
          <w:sz w:val="32"/>
          <w:szCs w:val="32"/>
          <w:highlight w:val="none"/>
          <w:lang w:eastAsia="zh-CN"/>
        </w:rPr>
        <w:t>按自治区基本医疗调整基准缴费费率，支出</w:t>
      </w:r>
      <w:r>
        <w:rPr>
          <w:rFonts w:hint="default" w:ascii="Times New Roman" w:hAnsi="Times New Roman" w:eastAsia="方正仿宋_GBK" w:cs="Times New Roman"/>
          <w:b w:val="0"/>
          <w:sz w:val="32"/>
          <w:szCs w:val="32"/>
          <w:highlight w:val="none"/>
          <w:lang w:val="en-US" w:eastAsia="zh-CN"/>
        </w:rPr>
        <w:t>较上年</w:t>
      </w:r>
      <w:r>
        <w:rPr>
          <w:rFonts w:hint="default" w:ascii="Times New Roman" w:hAnsi="Times New Roman" w:eastAsia="方正仿宋_GBK" w:cs="Times New Roman"/>
          <w:b w:val="0"/>
          <w:sz w:val="32"/>
          <w:szCs w:val="32"/>
          <w:highlight w:val="none"/>
          <w:lang w:eastAsia="zh-CN"/>
        </w:rPr>
        <w:t>增加。</w:t>
      </w:r>
    </w:p>
    <w:p w14:paraId="15453760">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rPr>
      </w:pPr>
      <w:r>
        <w:rPr>
          <w:rFonts w:hint="eastAsia" w:ascii="Times New Roman" w:hAnsi="Times New Roman" w:eastAsia="方正仿宋_GBK" w:cs="Times New Roman"/>
          <w:b w:val="0"/>
          <w:sz w:val="32"/>
          <w:szCs w:val="32"/>
          <w:highlight w:val="none"/>
          <w:lang w:val="en-US" w:eastAsia="zh-CN"/>
        </w:rPr>
        <w:t>8</w:t>
      </w:r>
      <w:r>
        <w:rPr>
          <w:rFonts w:hint="default" w:ascii="Times New Roman" w:hAnsi="Times New Roman" w:eastAsia="方正仿宋_GBK" w:cs="Times New Roman"/>
          <w:b w:val="0"/>
          <w:sz w:val="32"/>
          <w:szCs w:val="32"/>
          <w:highlight w:val="none"/>
          <w:lang w:val="en-US" w:eastAsia="zh-CN"/>
        </w:rPr>
        <w:t>.</w:t>
      </w:r>
      <w:r>
        <w:rPr>
          <w:rFonts w:hint="default" w:ascii="Times New Roman" w:hAnsi="Times New Roman" w:eastAsia="方正仿宋_GBK" w:cs="Times New Roman"/>
          <w:b w:val="0"/>
          <w:sz w:val="32"/>
          <w:szCs w:val="32"/>
          <w:highlight w:val="none"/>
        </w:rPr>
        <w:t>卫生健康支出（类）行政事业单位医疗（款）公务员医疗补助（项）：支出决算数为54.26万元，比上年决算增加54.26万元，增长100.00%，主要原因是：</w:t>
      </w:r>
      <w:r>
        <w:rPr>
          <w:rFonts w:hint="default" w:ascii="Times New Roman" w:hAnsi="Times New Roman" w:eastAsia="方正仿宋_GBK" w:cs="Times New Roman"/>
          <w:b w:val="0"/>
          <w:sz w:val="32"/>
          <w:szCs w:val="32"/>
          <w:highlight w:val="none"/>
          <w:lang w:val="en-US" w:eastAsia="zh-CN"/>
        </w:rPr>
        <w:t>2025年在职人员增加</w:t>
      </w:r>
      <w:r>
        <w:rPr>
          <w:rFonts w:hint="default" w:ascii="Times New Roman" w:hAnsi="Times New Roman" w:eastAsia="方正仿宋_GBK" w:cs="Times New Roman"/>
          <w:b w:val="0"/>
          <w:sz w:val="32"/>
          <w:szCs w:val="32"/>
          <w:highlight w:val="none"/>
          <w:lang w:eastAsia="zh-CN"/>
        </w:rPr>
        <w:t>、</w:t>
      </w:r>
      <w:r>
        <w:rPr>
          <w:rFonts w:hint="default" w:ascii="Times New Roman" w:hAnsi="Times New Roman" w:eastAsia="方正仿宋_GBK" w:cs="Times New Roman"/>
          <w:b w:val="0"/>
          <w:sz w:val="32"/>
          <w:szCs w:val="32"/>
          <w:highlight w:val="none"/>
        </w:rPr>
        <w:t>人员正常晋升，支出</w:t>
      </w:r>
      <w:r>
        <w:rPr>
          <w:rFonts w:hint="default" w:ascii="Times New Roman" w:hAnsi="Times New Roman" w:eastAsia="方正仿宋_GBK" w:cs="Times New Roman"/>
          <w:b w:val="0"/>
          <w:sz w:val="32"/>
          <w:szCs w:val="32"/>
          <w:highlight w:val="none"/>
          <w:lang w:val="en-US" w:eastAsia="zh-CN"/>
        </w:rPr>
        <w:t>较上年</w:t>
      </w:r>
      <w:r>
        <w:rPr>
          <w:rFonts w:hint="default" w:ascii="Times New Roman" w:hAnsi="Times New Roman" w:eastAsia="方正仿宋_GBK" w:cs="Times New Roman"/>
          <w:b w:val="0"/>
          <w:sz w:val="32"/>
          <w:szCs w:val="32"/>
          <w:highlight w:val="none"/>
        </w:rPr>
        <w:t>增加。</w:t>
      </w:r>
    </w:p>
    <w:p w14:paraId="08486E0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rPr>
      </w:pPr>
      <w:r>
        <w:rPr>
          <w:rFonts w:hint="eastAsia" w:ascii="Times New Roman" w:hAnsi="Times New Roman" w:eastAsia="方正仿宋_GBK" w:cs="Times New Roman"/>
          <w:b w:val="0"/>
          <w:sz w:val="32"/>
          <w:szCs w:val="32"/>
          <w:highlight w:val="none"/>
          <w:lang w:val="en-US" w:eastAsia="zh-CN"/>
        </w:rPr>
        <w:t>9</w:t>
      </w:r>
      <w:r>
        <w:rPr>
          <w:rFonts w:hint="default" w:ascii="Times New Roman" w:hAnsi="Times New Roman" w:eastAsia="方正仿宋_GBK" w:cs="Times New Roman"/>
          <w:b w:val="0"/>
          <w:sz w:val="32"/>
          <w:szCs w:val="32"/>
          <w:highlight w:val="none"/>
          <w:lang w:val="en-US" w:eastAsia="zh-CN"/>
        </w:rPr>
        <w:t>.</w:t>
      </w:r>
      <w:r>
        <w:rPr>
          <w:rFonts w:hint="default" w:ascii="Times New Roman" w:hAnsi="Times New Roman" w:eastAsia="方正仿宋_GBK" w:cs="Times New Roman"/>
          <w:b w:val="0"/>
          <w:sz w:val="32"/>
          <w:szCs w:val="32"/>
          <w:highlight w:val="none"/>
        </w:rPr>
        <w:t>住房保障支出（类）住房改革支出（款）住房公积金（项）：支出决算数为90.11万元，比上年决算减少8.17万元，下降8.31%，主要原因是：</w:t>
      </w:r>
      <w:r>
        <w:rPr>
          <w:rFonts w:hint="default" w:ascii="Times New Roman" w:hAnsi="Times New Roman" w:eastAsia="方正仿宋_GBK" w:cs="Times New Roman"/>
          <w:b w:val="0"/>
          <w:sz w:val="32"/>
          <w:szCs w:val="32"/>
          <w:highlight w:val="none"/>
          <w:lang w:val="en-US" w:eastAsia="zh-CN"/>
        </w:rPr>
        <w:t>2025年住房公积金单位缴费基数降低，</w:t>
      </w:r>
      <w:r>
        <w:rPr>
          <w:rFonts w:hint="default" w:ascii="Times New Roman" w:hAnsi="Times New Roman" w:eastAsia="方正仿宋_GBK" w:cs="Times New Roman"/>
          <w:b w:val="0"/>
          <w:sz w:val="32"/>
          <w:szCs w:val="32"/>
          <w:highlight w:val="none"/>
        </w:rPr>
        <w:t>支出</w:t>
      </w:r>
      <w:r>
        <w:rPr>
          <w:rFonts w:hint="default" w:ascii="Times New Roman" w:hAnsi="Times New Roman" w:eastAsia="方正仿宋_GBK" w:cs="Times New Roman"/>
          <w:b w:val="0"/>
          <w:sz w:val="32"/>
          <w:szCs w:val="32"/>
          <w:highlight w:val="none"/>
          <w:lang w:val="en-US" w:eastAsia="zh-CN"/>
        </w:rPr>
        <w:t>较上年</w:t>
      </w:r>
      <w:r>
        <w:rPr>
          <w:rFonts w:hint="default" w:ascii="Times New Roman" w:hAnsi="Times New Roman" w:eastAsia="方正仿宋_GBK" w:cs="Times New Roman"/>
          <w:b w:val="0"/>
          <w:sz w:val="32"/>
          <w:szCs w:val="32"/>
          <w:highlight w:val="none"/>
        </w:rPr>
        <w:t>减少。</w:t>
      </w:r>
    </w:p>
    <w:p w14:paraId="3334CEA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hint="default" w:ascii="Times New Roman" w:hAnsi="Times New Roman" w:eastAsia="黑体" w:cs="Times New Roman"/>
          <w:sz w:val="32"/>
          <w:szCs w:val="32"/>
          <w:highlight w:val="none"/>
        </w:rPr>
      </w:pPr>
      <w:r>
        <w:rPr>
          <w:rFonts w:hint="default" w:ascii="Times New Roman" w:hAnsi="Times New Roman" w:eastAsia="黑体" w:cs="Times New Roman"/>
          <w:b w:val="0"/>
          <w:sz w:val="32"/>
          <w:szCs w:val="32"/>
          <w:highlight w:val="none"/>
        </w:rPr>
        <w:t>六、一般公共预算财政拨款基本支出决算情况说明</w:t>
      </w:r>
    </w:p>
    <w:p w14:paraId="4B7288D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rPr>
      </w:pPr>
      <w:r>
        <w:rPr>
          <w:rFonts w:hint="default" w:ascii="Times New Roman" w:hAnsi="Times New Roman" w:eastAsia="方正仿宋_GBK" w:cs="Times New Roman"/>
          <w:b w:val="0"/>
          <w:sz w:val="32"/>
          <w:szCs w:val="32"/>
          <w:highlight w:val="none"/>
        </w:rPr>
        <w:t>2025年度一般公共预算财政拨款基本支出1,685.57万元，其中：</w:t>
      </w:r>
      <w:r>
        <w:rPr>
          <w:rFonts w:hint="default" w:ascii="Times New Roman" w:hAnsi="Times New Roman" w:eastAsia="方正仿宋_GBK" w:cs="Times New Roman"/>
          <w:b/>
          <w:bCs/>
          <w:sz w:val="32"/>
          <w:szCs w:val="32"/>
          <w:highlight w:val="none"/>
        </w:rPr>
        <w:t>人员经费</w:t>
      </w:r>
      <w:r>
        <w:rPr>
          <w:rFonts w:hint="default" w:ascii="Times New Roman" w:hAnsi="Times New Roman" w:eastAsia="方正仿宋_GBK" w:cs="Times New Roman"/>
          <w:b w:val="0"/>
          <w:sz w:val="32"/>
          <w:szCs w:val="32"/>
          <w:highlight w:val="none"/>
        </w:rPr>
        <w:t>1,563.13万元，包括：基本工资、津贴补贴、奖金、绩效工资、机关事业单位基本养老保险缴费、职业年金缴费、职工基本医疗保险缴费、公务员医疗补助缴费、其他社会保障缴费、住房公积金、其他工资福利支出、退休费、抚恤金和其他对个人和家庭的补助。</w:t>
      </w:r>
    </w:p>
    <w:p w14:paraId="5A5CCBB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val="0"/>
          <w:sz w:val="32"/>
          <w:szCs w:val="32"/>
          <w:highlight w:val="none"/>
        </w:rPr>
      </w:pPr>
      <w:r>
        <w:rPr>
          <w:rFonts w:hint="default" w:ascii="Times New Roman" w:hAnsi="Times New Roman" w:eastAsia="方正仿宋_GBK" w:cs="Times New Roman"/>
          <w:b/>
          <w:bCs/>
          <w:sz w:val="32"/>
          <w:szCs w:val="32"/>
          <w:highlight w:val="none"/>
        </w:rPr>
        <w:t>公用经费</w:t>
      </w:r>
      <w:r>
        <w:rPr>
          <w:rFonts w:hint="default" w:ascii="Times New Roman" w:hAnsi="Times New Roman" w:eastAsia="方正仿宋_GBK" w:cs="Times New Roman"/>
          <w:b w:val="0"/>
          <w:sz w:val="32"/>
          <w:szCs w:val="32"/>
          <w:highlight w:val="none"/>
        </w:rPr>
        <w:t>122.44万元，包括：办公费、水费、电费、邮电费、取暖费、差旅费、工会经费、福利费、公务用车运行维护费、其他交通费用和其他商品和服务支出。</w:t>
      </w:r>
    </w:p>
    <w:p w14:paraId="7BD76CF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hint="default" w:ascii="Times New Roman" w:hAnsi="Times New Roman" w:eastAsia="黑体" w:cs="Times New Roman"/>
          <w:sz w:val="32"/>
          <w:szCs w:val="32"/>
          <w:highlight w:val="none"/>
        </w:rPr>
      </w:pPr>
      <w:r>
        <w:rPr>
          <w:rFonts w:hint="default" w:ascii="Times New Roman" w:hAnsi="Times New Roman" w:eastAsia="黑体" w:cs="Times New Roman"/>
          <w:b w:val="0"/>
          <w:sz w:val="32"/>
          <w:szCs w:val="32"/>
          <w:highlight w:val="none"/>
        </w:rPr>
        <w:t>七、政府性基金预算财政拨款收入支出决算情况说明</w:t>
      </w:r>
    </w:p>
    <w:p w14:paraId="7DF18AC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default" w:ascii="Times New Roman" w:hAnsi="Times New Roman" w:eastAsia="方正仿宋_GBK" w:cs="Times New Roman"/>
          <w:b w:val="0"/>
          <w:sz w:val="32"/>
          <w:szCs w:val="32"/>
          <w:highlight w:val="none"/>
        </w:rPr>
        <w:t>按照党中央、国务院关于党政机关习惯过紧日子的有关要求，厉行节约办一切事业，严控一般性支出。同时坚持有保有压，优化支出结构，提高资金使用效率，合理保障基本民生</w:t>
      </w:r>
      <w:r>
        <w:rPr>
          <w:rFonts w:hint="default" w:ascii="Times New Roman" w:hAnsi="Times New Roman" w:eastAsia="方正仿宋_GBK" w:cs="Times New Roman"/>
          <w:b w:val="0"/>
          <w:sz w:val="32"/>
          <w:szCs w:val="32"/>
          <w:highlight w:val="none"/>
          <w:lang w:eastAsia="zh-CN"/>
        </w:rPr>
        <w:t>救助</w:t>
      </w:r>
      <w:r>
        <w:rPr>
          <w:rFonts w:hint="default" w:ascii="Times New Roman" w:hAnsi="Times New Roman" w:eastAsia="方正仿宋_GBK" w:cs="Times New Roman"/>
          <w:b w:val="0"/>
          <w:sz w:val="32"/>
          <w:szCs w:val="32"/>
          <w:highlight w:val="none"/>
        </w:rPr>
        <w:t>、</w:t>
      </w:r>
      <w:r>
        <w:rPr>
          <w:rFonts w:hint="default" w:ascii="Times New Roman" w:hAnsi="Times New Roman" w:eastAsia="方正仿宋_GBK" w:cs="Times New Roman"/>
          <w:b w:val="0"/>
          <w:sz w:val="32"/>
          <w:szCs w:val="32"/>
          <w:highlight w:val="none"/>
          <w:lang w:eastAsia="zh-CN"/>
        </w:rPr>
        <w:t>保障性养老服务、</w:t>
      </w:r>
      <w:r>
        <w:rPr>
          <w:rFonts w:hint="default" w:ascii="Times New Roman" w:hAnsi="Times New Roman" w:eastAsia="方正仿宋_GBK" w:cs="Times New Roman"/>
          <w:b w:val="0"/>
          <w:sz w:val="32"/>
          <w:szCs w:val="32"/>
          <w:highlight w:val="none"/>
        </w:rPr>
        <w:t>基层</w:t>
      </w:r>
      <w:r>
        <w:rPr>
          <w:rFonts w:hint="default" w:ascii="Times New Roman" w:hAnsi="Times New Roman" w:eastAsia="方正仿宋_GBK" w:cs="Times New Roman"/>
          <w:b w:val="0"/>
          <w:sz w:val="32"/>
          <w:szCs w:val="32"/>
          <w:highlight w:val="none"/>
          <w:lang w:eastAsia="zh-CN"/>
        </w:rPr>
        <w:t>养老</w:t>
      </w:r>
      <w:r>
        <w:rPr>
          <w:rFonts w:hint="default" w:ascii="Times New Roman" w:hAnsi="Times New Roman" w:eastAsia="方正仿宋_GBK" w:cs="Times New Roman"/>
          <w:b w:val="0"/>
          <w:sz w:val="32"/>
          <w:szCs w:val="32"/>
          <w:highlight w:val="none"/>
        </w:rPr>
        <w:t>事业等重点支出，体现在有关支出科目中。</w:t>
      </w:r>
    </w:p>
    <w:p w14:paraId="2642BD6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val="0"/>
          <w:sz w:val="32"/>
          <w:szCs w:val="32"/>
          <w:highlight w:val="none"/>
        </w:rPr>
      </w:pPr>
      <w:r>
        <w:rPr>
          <w:rFonts w:hint="default" w:ascii="Times New Roman" w:hAnsi="Times New Roman" w:eastAsia="方正仿宋_GBK" w:cs="Times New Roman"/>
          <w:b/>
          <w:bCs/>
          <w:sz w:val="32"/>
          <w:szCs w:val="32"/>
          <w:highlight w:val="none"/>
        </w:rPr>
        <w:t>2025年度政府性基金预算财政拨款收入总计347.49万元</w:t>
      </w:r>
      <w:r>
        <w:rPr>
          <w:rFonts w:hint="default" w:ascii="Times New Roman" w:hAnsi="Times New Roman" w:eastAsia="方正仿宋_GBK" w:cs="Times New Roman"/>
          <w:b w:val="0"/>
          <w:sz w:val="32"/>
          <w:szCs w:val="32"/>
          <w:highlight w:val="none"/>
        </w:rPr>
        <w:t>，其中：年初结转和结余0.00万元，本年收入347.49万元。</w:t>
      </w:r>
      <w:r>
        <w:rPr>
          <w:rFonts w:hint="default" w:ascii="Times New Roman" w:hAnsi="Times New Roman" w:eastAsia="方正仿宋_GBK" w:cs="Times New Roman"/>
          <w:b/>
          <w:bCs/>
          <w:sz w:val="32"/>
          <w:szCs w:val="32"/>
          <w:highlight w:val="none"/>
        </w:rPr>
        <w:t>政府性基金预算财政拨款支出总计347.49万元</w:t>
      </w:r>
      <w:r>
        <w:rPr>
          <w:rFonts w:hint="default" w:ascii="Times New Roman" w:hAnsi="Times New Roman" w:eastAsia="方正仿宋_GBK" w:cs="Times New Roman"/>
          <w:b w:val="0"/>
          <w:sz w:val="32"/>
          <w:szCs w:val="32"/>
          <w:highlight w:val="none"/>
        </w:rPr>
        <w:t>，其中：年末结转和结余0.00万元，本年支出347.49万元。</w:t>
      </w:r>
    </w:p>
    <w:p w14:paraId="676F0A6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val="0"/>
          <w:sz w:val="32"/>
          <w:szCs w:val="32"/>
          <w:highlight w:val="none"/>
        </w:rPr>
      </w:pPr>
      <w:r>
        <w:rPr>
          <w:rFonts w:hint="default" w:ascii="Times New Roman" w:hAnsi="Times New Roman" w:eastAsia="方正仿宋_GBK" w:cs="Times New Roman"/>
          <w:b/>
          <w:bCs/>
          <w:sz w:val="32"/>
          <w:szCs w:val="32"/>
          <w:highlight w:val="none"/>
        </w:rPr>
        <w:t>政府性基金预算财政拨款收入支出总体与上年相比</w:t>
      </w:r>
      <w:r>
        <w:rPr>
          <w:rFonts w:hint="default" w:ascii="Times New Roman" w:hAnsi="Times New Roman" w:eastAsia="方正仿宋_GBK" w:cs="Times New Roman"/>
          <w:b w:val="0"/>
          <w:sz w:val="32"/>
          <w:szCs w:val="32"/>
          <w:highlight w:val="none"/>
        </w:rPr>
        <w:t>，增加83.62万元，增长31.69%，主要原因是：</w:t>
      </w:r>
      <w:r>
        <w:rPr>
          <w:rFonts w:hint="default" w:ascii="Times New Roman" w:hAnsi="Times New Roman" w:eastAsia="方正仿宋_GBK" w:cs="Times New Roman"/>
          <w:b w:val="0"/>
          <w:sz w:val="32"/>
          <w:szCs w:val="32"/>
          <w:highlight w:val="none"/>
          <w:lang w:val="en-US" w:eastAsia="zh-CN"/>
        </w:rPr>
        <w:t>2025年民政康复中心医疗条件改造提升项目资金较上年</w:t>
      </w:r>
      <w:r>
        <w:rPr>
          <w:rFonts w:hint="default" w:ascii="Times New Roman" w:hAnsi="Times New Roman" w:eastAsia="方正仿宋_GBK" w:cs="Times New Roman"/>
          <w:b w:val="0"/>
          <w:sz w:val="32"/>
          <w:szCs w:val="32"/>
          <w:highlight w:val="none"/>
        </w:rPr>
        <w:t>增加。</w:t>
      </w:r>
      <w:r>
        <w:rPr>
          <w:rFonts w:hint="default" w:ascii="Times New Roman" w:hAnsi="Times New Roman" w:eastAsia="方正仿宋_GBK" w:cs="Times New Roman"/>
          <w:b/>
          <w:bCs/>
          <w:sz w:val="32"/>
          <w:szCs w:val="32"/>
          <w:highlight w:val="none"/>
        </w:rPr>
        <w:t>与年初预算相比</w:t>
      </w:r>
      <w:r>
        <w:rPr>
          <w:rFonts w:hint="default" w:ascii="Times New Roman" w:hAnsi="Times New Roman" w:eastAsia="方正仿宋_GBK" w:cs="Times New Roman"/>
          <w:b w:val="0"/>
          <w:sz w:val="32"/>
          <w:szCs w:val="32"/>
          <w:highlight w:val="none"/>
        </w:rPr>
        <w:t>，年初预算数350.00万元，决算数347.49万元，预决算差异率-0.72%，主要原因是：</w:t>
      </w:r>
      <w:r>
        <w:rPr>
          <w:rFonts w:hint="default" w:ascii="Times New Roman" w:hAnsi="Times New Roman" w:eastAsia="方正仿宋_GBK" w:cs="Times New Roman"/>
          <w:b w:val="0"/>
          <w:sz w:val="32"/>
          <w:szCs w:val="32"/>
          <w:highlight w:val="none"/>
          <w:lang w:val="en-US" w:eastAsia="zh-CN"/>
        </w:rPr>
        <w:t>2025年民政康复中心医疗条件改造提升项目</w:t>
      </w:r>
      <w:r>
        <w:rPr>
          <w:rFonts w:hint="default" w:ascii="Times New Roman" w:hAnsi="Times New Roman" w:eastAsia="方正仿宋_GBK" w:cs="Times New Roman"/>
          <w:b w:val="0"/>
          <w:sz w:val="32"/>
          <w:szCs w:val="32"/>
          <w:highlight w:val="none"/>
        </w:rPr>
        <w:t>结余</w:t>
      </w:r>
      <w:r>
        <w:rPr>
          <w:rFonts w:hint="default" w:ascii="Times New Roman" w:hAnsi="Times New Roman" w:eastAsia="方正仿宋_GBK" w:cs="Times New Roman"/>
          <w:b w:val="0"/>
          <w:sz w:val="32"/>
          <w:szCs w:val="32"/>
          <w:highlight w:val="none"/>
          <w:lang w:val="en-US" w:eastAsia="zh-CN"/>
        </w:rPr>
        <w:t>资金缴回</w:t>
      </w:r>
      <w:r>
        <w:rPr>
          <w:rFonts w:hint="default" w:ascii="Times New Roman" w:hAnsi="Times New Roman" w:eastAsia="方正仿宋_GBK" w:cs="Times New Roman"/>
          <w:b w:val="0"/>
          <w:sz w:val="32"/>
          <w:szCs w:val="32"/>
          <w:highlight w:val="none"/>
        </w:rPr>
        <w:t>财政。</w:t>
      </w:r>
    </w:p>
    <w:p w14:paraId="5F395AB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val="0"/>
          <w:sz w:val="32"/>
          <w:szCs w:val="32"/>
          <w:highlight w:val="none"/>
        </w:rPr>
      </w:pPr>
      <w:r>
        <w:rPr>
          <w:rFonts w:hint="default" w:ascii="Times New Roman" w:hAnsi="Times New Roman" w:eastAsia="方正仿宋_GBK" w:cs="Times New Roman"/>
          <w:b/>
          <w:bCs/>
          <w:sz w:val="32"/>
          <w:szCs w:val="32"/>
          <w:highlight w:val="none"/>
        </w:rPr>
        <w:t>政府性基金预算财政拨款本年支出347.49万元</w:t>
      </w:r>
      <w:r>
        <w:rPr>
          <w:rFonts w:hint="default" w:ascii="Times New Roman" w:hAnsi="Times New Roman" w:eastAsia="方正仿宋_GBK" w:cs="Times New Roman"/>
          <w:b w:val="0"/>
          <w:sz w:val="32"/>
          <w:szCs w:val="32"/>
          <w:highlight w:val="none"/>
        </w:rPr>
        <w:t>。具体情况如下：</w:t>
      </w:r>
    </w:p>
    <w:p w14:paraId="3D5441A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eastAsia="zh-CN"/>
        </w:rPr>
      </w:pPr>
      <w:r>
        <w:rPr>
          <w:rFonts w:hint="default" w:ascii="Times New Roman" w:hAnsi="Times New Roman" w:eastAsia="方正仿宋_GBK" w:cs="Times New Roman"/>
          <w:b w:val="0"/>
          <w:sz w:val="32"/>
          <w:szCs w:val="32"/>
          <w:highlight w:val="none"/>
          <w:lang w:val="en-US" w:eastAsia="zh-CN"/>
        </w:rPr>
        <w:t>1.</w:t>
      </w:r>
      <w:r>
        <w:rPr>
          <w:rFonts w:hint="default" w:ascii="Times New Roman" w:hAnsi="Times New Roman" w:eastAsia="方正仿宋_GBK" w:cs="Times New Roman"/>
          <w:b w:val="0"/>
          <w:sz w:val="32"/>
          <w:szCs w:val="32"/>
          <w:highlight w:val="none"/>
        </w:rPr>
        <w:t>其他支出（类）彩票公益金安排的支出（款）用于社会福利的彩票公益金支出（项）：支出决算数为347.49万元，比上年决算增加83.62万元，增长31.69%，主要原因是：</w:t>
      </w:r>
      <w:r>
        <w:rPr>
          <w:rFonts w:hint="default" w:ascii="Times New Roman" w:hAnsi="Times New Roman" w:eastAsia="方正仿宋_GBK" w:cs="Times New Roman"/>
          <w:b w:val="0"/>
          <w:sz w:val="32"/>
          <w:szCs w:val="32"/>
          <w:highlight w:val="none"/>
          <w:lang w:val="en-US" w:eastAsia="zh-CN"/>
        </w:rPr>
        <w:t>2025年民政康复中心医疗条件改造提升项目资金较上年</w:t>
      </w:r>
      <w:r>
        <w:rPr>
          <w:rFonts w:hint="default" w:ascii="Times New Roman" w:hAnsi="Times New Roman" w:eastAsia="方正仿宋_GBK" w:cs="Times New Roman"/>
          <w:b w:val="0"/>
          <w:sz w:val="32"/>
          <w:szCs w:val="32"/>
          <w:highlight w:val="none"/>
        </w:rPr>
        <w:t>增加</w:t>
      </w:r>
      <w:r>
        <w:rPr>
          <w:rFonts w:hint="default" w:ascii="Times New Roman" w:hAnsi="Times New Roman" w:eastAsia="方正仿宋_GBK" w:cs="Times New Roman"/>
          <w:b w:val="0"/>
          <w:sz w:val="32"/>
          <w:szCs w:val="32"/>
          <w:highlight w:val="none"/>
          <w:lang w:eastAsia="zh-CN"/>
        </w:rPr>
        <w:t>。</w:t>
      </w:r>
    </w:p>
    <w:p w14:paraId="48B90F1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hint="default" w:ascii="Times New Roman" w:hAnsi="Times New Roman" w:eastAsia="黑体" w:cs="Times New Roman"/>
          <w:sz w:val="32"/>
          <w:szCs w:val="32"/>
          <w:highlight w:val="none"/>
        </w:rPr>
      </w:pPr>
      <w:r>
        <w:rPr>
          <w:rFonts w:hint="default" w:ascii="Times New Roman" w:hAnsi="Times New Roman" w:eastAsia="黑体" w:cs="Times New Roman"/>
          <w:b w:val="0"/>
          <w:sz w:val="32"/>
          <w:szCs w:val="32"/>
          <w:highlight w:val="none"/>
        </w:rPr>
        <w:t>八、国有资本经营预算财政拨款收入支出决算情况说明</w:t>
      </w:r>
    </w:p>
    <w:p w14:paraId="3A5B193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default" w:ascii="Times New Roman" w:hAnsi="Times New Roman" w:eastAsia="方正仿宋_GBK" w:cs="Times New Roman"/>
          <w:b w:val="0"/>
          <w:sz w:val="32"/>
          <w:szCs w:val="32"/>
          <w:highlight w:val="none"/>
          <w:lang w:val="en-US" w:eastAsia="zh-CN"/>
        </w:rPr>
        <w:t>本单位本年度无国有资本经营预算财政拨款收入、支出及结转和结余，国有资本经营预算财政拨款收入支出决算表为空表。</w:t>
      </w:r>
    </w:p>
    <w:p w14:paraId="7977997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hint="default" w:ascii="Times New Roman" w:hAnsi="Times New Roman" w:eastAsia="黑体" w:cs="Times New Roman"/>
          <w:sz w:val="32"/>
          <w:szCs w:val="32"/>
          <w:highlight w:val="none"/>
        </w:rPr>
      </w:pPr>
      <w:r>
        <w:rPr>
          <w:rFonts w:hint="default" w:ascii="Times New Roman" w:hAnsi="Times New Roman" w:eastAsia="黑体" w:cs="Times New Roman"/>
          <w:b w:val="0"/>
          <w:sz w:val="32"/>
          <w:szCs w:val="32"/>
          <w:highlight w:val="none"/>
        </w:rPr>
        <w:t>九、财政拨款“三公”经费支出决算情况说明</w:t>
      </w:r>
    </w:p>
    <w:p w14:paraId="5F04007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default" w:ascii="Times New Roman" w:hAnsi="Times New Roman" w:eastAsia="方正仿宋_GBK" w:cs="Times New Roman"/>
          <w:b/>
          <w:bCs/>
          <w:sz w:val="32"/>
          <w:szCs w:val="32"/>
          <w:highlight w:val="none"/>
          <w:lang w:val="en-US" w:eastAsia="zh-CN"/>
        </w:rPr>
        <w:t>2025年度财政拨款“三公”经费支出5.22万元</w:t>
      </w:r>
      <w:r>
        <w:rPr>
          <w:rFonts w:hint="default" w:ascii="Times New Roman" w:hAnsi="Times New Roman" w:eastAsia="方正仿宋_GBK" w:cs="Times New Roman"/>
          <w:b w:val="0"/>
          <w:sz w:val="32"/>
          <w:szCs w:val="32"/>
          <w:highlight w:val="none"/>
          <w:lang w:val="en-US" w:eastAsia="zh-CN"/>
        </w:rPr>
        <w:t>，与上年相比无变化，主要原因是：厉行节约，严格“三公”经费管理，支出与上年一致。其中：因公出国（境）费用支出0.00万元,占0.00%，与上年相比无变化，主要原因是：2025年未开展因公出国（境）活动，支出与上年一致；公务用车购置及运行维护费支出5.22万元，占100.00%，与上年相比无变化，主要原因是：厉行节约，严格公务用车管理，严控公务用车运行维护费用支出，支出与上年一致；公务接待费支出0.00万元，占0.00%，与上年相比无变化，主要原因是：2025年未开展公务接待活动，支出与上年一致。</w:t>
      </w:r>
    </w:p>
    <w:p w14:paraId="4131DEC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default" w:ascii="Times New Roman" w:hAnsi="Times New Roman" w:eastAsia="方正仿宋_GBK" w:cs="Times New Roman"/>
          <w:b w:val="0"/>
          <w:sz w:val="32"/>
          <w:szCs w:val="32"/>
          <w:highlight w:val="none"/>
          <w:lang w:val="en-US" w:eastAsia="zh-CN"/>
        </w:rPr>
        <w:t>具体情况如下：</w:t>
      </w:r>
    </w:p>
    <w:p w14:paraId="5897CFA7">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default" w:ascii="Times New Roman" w:hAnsi="Times New Roman" w:eastAsia="方正仿宋_GBK" w:cs="Times New Roman"/>
          <w:b w:val="0"/>
          <w:sz w:val="32"/>
          <w:szCs w:val="32"/>
          <w:highlight w:val="none"/>
          <w:lang w:val="en-US" w:eastAsia="zh-CN"/>
        </w:rPr>
        <w:t>因公出国（境）费用0.00万元，开支内容包括我单位无因公出国（境）费支出。单位全年安排的因公出国（境）团组0个，因公出国（境）0人次。</w:t>
      </w:r>
    </w:p>
    <w:p w14:paraId="2A72701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default" w:ascii="Times New Roman" w:hAnsi="Times New Roman" w:eastAsia="方正仿宋_GBK" w:cs="Times New Roman"/>
          <w:b w:val="0"/>
          <w:sz w:val="32"/>
          <w:szCs w:val="32"/>
          <w:highlight w:val="none"/>
          <w:lang w:val="en-US" w:eastAsia="zh-CN"/>
        </w:rPr>
        <w:t>公务用车购置及运行维护费5.22万元，其中：公务用车购置费0.00万元，公务用车运行维护费5.22万元。公务用车运行维护费开支内容包括车辆检验费、车辆维修保养费、油费车辆保险费。公务用车购置数0辆，公务用车保有量4辆。国有资产占用情况中固定资产车辆4辆，与公务用车保有量差异原因是：公务用车保有量与固定资产车辆一致，不存在差异。</w:t>
      </w:r>
    </w:p>
    <w:p w14:paraId="11C261D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default" w:ascii="Times New Roman" w:hAnsi="Times New Roman" w:eastAsia="方正仿宋_GBK" w:cs="Times New Roman"/>
          <w:b w:val="0"/>
          <w:sz w:val="32"/>
          <w:szCs w:val="32"/>
          <w:highlight w:val="none"/>
          <w:lang w:val="en-US" w:eastAsia="zh-CN"/>
        </w:rPr>
        <w:t>公务接待费0.00万元，开支内容包括我单位无公务接待费支出。单位全年安排的国内公务接待0批次，0人次。</w:t>
      </w:r>
    </w:p>
    <w:p w14:paraId="5476A27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3"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default" w:ascii="Times New Roman" w:hAnsi="Times New Roman" w:eastAsia="方正仿宋_GBK" w:cs="Times New Roman"/>
          <w:b/>
          <w:bCs/>
          <w:sz w:val="32"/>
          <w:szCs w:val="32"/>
          <w:highlight w:val="none"/>
          <w:lang w:val="en-US" w:eastAsia="zh-CN"/>
        </w:rPr>
        <w:t>与全年预算相比</w:t>
      </w:r>
      <w:r>
        <w:rPr>
          <w:rFonts w:hint="default" w:ascii="Times New Roman" w:hAnsi="Times New Roman" w:eastAsia="方正仿宋_GBK" w:cs="Times New Roman"/>
          <w:b w:val="0"/>
          <w:sz w:val="32"/>
          <w:szCs w:val="32"/>
          <w:highlight w:val="none"/>
          <w:lang w:val="en-US" w:eastAsia="zh-CN"/>
        </w:rPr>
        <w:t>，财政拨款“三公”经费支出全年预算数5.22万元，决算数5.22万元，预决算差异率0.00%，主要原因是：严格按照预算执行，严控“三公”经费支出，预决算无差异。其中：因公出国（境）费用全年预算数0.00万元，决算数0.00万元，预决算差异率0.00%，主要原因是：2025年未开展因公出国（境）活动；公务用车购置费全年预算数0.00万元，决算数0.00万元，预决算差异率0.00%，主要原因是：2025年未购置公务用车；公务用车运行维护费全年预算数5.22万元，决算数5.22万元，预决算差异率0.00%，主要原因是：厉行节约，严格公务用车管理，严控公务用车运行维护费用支出，严格按照预算标准执行；公务接待费全年预算数0.00万元，决算数0.00万元，预决算差异率0.00%，主要原因是：2025年未开展公务接待活动。</w:t>
      </w:r>
    </w:p>
    <w:p w14:paraId="3441187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hint="default" w:ascii="Times New Roman" w:hAnsi="Times New Roman" w:eastAsia="黑体" w:cs="Times New Roman"/>
          <w:sz w:val="32"/>
          <w:szCs w:val="32"/>
          <w:highlight w:val="none"/>
        </w:rPr>
      </w:pPr>
      <w:r>
        <w:rPr>
          <w:rFonts w:hint="default" w:ascii="Times New Roman" w:hAnsi="Times New Roman" w:eastAsia="黑体" w:cs="Times New Roman"/>
          <w:b w:val="0"/>
          <w:sz w:val="32"/>
          <w:szCs w:val="32"/>
          <w:highlight w:val="none"/>
        </w:rPr>
        <w:t>十、其他重要事项的情况说明</w:t>
      </w:r>
    </w:p>
    <w:p w14:paraId="52238A4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2"/>
        <w:rPr>
          <w:rFonts w:hint="default" w:ascii="Times New Roman" w:hAnsi="Times New Roman" w:eastAsia="方正楷体_GBK" w:cs="Times New Roman"/>
          <w:sz w:val="32"/>
          <w:szCs w:val="32"/>
          <w:highlight w:val="none"/>
        </w:rPr>
      </w:pPr>
      <w:r>
        <w:rPr>
          <w:rFonts w:hint="default" w:ascii="Times New Roman" w:hAnsi="Times New Roman" w:eastAsia="方正楷体_GBK" w:cs="Times New Roman"/>
          <w:b w:val="0"/>
          <w:sz w:val="32"/>
          <w:szCs w:val="32"/>
          <w:highlight w:val="none"/>
        </w:rPr>
        <w:t>（一）机关运行经费及公用经费支出情况</w:t>
      </w:r>
    </w:p>
    <w:p w14:paraId="0CCC141A">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default" w:ascii="Times New Roman" w:hAnsi="Times New Roman" w:eastAsia="方正仿宋_GBK" w:cs="Times New Roman"/>
          <w:b w:val="0"/>
          <w:sz w:val="32"/>
          <w:szCs w:val="32"/>
          <w:highlight w:val="none"/>
          <w:lang w:val="en-US" w:eastAsia="zh-CN"/>
        </w:rPr>
        <w:t>2025年度新疆维吾尔自治区民政康复中心（事业单位）公用经费支出122.44万元，比上年增加3.74万元，增长3.15%，主要原因是：2025年取暖费增加，支出较上年增加。</w:t>
      </w:r>
    </w:p>
    <w:p w14:paraId="74AB07C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2"/>
        <w:rPr>
          <w:rFonts w:hint="default" w:ascii="Times New Roman" w:hAnsi="Times New Roman" w:eastAsia="方正楷体_GBK" w:cs="Times New Roman"/>
          <w:sz w:val="32"/>
          <w:szCs w:val="32"/>
          <w:highlight w:val="none"/>
        </w:rPr>
      </w:pPr>
      <w:r>
        <w:rPr>
          <w:rFonts w:hint="default" w:ascii="Times New Roman" w:hAnsi="Times New Roman" w:eastAsia="方正楷体_GBK" w:cs="Times New Roman"/>
          <w:b w:val="0"/>
          <w:sz w:val="32"/>
          <w:szCs w:val="32"/>
          <w:highlight w:val="none"/>
        </w:rPr>
        <w:t>（二）政府采购情况</w:t>
      </w:r>
    </w:p>
    <w:p w14:paraId="79BED6E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default" w:ascii="Times New Roman" w:hAnsi="Times New Roman" w:eastAsia="方正仿宋_GBK" w:cs="Times New Roman"/>
          <w:b w:val="0"/>
          <w:sz w:val="32"/>
          <w:szCs w:val="32"/>
          <w:highlight w:val="none"/>
          <w:lang w:val="en-US" w:eastAsia="zh-CN"/>
        </w:rPr>
        <w:t>2025年度政府采购支出总额820.57万元，其中：政府采购货物支出37.26万元、政府采购工程支出22.38万元、政府采购服务支出760.93万元。</w:t>
      </w:r>
    </w:p>
    <w:p w14:paraId="0ED412B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default" w:ascii="Times New Roman" w:hAnsi="Times New Roman" w:eastAsia="方正仿宋_GBK" w:cs="Times New Roman"/>
          <w:b w:val="0"/>
          <w:sz w:val="32"/>
          <w:szCs w:val="32"/>
          <w:highlight w:val="none"/>
          <w:lang w:val="en-US" w:eastAsia="zh-CN"/>
        </w:rPr>
        <w:t>授予中小企业合同金额114.89万元，占政府采购支出总额的14.00%，其中：授予小微企业合同金额114.89万元，占政府采购支出总额的14.00%。</w:t>
      </w:r>
    </w:p>
    <w:p w14:paraId="5551067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2"/>
        <w:rPr>
          <w:rFonts w:hint="default" w:ascii="Times New Roman" w:hAnsi="Times New Roman" w:eastAsia="方正楷体_GBK" w:cs="Times New Roman"/>
          <w:sz w:val="32"/>
          <w:szCs w:val="32"/>
          <w:highlight w:val="none"/>
        </w:rPr>
      </w:pPr>
      <w:r>
        <w:rPr>
          <w:rFonts w:hint="default" w:ascii="Times New Roman" w:hAnsi="Times New Roman" w:eastAsia="方正楷体_GBK" w:cs="Times New Roman"/>
          <w:b w:val="0"/>
          <w:sz w:val="32"/>
          <w:szCs w:val="32"/>
          <w:highlight w:val="none"/>
        </w:rPr>
        <w:t>（三）国有资产占用情况说明</w:t>
      </w:r>
    </w:p>
    <w:p w14:paraId="2CC63B7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default" w:ascii="Times New Roman" w:hAnsi="Times New Roman" w:eastAsia="方正仿宋_GBK" w:cs="Times New Roman"/>
          <w:b w:val="0"/>
          <w:sz w:val="32"/>
          <w:szCs w:val="32"/>
          <w:highlight w:val="none"/>
          <w:lang w:val="en-US" w:eastAsia="zh-CN"/>
        </w:rPr>
        <w:t>截至2025年12月31日，房屋25,746.80平方米，价值10,220.83万元。车辆4辆，价值92.87万元，其中：副部（省）级及以上领导用车0辆、主要负责人用车0辆、机要通信用车0辆、应急保障用车0辆、执法执勤用车0辆、特种专业技术用车0辆、离退休干部服务用车0辆、其他用车4辆，其他用车主要是：保障各单位专项业务和办公运行的公务用车及业务用车4辆;单价100万元（含）以上设备（不含车辆）3台（套）。</w:t>
      </w:r>
    </w:p>
    <w:p w14:paraId="6FC5F3A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hint="default" w:ascii="Times New Roman" w:hAnsi="Times New Roman" w:eastAsia="黑体" w:cs="Times New Roman"/>
          <w:sz w:val="32"/>
          <w:szCs w:val="32"/>
          <w:highlight w:val="none"/>
        </w:rPr>
      </w:pPr>
      <w:r>
        <w:rPr>
          <w:rFonts w:hint="default" w:ascii="Times New Roman" w:hAnsi="Times New Roman" w:eastAsia="黑体" w:cs="Times New Roman"/>
          <w:b w:val="0"/>
          <w:sz w:val="32"/>
          <w:szCs w:val="32"/>
          <w:highlight w:val="none"/>
        </w:rPr>
        <w:t>十一、预算绩效的情况说明</w:t>
      </w:r>
    </w:p>
    <w:p w14:paraId="36650185">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default" w:ascii="Times New Roman" w:hAnsi="Times New Roman" w:eastAsia="方正仿宋_GBK" w:cs="Times New Roman"/>
          <w:b w:val="0"/>
          <w:sz w:val="32"/>
          <w:szCs w:val="32"/>
          <w:highlight w:val="none"/>
          <w:lang w:val="en-US" w:eastAsia="zh-CN"/>
        </w:rPr>
        <w:t>根据预算绩效管理要求，本单位2025年度预算绩效评价项目3个，全年预算数41</w:t>
      </w:r>
      <w:r>
        <w:rPr>
          <w:rFonts w:hint="eastAsia" w:ascii="Times New Roman" w:hAnsi="Times New Roman" w:eastAsia="方正仿宋_GBK" w:cs="Times New Roman"/>
          <w:b w:val="0"/>
          <w:sz w:val="32"/>
          <w:szCs w:val="32"/>
          <w:highlight w:val="none"/>
          <w:lang w:val="en-US" w:eastAsia="zh-CN"/>
        </w:rPr>
        <w:t>7</w:t>
      </w:r>
      <w:r>
        <w:rPr>
          <w:rFonts w:hint="default" w:ascii="Times New Roman" w:hAnsi="Times New Roman" w:eastAsia="方正仿宋_GBK" w:cs="Times New Roman"/>
          <w:b w:val="0"/>
          <w:sz w:val="32"/>
          <w:szCs w:val="32"/>
          <w:highlight w:val="none"/>
          <w:lang w:val="en-US" w:eastAsia="zh-CN"/>
        </w:rPr>
        <w:t>.</w:t>
      </w:r>
      <w:r>
        <w:rPr>
          <w:rFonts w:hint="eastAsia" w:ascii="Times New Roman" w:hAnsi="Times New Roman" w:eastAsia="方正仿宋_GBK" w:cs="Times New Roman"/>
          <w:b w:val="0"/>
          <w:sz w:val="32"/>
          <w:szCs w:val="32"/>
          <w:highlight w:val="none"/>
          <w:lang w:val="en-US" w:eastAsia="zh-CN"/>
        </w:rPr>
        <w:t>92</w:t>
      </w:r>
      <w:r>
        <w:rPr>
          <w:rFonts w:hint="default" w:ascii="Times New Roman" w:hAnsi="Times New Roman" w:eastAsia="方正仿宋_GBK" w:cs="Times New Roman"/>
          <w:b w:val="0"/>
          <w:sz w:val="32"/>
          <w:szCs w:val="32"/>
          <w:highlight w:val="none"/>
          <w:lang w:val="en-US" w:eastAsia="zh-CN"/>
        </w:rPr>
        <w:t>万元，全年执行数</w:t>
      </w:r>
      <w:r>
        <w:rPr>
          <w:rFonts w:hint="eastAsia" w:ascii="Times New Roman" w:hAnsi="Times New Roman" w:eastAsia="方正仿宋_GBK" w:cs="Times New Roman"/>
          <w:b w:val="0"/>
          <w:sz w:val="32"/>
          <w:szCs w:val="32"/>
          <w:highlight w:val="none"/>
          <w:lang w:val="en-US" w:eastAsia="zh-CN"/>
        </w:rPr>
        <w:t>166.92</w:t>
      </w:r>
      <w:r>
        <w:rPr>
          <w:rFonts w:hint="default" w:ascii="Times New Roman" w:hAnsi="Times New Roman" w:eastAsia="方正仿宋_GBK" w:cs="Times New Roman"/>
          <w:b w:val="0"/>
          <w:sz w:val="32"/>
          <w:szCs w:val="32"/>
          <w:highlight w:val="none"/>
          <w:lang w:val="en-US" w:eastAsia="zh-CN"/>
        </w:rPr>
        <w:t>万元。预算绩效管理取得的成效：一是资金使用效率稳步提升，通过事前绩效评估、事中绩效监控，有效减少了“重投入、轻效益”“重立项、轻管理”现象，财政资金闲置率、低效支出占比明显下降；二是绩效评价结果与预算安排挂钩，推动部门从“要资金”向“要效益”转变。发现的问题及原因：一是绩效目标设定与实际工作脱节，存在“目标过高难以实现、指标模糊难以衡量”的情况</w:t>
      </w:r>
      <w:r>
        <w:rPr>
          <w:rFonts w:hint="eastAsia" w:ascii="Times New Roman" w:hAnsi="Times New Roman" w:eastAsia="方正仿宋_GBK" w:cs="Times New Roman"/>
          <w:b w:val="0"/>
          <w:sz w:val="32"/>
          <w:szCs w:val="32"/>
          <w:highlight w:val="none"/>
          <w:lang w:val="en-US" w:eastAsia="zh-CN"/>
        </w:rPr>
        <w:t>；二是绩效运行监控深度不足，部分项目过程监控对项目产出成效跟踪不够及时，绩效监控结果运用不够充分，未能及时根据实施情况优化项目执行</w:t>
      </w:r>
      <w:r>
        <w:rPr>
          <w:rFonts w:hint="default" w:ascii="Times New Roman" w:hAnsi="Times New Roman" w:eastAsia="方正仿宋_GBK" w:cs="Times New Roman"/>
          <w:b w:val="0"/>
          <w:sz w:val="32"/>
          <w:szCs w:val="32"/>
          <w:highlight w:val="none"/>
          <w:lang w:val="en-US" w:eastAsia="zh-CN"/>
        </w:rPr>
        <w:t>。下一步改进措施：一是将绩效目标审核作为预算立项的前置条件，对目标不合理、不明确的项目不予安排预算；二是明确各部门统筹协调，落实主体责任，定期召开绩效管理推进会，通报问题、交流经验，推动落实绩效管理要求。具体附整体支出绩效自评表。</w:t>
      </w:r>
    </w:p>
    <w:p w14:paraId="1FEC842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hint="default" w:ascii="Times New Roman" w:hAnsi="Times New Roman" w:eastAsia="黑体" w:cs="Times New Roman"/>
          <w:sz w:val="32"/>
          <w:szCs w:val="32"/>
          <w:highlight w:val="none"/>
        </w:rPr>
      </w:pPr>
      <w:r>
        <w:rPr>
          <w:rFonts w:hint="default" w:ascii="Times New Roman" w:hAnsi="Times New Roman" w:eastAsia="黑体" w:cs="Times New Roman"/>
          <w:b w:val="0"/>
          <w:sz w:val="32"/>
          <w:szCs w:val="32"/>
          <w:highlight w:val="none"/>
        </w:rPr>
        <w:t>十二、其他需说明的事项</w:t>
      </w:r>
    </w:p>
    <w:p w14:paraId="29BDC79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default" w:ascii="Times New Roman" w:hAnsi="Times New Roman" w:eastAsia="方正仿宋_GBK" w:cs="Times New Roman"/>
          <w:b w:val="0"/>
          <w:sz w:val="32"/>
          <w:szCs w:val="32"/>
          <w:highlight w:val="none"/>
          <w:lang w:val="en-US" w:eastAsia="zh-CN"/>
        </w:rPr>
        <w:t>我单位</w:t>
      </w:r>
      <w:r>
        <w:rPr>
          <w:rFonts w:hint="eastAsia" w:ascii="Times New Roman" w:hAnsi="Times New Roman" w:eastAsia="方正仿宋_GBK" w:cs="Times New Roman"/>
          <w:b w:val="0"/>
          <w:sz w:val="32"/>
          <w:szCs w:val="32"/>
          <w:highlight w:val="none"/>
          <w:lang w:val="en-US" w:eastAsia="zh-CN"/>
        </w:rPr>
        <w:t>1个</w:t>
      </w:r>
      <w:r>
        <w:rPr>
          <w:rFonts w:hint="default" w:ascii="Times New Roman" w:hAnsi="Times New Roman" w:eastAsia="方正仿宋_GBK" w:cs="Times New Roman"/>
          <w:b w:val="0"/>
          <w:sz w:val="32"/>
          <w:szCs w:val="32"/>
          <w:highlight w:val="none"/>
          <w:lang w:val="en-US" w:eastAsia="zh-CN"/>
        </w:rPr>
        <w:t>项目无单独绩效自评表，涉及全年预算数250万元、全年执行数</w:t>
      </w:r>
      <w:r>
        <w:rPr>
          <w:rFonts w:hint="eastAsia" w:ascii="Times New Roman" w:hAnsi="Times New Roman" w:eastAsia="方正仿宋_GBK" w:cs="Times New Roman"/>
          <w:b w:val="0"/>
          <w:sz w:val="32"/>
          <w:szCs w:val="32"/>
          <w:highlight w:val="none"/>
          <w:lang w:val="en-US" w:eastAsia="zh-CN"/>
        </w:rPr>
        <w:t>247.9</w:t>
      </w:r>
      <w:r>
        <w:rPr>
          <w:rFonts w:hint="default" w:ascii="Times New Roman" w:hAnsi="Times New Roman" w:eastAsia="方正仿宋_GBK" w:cs="Times New Roman"/>
          <w:b w:val="0"/>
          <w:sz w:val="32"/>
          <w:szCs w:val="32"/>
          <w:highlight w:val="none"/>
          <w:lang w:val="en-US" w:eastAsia="zh-CN"/>
        </w:rPr>
        <w:t>万元。</w:t>
      </w:r>
    </w:p>
    <w:p w14:paraId="622D89C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p>
    <w:p w14:paraId="6A4B2172">
      <w:pPr>
        <w:keepNext w:val="0"/>
        <w:keepLines w:val="0"/>
        <w:pageBreakBefore w:val="0"/>
        <w:widowControl/>
        <w:kinsoku/>
        <w:wordWrap/>
        <w:overflowPunct/>
        <w:topLinePunct w:val="0"/>
        <w:autoSpaceDE/>
        <w:autoSpaceDN/>
        <w:bidi w:val="0"/>
        <w:adjustRightInd/>
        <w:snapToGrid/>
        <w:spacing w:line="560" w:lineRule="exact"/>
        <w:jc w:val="both"/>
        <w:textAlignment w:val="auto"/>
        <w:rPr>
          <w:rFonts w:hint="default" w:ascii="Times New Roman" w:hAnsi="Times New Roman" w:cs="Times New Roman"/>
          <w:highlight w:val="none"/>
        </w:rPr>
      </w:pPr>
      <w:r>
        <w:rPr>
          <w:rFonts w:hint="default" w:ascii="Times New Roman" w:hAnsi="Times New Roman" w:cs="Times New Roman"/>
          <w:b w:val="0"/>
          <w:sz w:val="0"/>
          <w:szCs w:val="0"/>
          <w:highlight w:val="none"/>
        </w:rPr>
        <w:br w:type="page"/>
      </w:r>
    </w:p>
    <w:p w14:paraId="124C9C0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default" w:ascii="Times New Roman" w:hAnsi="Times New Roman" w:eastAsia="方正小标宋_GBK" w:cs="Times New Roman"/>
          <w:sz w:val="44"/>
          <w:szCs w:val="44"/>
          <w:highlight w:val="none"/>
        </w:rPr>
      </w:pPr>
      <w:r>
        <w:rPr>
          <w:rFonts w:hint="default" w:ascii="Times New Roman" w:hAnsi="Times New Roman" w:eastAsia="方正小标宋_GBK" w:cs="Times New Roman"/>
          <w:b w:val="0"/>
          <w:sz w:val="44"/>
          <w:szCs w:val="44"/>
          <w:highlight w:val="none"/>
        </w:rPr>
        <w:t>第三部分 专业名词解释</w:t>
      </w:r>
    </w:p>
    <w:p w14:paraId="4724D95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p>
    <w:p w14:paraId="1D6513E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default" w:ascii="黑体" w:hAnsi="黑体" w:eastAsia="黑体" w:cs="黑体"/>
          <w:b w:val="0"/>
          <w:sz w:val="32"/>
          <w:szCs w:val="32"/>
          <w:highlight w:val="none"/>
          <w:lang w:val="en-US" w:eastAsia="zh-CN"/>
        </w:rPr>
        <w:t>一、</w:t>
      </w:r>
      <w:r>
        <w:rPr>
          <w:rFonts w:hint="eastAsia" w:ascii="黑体" w:hAnsi="黑体" w:eastAsia="黑体" w:cs="黑体"/>
          <w:b w:val="0"/>
          <w:sz w:val="32"/>
          <w:szCs w:val="32"/>
          <w:highlight w:val="none"/>
          <w:lang w:val="en-US" w:eastAsia="zh-CN"/>
        </w:rPr>
        <w:t>财政拨款收入：</w:t>
      </w:r>
      <w:r>
        <w:rPr>
          <w:rFonts w:hint="default" w:ascii="Times New Roman" w:hAnsi="Times New Roman" w:eastAsia="方正仿宋_GBK" w:cs="Times New Roman"/>
          <w:b w:val="0"/>
          <w:sz w:val="32"/>
          <w:szCs w:val="32"/>
          <w:highlight w:val="none"/>
          <w:lang w:val="en-US" w:eastAsia="zh-CN"/>
        </w:rPr>
        <w:t>指单位本年度从同级财政部门取得的财政拨款，包括一般公共预算财政拨款、政府性基金预算财政拨款和国有资本经营预算财政拨款。</w:t>
      </w:r>
    </w:p>
    <w:p w14:paraId="7210880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default" w:ascii="黑体" w:hAnsi="黑体" w:eastAsia="黑体" w:cs="黑体"/>
          <w:b w:val="0"/>
          <w:sz w:val="32"/>
          <w:szCs w:val="32"/>
          <w:highlight w:val="none"/>
          <w:lang w:val="en-US" w:eastAsia="zh-CN"/>
        </w:rPr>
        <w:t>二、上级补助收入：</w:t>
      </w:r>
      <w:r>
        <w:rPr>
          <w:rFonts w:hint="default" w:ascii="Times New Roman" w:hAnsi="Times New Roman" w:eastAsia="方正仿宋_GBK" w:cs="Times New Roman"/>
          <w:b w:val="0"/>
          <w:sz w:val="32"/>
          <w:szCs w:val="32"/>
          <w:highlight w:val="none"/>
          <w:lang w:val="en-US" w:eastAsia="zh-CN"/>
        </w:rPr>
        <w:t>指事业单位从主管部门和上级单位取得的非财政补助收入。</w:t>
      </w:r>
    </w:p>
    <w:p w14:paraId="323000E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default" w:ascii="黑体" w:hAnsi="黑体" w:eastAsia="黑体" w:cs="黑体"/>
          <w:b w:val="0"/>
          <w:sz w:val="32"/>
          <w:szCs w:val="32"/>
          <w:highlight w:val="none"/>
          <w:lang w:val="en-US" w:eastAsia="zh-CN"/>
        </w:rPr>
        <w:t>三、事业收入：</w:t>
      </w:r>
      <w:r>
        <w:rPr>
          <w:rFonts w:hint="default" w:ascii="Times New Roman" w:hAnsi="Times New Roman" w:eastAsia="方正仿宋_GBK" w:cs="Times New Roman"/>
          <w:b w:val="0"/>
          <w:sz w:val="32"/>
          <w:szCs w:val="32"/>
          <w:highlight w:val="none"/>
          <w:lang w:val="en-US" w:eastAsia="zh-CN"/>
        </w:rPr>
        <w:t>指事业单位开展专业业务活动及其辅助活动取得的收入。</w:t>
      </w:r>
    </w:p>
    <w:p w14:paraId="003FCB8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default" w:ascii="黑体" w:hAnsi="黑体" w:eastAsia="黑体" w:cs="黑体"/>
          <w:b w:val="0"/>
          <w:sz w:val="32"/>
          <w:szCs w:val="32"/>
          <w:highlight w:val="none"/>
          <w:lang w:val="en-US" w:eastAsia="zh-CN"/>
        </w:rPr>
        <w:t>四、经营收入：</w:t>
      </w:r>
      <w:r>
        <w:rPr>
          <w:rFonts w:hint="default" w:ascii="Times New Roman" w:hAnsi="Times New Roman" w:eastAsia="方正仿宋_GBK" w:cs="Times New Roman"/>
          <w:b w:val="0"/>
          <w:sz w:val="32"/>
          <w:szCs w:val="32"/>
          <w:highlight w:val="none"/>
          <w:lang w:val="en-US" w:eastAsia="zh-CN"/>
        </w:rPr>
        <w:t>指事业单位在专业业务活动及其辅助活动之外开展非独立核算经营活动取得的收入。</w:t>
      </w:r>
    </w:p>
    <w:p w14:paraId="2E5E46AC">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default" w:ascii="黑体" w:hAnsi="黑体" w:eastAsia="黑体" w:cs="黑体"/>
          <w:b w:val="0"/>
          <w:sz w:val="32"/>
          <w:szCs w:val="32"/>
          <w:highlight w:val="none"/>
          <w:lang w:val="en-US" w:eastAsia="zh-CN"/>
        </w:rPr>
        <w:t>五、附属单位上缴收入：</w:t>
      </w:r>
      <w:r>
        <w:rPr>
          <w:rFonts w:hint="default" w:ascii="Times New Roman" w:hAnsi="Times New Roman" w:eastAsia="方正仿宋_GBK" w:cs="Times New Roman"/>
          <w:b w:val="0"/>
          <w:sz w:val="32"/>
          <w:szCs w:val="32"/>
          <w:highlight w:val="none"/>
          <w:lang w:val="en-US" w:eastAsia="zh-CN"/>
        </w:rPr>
        <w:t>指事业单位附属独立核算单位按照有关规定上缴的收入。</w:t>
      </w:r>
    </w:p>
    <w:p w14:paraId="0F3C9A0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default" w:ascii="黑体" w:hAnsi="黑体" w:eastAsia="黑体" w:cs="黑体"/>
          <w:b w:val="0"/>
          <w:sz w:val="32"/>
          <w:szCs w:val="32"/>
          <w:highlight w:val="none"/>
          <w:lang w:val="en-US" w:eastAsia="zh-CN"/>
        </w:rPr>
        <w:t>六、其他收入：</w:t>
      </w:r>
      <w:r>
        <w:rPr>
          <w:rFonts w:hint="default" w:ascii="Times New Roman" w:hAnsi="Times New Roman" w:eastAsia="方正仿宋_GBK" w:cs="Times New Roman"/>
          <w:b w:val="0"/>
          <w:sz w:val="32"/>
          <w:szCs w:val="32"/>
          <w:highlight w:val="none"/>
          <w:lang w:val="en-US" w:eastAsia="zh-CN"/>
        </w:rPr>
        <w:t>指单位取得的除上述“财政拨款收入”“上级补助收入”“事业收入”“经营收入”“附属单位上缴收入”以外的各项收入。</w:t>
      </w:r>
    </w:p>
    <w:p w14:paraId="336849F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eastAsia" w:ascii="黑体" w:hAnsi="黑体" w:eastAsia="黑体" w:cs="黑体"/>
          <w:b w:val="0"/>
          <w:sz w:val="32"/>
          <w:szCs w:val="32"/>
          <w:highlight w:val="none"/>
          <w:lang w:val="en-US" w:eastAsia="zh-CN"/>
        </w:rPr>
        <w:t>七、</w:t>
      </w:r>
      <w:r>
        <w:rPr>
          <w:rFonts w:hint="eastAsia" w:ascii="黑体" w:hAnsi="黑体" w:eastAsia="黑体" w:cs="黑体"/>
          <w:b w:val="0"/>
          <w:bCs w:val="0"/>
          <w:sz w:val="32"/>
          <w:szCs w:val="32"/>
          <w:highlight w:val="none"/>
          <w:lang w:val="en-US" w:eastAsia="zh-CN"/>
        </w:rPr>
        <w:t>年初结转和结余</w:t>
      </w:r>
      <w:r>
        <w:rPr>
          <w:rFonts w:hint="default" w:ascii="黑体" w:hAnsi="黑体" w:eastAsia="黑体" w:cs="黑体"/>
          <w:b w:val="0"/>
          <w:bCs w:val="0"/>
          <w:sz w:val="32"/>
          <w:szCs w:val="32"/>
          <w:highlight w:val="none"/>
          <w:lang w:val="en-US" w:eastAsia="zh-CN"/>
        </w:rPr>
        <w:t>：</w:t>
      </w:r>
      <w:r>
        <w:rPr>
          <w:rFonts w:hint="default" w:ascii="Times New Roman" w:hAnsi="Times New Roman" w:eastAsia="方正仿宋_GBK" w:cs="Times New Roman"/>
          <w:b w:val="0"/>
          <w:sz w:val="32"/>
          <w:szCs w:val="32"/>
          <w:highlight w:val="none"/>
          <w:lang w:val="en-US" w:eastAsia="zh-CN"/>
        </w:rPr>
        <w:t>指单位上年结转本年使用的基本支出结转、项目支出结转和结余、经营结余。</w:t>
      </w:r>
    </w:p>
    <w:p w14:paraId="6C38FAA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eastAsia" w:ascii="黑体" w:hAnsi="黑体" w:eastAsia="黑体" w:cs="黑体"/>
          <w:b w:val="0"/>
          <w:sz w:val="32"/>
          <w:szCs w:val="32"/>
          <w:highlight w:val="none"/>
          <w:lang w:val="en-US" w:eastAsia="zh-CN"/>
        </w:rPr>
        <w:t>八、</w:t>
      </w:r>
      <w:r>
        <w:rPr>
          <w:rFonts w:hint="eastAsia" w:ascii="黑体" w:hAnsi="黑体" w:eastAsia="黑体" w:cs="黑体"/>
          <w:b w:val="0"/>
          <w:bCs w:val="0"/>
          <w:sz w:val="32"/>
          <w:szCs w:val="32"/>
          <w:highlight w:val="none"/>
          <w:lang w:val="en-US" w:eastAsia="zh-CN"/>
        </w:rPr>
        <w:t>使用非财政拨款结余（含专用结余）：</w:t>
      </w:r>
      <w:r>
        <w:rPr>
          <w:rFonts w:hint="default" w:ascii="Times New Roman" w:hAnsi="Times New Roman" w:eastAsia="方正仿宋_GBK" w:cs="Times New Roman"/>
          <w:b w:val="0"/>
          <w:sz w:val="32"/>
          <w:szCs w:val="32"/>
          <w:highlight w:val="none"/>
          <w:lang w:val="en-US" w:eastAsia="zh-CN"/>
        </w:rPr>
        <w:t>指单位按照预算管理要求使用非财政拨款结余弥补收支差额的金额，以及使用专用结余安排支出的金额。</w:t>
      </w:r>
    </w:p>
    <w:p w14:paraId="67A6BB5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eastAsia" w:ascii="黑体" w:hAnsi="黑体" w:eastAsia="黑体" w:cs="黑体"/>
          <w:b w:val="0"/>
          <w:sz w:val="32"/>
          <w:szCs w:val="32"/>
          <w:highlight w:val="none"/>
          <w:lang w:val="en-US" w:eastAsia="zh-CN"/>
        </w:rPr>
        <w:t>九、</w:t>
      </w:r>
      <w:r>
        <w:rPr>
          <w:rFonts w:hint="eastAsia" w:ascii="黑体" w:hAnsi="黑体" w:eastAsia="黑体" w:cs="黑体"/>
          <w:b w:val="0"/>
          <w:bCs w:val="0"/>
          <w:sz w:val="32"/>
          <w:szCs w:val="32"/>
          <w:highlight w:val="none"/>
          <w:lang w:val="en-US" w:eastAsia="zh-CN"/>
        </w:rPr>
        <w:t>结余分配：</w:t>
      </w:r>
      <w:r>
        <w:rPr>
          <w:rFonts w:hint="default" w:ascii="Times New Roman" w:hAnsi="Times New Roman" w:eastAsia="方正仿宋_GBK" w:cs="Times New Roman"/>
          <w:b w:val="0"/>
          <w:sz w:val="32"/>
          <w:szCs w:val="32"/>
          <w:highlight w:val="none"/>
          <w:lang w:val="en-US" w:eastAsia="zh-CN"/>
        </w:rPr>
        <w:t>指单位缴纳企业所得税以及从非财政拨款结余或经营结余中提取各类结余的情况。</w:t>
      </w:r>
    </w:p>
    <w:p w14:paraId="0FB2AD5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eastAsia" w:ascii="黑体" w:hAnsi="黑体" w:eastAsia="黑体" w:cs="黑体"/>
          <w:b w:val="0"/>
          <w:sz w:val="32"/>
          <w:szCs w:val="32"/>
          <w:highlight w:val="none"/>
          <w:lang w:val="en-US" w:eastAsia="zh-CN"/>
        </w:rPr>
        <w:t>十、</w:t>
      </w:r>
      <w:r>
        <w:rPr>
          <w:rFonts w:hint="eastAsia" w:ascii="黑体" w:hAnsi="黑体" w:eastAsia="黑体" w:cs="黑体"/>
          <w:b w:val="0"/>
          <w:bCs w:val="0"/>
          <w:sz w:val="32"/>
          <w:szCs w:val="32"/>
          <w:highlight w:val="none"/>
          <w:lang w:val="en-US" w:eastAsia="zh-CN"/>
        </w:rPr>
        <w:t>年末结转和结余：</w:t>
      </w:r>
      <w:r>
        <w:rPr>
          <w:rFonts w:hint="default" w:ascii="Times New Roman" w:hAnsi="Times New Roman" w:eastAsia="方正仿宋_GBK" w:cs="Times New Roman"/>
          <w:b w:val="0"/>
          <w:sz w:val="32"/>
          <w:szCs w:val="32"/>
          <w:highlight w:val="none"/>
          <w:lang w:val="en-US" w:eastAsia="zh-CN"/>
        </w:rPr>
        <w:t>指单位结转下年的基本支出结转、项目支出结转和结余、经营结余。</w:t>
      </w:r>
    </w:p>
    <w:p w14:paraId="1A30B466">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eastAsia" w:ascii="黑体" w:hAnsi="黑体" w:eastAsia="黑体" w:cs="黑体"/>
          <w:b w:val="0"/>
          <w:sz w:val="32"/>
          <w:szCs w:val="32"/>
          <w:highlight w:val="none"/>
          <w:lang w:val="en-US" w:eastAsia="zh-CN"/>
        </w:rPr>
        <w:t>十一、</w:t>
      </w:r>
      <w:r>
        <w:rPr>
          <w:rFonts w:hint="eastAsia" w:ascii="黑体" w:hAnsi="黑体" w:eastAsia="黑体" w:cs="黑体"/>
          <w:b w:val="0"/>
          <w:bCs w:val="0"/>
          <w:sz w:val="32"/>
          <w:szCs w:val="32"/>
          <w:highlight w:val="none"/>
          <w:lang w:val="en-US" w:eastAsia="zh-CN"/>
        </w:rPr>
        <w:t>基本支出：</w:t>
      </w:r>
      <w:r>
        <w:rPr>
          <w:rFonts w:hint="default" w:ascii="Times New Roman" w:hAnsi="Times New Roman" w:eastAsia="方正仿宋_GBK" w:cs="Times New Roman"/>
          <w:b w:val="0"/>
          <w:sz w:val="32"/>
          <w:szCs w:val="32"/>
          <w:highlight w:val="none"/>
          <w:lang w:val="en-US" w:eastAsia="zh-CN"/>
        </w:rPr>
        <w:t>指单位为保障机构正常运转、完成日常工作任务而发生的各项支出。</w:t>
      </w:r>
    </w:p>
    <w:p w14:paraId="6376C2A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eastAsia" w:ascii="黑体" w:hAnsi="黑体" w:eastAsia="黑体" w:cs="黑体"/>
          <w:b w:val="0"/>
          <w:sz w:val="32"/>
          <w:szCs w:val="32"/>
          <w:highlight w:val="none"/>
          <w:lang w:val="en-US" w:eastAsia="zh-CN"/>
        </w:rPr>
        <w:t>十二、</w:t>
      </w:r>
      <w:r>
        <w:rPr>
          <w:rFonts w:hint="eastAsia" w:ascii="黑体" w:hAnsi="黑体" w:eastAsia="黑体" w:cs="黑体"/>
          <w:b w:val="0"/>
          <w:bCs w:val="0"/>
          <w:sz w:val="32"/>
          <w:szCs w:val="32"/>
          <w:highlight w:val="none"/>
          <w:lang w:val="en-US" w:eastAsia="zh-CN"/>
        </w:rPr>
        <w:t>项目支出：</w:t>
      </w:r>
      <w:r>
        <w:rPr>
          <w:rFonts w:hint="default" w:ascii="Times New Roman" w:hAnsi="Times New Roman" w:eastAsia="方正仿宋_GBK" w:cs="Times New Roman"/>
          <w:b w:val="0"/>
          <w:sz w:val="32"/>
          <w:szCs w:val="32"/>
          <w:highlight w:val="none"/>
          <w:lang w:val="en-US" w:eastAsia="zh-CN"/>
        </w:rPr>
        <w:t>指单位为完成特定的行政工作任务或事业发展目标，在基本支出之外发生的各项支出。</w:t>
      </w:r>
    </w:p>
    <w:p w14:paraId="57E5C429">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eastAsia" w:ascii="黑体" w:hAnsi="黑体" w:eastAsia="黑体" w:cs="黑体"/>
          <w:b w:val="0"/>
          <w:sz w:val="32"/>
          <w:szCs w:val="32"/>
          <w:highlight w:val="none"/>
          <w:lang w:val="en-US" w:eastAsia="zh-CN"/>
        </w:rPr>
        <w:t>十三、</w:t>
      </w:r>
      <w:r>
        <w:rPr>
          <w:rFonts w:hint="eastAsia" w:ascii="黑体" w:hAnsi="黑体" w:eastAsia="黑体" w:cs="黑体"/>
          <w:b w:val="0"/>
          <w:bCs w:val="0"/>
          <w:sz w:val="32"/>
          <w:szCs w:val="32"/>
          <w:highlight w:val="none"/>
          <w:lang w:val="en-US" w:eastAsia="zh-CN"/>
        </w:rPr>
        <w:t>上缴上级支出：</w:t>
      </w:r>
      <w:r>
        <w:rPr>
          <w:rFonts w:hint="default" w:ascii="Times New Roman" w:hAnsi="Times New Roman" w:eastAsia="方正仿宋_GBK" w:cs="Times New Roman"/>
          <w:b w:val="0"/>
          <w:sz w:val="32"/>
          <w:szCs w:val="32"/>
          <w:highlight w:val="none"/>
          <w:lang w:val="en-US" w:eastAsia="zh-CN"/>
        </w:rPr>
        <w:t>指事业单位按照财政部门和主管部门的规定上缴上级单位的支出。</w:t>
      </w:r>
    </w:p>
    <w:p w14:paraId="465C868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eastAsia" w:ascii="黑体" w:hAnsi="黑体" w:eastAsia="黑体" w:cs="黑体"/>
          <w:b w:val="0"/>
          <w:sz w:val="32"/>
          <w:szCs w:val="32"/>
          <w:highlight w:val="none"/>
          <w:lang w:val="en-US" w:eastAsia="zh-CN"/>
        </w:rPr>
        <w:t>十四、</w:t>
      </w:r>
      <w:r>
        <w:rPr>
          <w:rFonts w:hint="eastAsia" w:ascii="黑体" w:hAnsi="黑体" w:eastAsia="黑体" w:cs="黑体"/>
          <w:b w:val="0"/>
          <w:bCs w:val="0"/>
          <w:sz w:val="32"/>
          <w:szCs w:val="32"/>
          <w:highlight w:val="none"/>
          <w:lang w:val="en-US" w:eastAsia="zh-CN"/>
        </w:rPr>
        <w:t>经营支出：</w:t>
      </w:r>
      <w:r>
        <w:rPr>
          <w:rFonts w:hint="default" w:ascii="Times New Roman" w:hAnsi="Times New Roman" w:eastAsia="方正仿宋_GBK" w:cs="Times New Roman"/>
          <w:b w:val="0"/>
          <w:sz w:val="32"/>
          <w:szCs w:val="32"/>
          <w:highlight w:val="none"/>
          <w:lang w:val="en-US" w:eastAsia="zh-CN"/>
        </w:rPr>
        <w:t>指事业单位在专业活动及辅助活动之外开展非独立核算经营活动发生的支出。</w:t>
      </w:r>
    </w:p>
    <w:p w14:paraId="7B8055F1">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eastAsia" w:ascii="黑体" w:hAnsi="黑体" w:eastAsia="黑体" w:cs="黑体"/>
          <w:b w:val="0"/>
          <w:sz w:val="32"/>
          <w:szCs w:val="32"/>
          <w:highlight w:val="none"/>
          <w:lang w:val="en-US" w:eastAsia="zh-CN"/>
        </w:rPr>
        <w:t>十五、</w:t>
      </w:r>
      <w:r>
        <w:rPr>
          <w:rFonts w:hint="eastAsia" w:ascii="黑体" w:hAnsi="黑体" w:eastAsia="黑体" w:cs="黑体"/>
          <w:b w:val="0"/>
          <w:bCs w:val="0"/>
          <w:sz w:val="32"/>
          <w:szCs w:val="32"/>
          <w:highlight w:val="none"/>
          <w:lang w:val="en-US" w:eastAsia="zh-CN"/>
        </w:rPr>
        <w:t>对附属单位补助支出：</w:t>
      </w:r>
      <w:r>
        <w:rPr>
          <w:rFonts w:hint="default" w:ascii="Times New Roman" w:hAnsi="Times New Roman" w:eastAsia="方正仿宋_GBK" w:cs="Times New Roman"/>
          <w:b w:val="0"/>
          <w:sz w:val="32"/>
          <w:szCs w:val="32"/>
          <w:highlight w:val="none"/>
          <w:lang w:val="en-US" w:eastAsia="zh-CN"/>
        </w:rPr>
        <w:t>指事业单位用财政补助收入之外的收入对附属单位补助发生的支出。</w:t>
      </w:r>
    </w:p>
    <w:p w14:paraId="6718B2ED">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eastAsia" w:ascii="黑体" w:hAnsi="黑体" w:eastAsia="黑体" w:cs="黑体"/>
          <w:b w:val="0"/>
          <w:sz w:val="32"/>
          <w:szCs w:val="32"/>
          <w:highlight w:val="none"/>
          <w:lang w:val="en-US" w:eastAsia="zh-CN"/>
        </w:rPr>
        <w:t>十六、</w:t>
      </w:r>
      <w:r>
        <w:rPr>
          <w:rFonts w:hint="eastAsia" w:ascii="黑体" w:hAnsi="黑体" w:eastAsia="黑体" w:cs="黑体"/>
          <w:b w:val="0"/>
          <w:bCs w:val="0"/>
          <w:sz w:val="32"/>
          <w:szCs w:val="32"/>
          <w:highlight w:val="none"/>
          <w:lang w:val="en-US" w:eastAsia="zh-CN"/>
        </w:rPr>
        <w:t>“三公”经费：</w:t>
      </w:r>
      <w:r>
        <w:rPr>
          <w:rFonts w:hint="default" w:ascii="Times New Roman" w:hAnsi="Times New Roman" w:eastAsia="方正仿宋_GBK" w:cs="Times New Roman"/>
          <w:b w:val="0"/>
          <w:sz w:val="32"/>
          <w:szCs w:val="32"/>
          <w:highlight w:val="none"/>
          <w:lang w:val="en-US" w:eastAsia="zh-CN"/>
        </w:rPr>
        <w:t>指单位使用财政拨款安排的因公出国（境）费用、公务用车购置及运行维护费和公务接待费。其中，因公出国（境）费用反映单位公务出国（境）的国际旅费、国外城市间交通费、住宿费、伙食费、培训费、公杂费等支出；公务用车购置费反映公务用车购置支出（含车辆购置税、牌照费）；公务用车运行维护费反映单位按规定保留的公务用车燃料费、新能源汽车充电费、维修费、过路过桥费、保险费、安全奖励费用等支出；公务接待费反映单位按规定开支的各类公务接待（含外宾接待）费用。</w:t>
      </w:r>
    </w:p>
    <w:p w14:paraId="2CCD3272">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rPr>
          <w:rFonts w:hint="default" w:ascii="Times New Roman" w:hAnsi="Times New Roman" w:eastAsia="方正仿宋_GBK" w:cs="Times New Roman"/>
          <w:b w:val="0"/>
          <w:sz w:val="32"/>
          <w:szCs w:val="32"/>
          <w:highlight w:val="none"/>
          <w:lang w:val="en-US" w:eastAsia="zh-CN"/>
        </w:rPr>
      </w:pPr>
      <w:r>
        <w:rPr>
          <w:rFonts w:hint="eastAsia" w:ascii="黑体" w:hAnsi="黑体" w:eastAsia="黑体" w:cs="黑体"/>
          <w:b w:val="0"/>
          <w:sz w:val="32"/>
          <w:szCs w:val="32"/>
          <w:highlight w:val="none"/>
          <w:lang w:val="en-US" w:eastAsia="zh-CN"/>
        </w:rPr>
        <w:t>十七、</w:t>
      </w:r>
      <w:r>
        <w:rPr>
          <w:rFonts w:hint="eastAsia" w:ascii="黑体" w:hAnsi="黑体" w:eastAsia="黑体" w:cs="黑体"/>
          <w:b w:val="0"/>
          <w:bCs w:val="0"/>
          <w:sz w:val="32"/>
          <w:szCs w:val="32"/>
          <w:highlight w:val="none"/>
          <w:lang w:val="en-US" w:eastAsia="zh-CN"/>
        </w:rPr>
        <w:t>机关运行经费：</w:t>
      </w:r>
      <w:r>
        <w:rPr>
          <w:rFonts w:hint="default" w:ascii="Times New Roman" w:hAnsi="Times New Roman" w:eastAsia="方正仿宋_GBK" w:cs="Times New Roman"/>
          <w:b w:val="0"/>
          <w:sz w:val="32"/>
          <w:szCs w:val="32"/>
          <w:highlight w:val="none"/>
          <w:lang w:val="en-US" w:eastAsia="zh-CN"/>
        </w:rPr>
        <w:t>指行政单位和参照公务员法管理的事业单位财政拨款基本支出中的公用经费支出。</w:t>
      </w:r>
    </w:p>
    <w:p w14:paraId="0759C46A">
      <w:pPr>
        <w:keepNext w:val="0"/>
        <w:keepLines w:val="0"/>
        <w:pageBreakBefore w:val="0"/>
        <w:widowControl/>
        <w:kinsoku/>
        <w:wordWrap/>
        <w:overflowPunct/>
        <w:topLinePunct w:val="0"/>
        <w:autoSpaceDE/>
        <w:autoSpaceDN/>
        <w:bidi w:val="0"/>
        <w:adjustRightInd/>
        <w:snapToGrid/>
        <w:spacing w:line="560" w:lineRule="exact"/>
        <w:jc w:val="both"/>
        <w:textAlignment w:val="auto"/>
        <w:rPr>
          <w:rFonts w:hint="default" w:ascii="Times New Roman" w:hAnsi="Times New Roman" w:cs="Times New Roman"/>
          <w:highlight w:val="none"/>
        </w:rPr>
      </w:pPr>
      <w:r>
        <w:rPr>
          <w:rFonts w:hint="default" w:ascii="Times New Roman" w:hAnsi="Times New Roman" w:cs="Times New Roman"/>
          <w:b w:val="0"/>
          <w:sz w:val="0"/>
          <w:szCs w:val="0"/>
          <w:highlight w:val="none"/>
        </w:rPr>
        <w:br w:type="page"/>
      </w:r>
    </w:p>
    <w:p w14:paraId="1924B83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0"/>
        <w:rPr>
          <w:rFonts w:hint="default" w:ascii="Times New Roman" w:hAnsi="Times New Roman" w:eastAsia="方正小标宋_GBK" w:cs="Times New Roman"/>
          <w:sz w:val="44"/>
          <w:szCs w:val="44"/>
          <w:highlight w:val="none"/>
        </w:rPr>
      </w:pPr>
      <w:r>
        <w:rPr>
          <w:rFonts w:hint="default" w:ascii="Times New Roman" w:hAnsi="Times New Roman" w:eastAsia="方正小标宋_GBK" w:cs="Times New Roman"/>
          <w:b w:val="0"/>
          <w:sz w:val="44"/>
          <w:szCs w:val="44"/>
          <w:highlight w:val="none"/>
        </w:rPr>
        <w:t>第四部分 部门决算报表（见附表）</w:t>
      </w:r>
    </w:p>
    <w:p w14:paraId="1A155DF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hint="default" w:ascii="Times New Roman" w:hAnsi="Times New Roman" w:eastAsia="方正仿宋_GBK" w:cs="Times New Roman"/>
          <w:b w:val="0"/>
          <w:sz w:val="32"/>
          <w:szCs w:val="32"/>
          <w:highlight w:val="none"/>
        </w:rPr>
      </w:pPr>
    </w:p>
    <w:p w14:paraId="205F6D2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val="0"/>
          <w:sz w:val="32"/>
          <w:szCs w:val="32"/>
          <w:highlight w:val="none"/>
        </w:rPr>
        <w:t>一、《收入支出决算总表》</w:t>
      </w:r>
    </w:p>
    <w:p w14:paraId="30E158A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val="0"/>
          <w:sz w:val="32"/>
          <w:szCs w:val="32"/>
          <w:highlight w:val="none"/>
        </w:rPr>
        <w:t>二、《收入决算表》</w:t>
      </w:r>
    </w:p>
    <w:p w14:paraId="6F105F83">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val="0"/>
          <w:sz w:val="32"/>
          <w:szCs w:val="32"/>
          <w:highlight w:val="none"/>
        </w:rPr>
        <w:t>三、《支出决算表》</w:t>
      </w:r>
    </w:p>
    <w:p w14:paraId="61A5267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val="0"/>
          <w:sz w:val="32"/>
          <w:szCs w:val="32"/>
          <w:highlight w:val="none"/>
        </w:rPr>
        <w:t>四、《财政拨款收入支出决算总表》</w:t>
      </w:r>
    </w:p>
    <w:p w14:paraId="37F089F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val="0"/>
          <w:sz w:val="32"/>
          <w:szCs w:val="32"/>
          <w:highlight w:val="none"/>
        </w:rPr>
        <w:t>五、《一般公共预算财政拨款支出决算表》</w:t>
      </w:r>
    </w:p>
    <w:p w14:paraId="741672AB">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val="0"/>
          <w:sz w:val="32"/>
          <w:szCs w:val="32"/>
          <w:highlight w:val="none"/>
        </w:rPr>
        <w:t>六、《一般公共预算财政拨款基本支出决算表》</w:t>
      </w:r>
    </w:p>
    <w:p w14:paraId="36F6E17E">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val="0"/>
          <w:sz w:val="32"/>
          <w:szCs w:val="32"/>
          <w:highlight w:val="none"/>
        </w:rPr>
        <w:t>七、《政府性基金预算财政拨款收入支出决算表》</w:t>
      </w:r>
    </w:p>
    <w:p w14:paraId="48DFE988">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b w:val="0"/>
          <w:sz w:val="32"/>
          <w:szCs w:val="32"/>
          <w:highlight w:val="none"/>
        </w:rPr>
        <w:t>八、《国有资本经营预算财政拨款收入支出决算表》</w:t>
      </w:r>
    </w:p>
    <w:p w14:paraId="7032E1C4">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hint="default" w:ascii="Times New Roman" w:hAnsi="Times New Roman" w:eastAsia="方正仿宋_GBK" w:cs="Times New Roman"/>
          <w:b w:val="0"/>
          <w:sz w:val="32"/>
          <w:szCs w:val="32"/>
          <w:highlight w:val="none"/>
        </w:rPr>
      </w:pPr>
      <w:r>
        <w:rPr>
          <w:rFonts w:hint="default" w:ascii="Times New Roman" w:hAnsi="Times New Roman" w:eastAsia="方正仿宋_GBK" w:cs="Times New Roman"/>
          <w:b w:val="0"/>
          <w:sz w:val="32"/>
          <w:szCs w:val="32"/>
          <w:highlight w:val="none"/>
        </w:rPr>
        <w:t>九、《财政拨款“三公”经费支出决算表》</w:t>
      </w:r>
    </w:p>
    <w:p w14:paraId="507A937F">
      <w:pPr>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560" w:lineRule="exact"/>
        <w:ind w:firstLine="640" w:firstLineChars="200"/>
        <w:jc w:val="both"/>
        <w:textAlignment w:val="auto"/>
        <w:outlineLvl w:val="1"/>
        <w:rPr>
          <w:rFonts w:hint="default" w:ascii="Times New Roman" w:hAnsi="Times New Roman" w:eastAsia="仿宋_GB2312" w:cs="Times New Roman"/>
          <w:b w:val="0"/>
          <w:sz w:val="32"/>
          <w:szCs w:val="32"/>
          <w:highlight w:val="red"/>
          <w:lang w:val="en-US" w:eastAsia="zh-CN"/>
        </w:rPr>
      </w:pPr>
    </w:p>
    <w:sectPr>
      <w:footerReference r:id="rId7" w:type="default"/>
      <w:pgSz w:w="12240" w:h="15840"/>
      <w:pgMar w:top="2098" w:right="1531" w:bottom="1984" w:left="1531" w:header="720" w:footer="720" w:gutter="0"/>
      <w:pgNumType w:fmt="decimal"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30304000000000000"/>
    <w:charset w:val="86"/>
    <w:family w:val="auto"/>
    <w:pitch w:val="default"/>
    <w:sig w:usb0="E7FFAEFF" w:usb1="F9FFFFFF" w:usb2="000FFDFF" w:usb3="00000000" w:csb0="603F01FF" w:csb1="FFFF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Cambria">
    <w:altName w:val="FreeSerif"/>
    <w:panose1 w:val="02040503050406030204"/>
    <w:charset w:val="00"/>
    <w:family w:val="auto"/>
    <w:pitch w:val="default"/>
    <w:sig w:usb0="00000000" w:usb1="00000000" w:usb2="02000000" w:usb3="00000000" w:csb0="2000019F" w:csb1="00000000"/>
  </w:font>
  <w:font w:name="FreeSerif">
    <w:panose1 w:val="02020603050405020304"/>
    <w:charset w:val="00"/>
    <w:family w:val="auto"/>
    <w:pitch w:val="default"/>
    <w:sig w:usb0="E59FAFFF" w:usb1="C200FDFF" w:usb2="43501B29" w:usb3="04000043" w:csb0="600101FF" w:csb1="FFFF0000"/>
  </w:font>
  <w:font w:name="方正小标宋_GBK">
    <w:panose1 w:val="020000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国标宋体-超大字符集扩">
    <w:panose1 w:val="000005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9CAEE">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A3738">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9C1582">
    <w:pPr>
      <w:pStyle w:val="8"/>
      <w:tabs>
        <w:tab w:val="center" w:pos="4320"/>
        <w:tab w:val="clear" w:pos="4153"/>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9B3037">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39B3037">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r>
      <w:rPr>
        <w:rFonts w:hint="eastAsia" w:eastAsia="宋体"/>
        <w:lang w:eastAsia="zh-CN"/>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bordersDoNotSurroundHeader w:val="0"/>
  <w:bordersDoNotSurroundFooter w:val="0"/>
  <w:documentProtection w:enforcement="0"/>
  <w:displayHorizontalDrawingGridEvery w:val="1"/>
  <w:displayVerticalDrawingGridEvery w:val="1"/>
  <w:noPunctuationKerning w:val="1"/>
  <w:footnotePr>
    <w:footnote w:id="0"/>
    <w:footnote w:id="1"/>
  </w:footnotePr>
  <w:endnotePr>
    <w:endnote w:id="0"/>
    <w:endnote w:id="1"/>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5OGVmNTE3ZDE4Mjc0NTdlN2U3ZWQ2Y2FjYzNmMzgifQ=="/>
  </w:docVars>
  <w:rsids>
    <w:rsidRoot w:val="00000000"/>
    <w:rsid w:val="06151D41"/>
    <w:rsid w:val="06F443B9"/>
    <w:rsid w:val="07F817E1"/>
    <w:rsid w:val="0A8315BC"/>
    <w:rsid w:val="0C9F66CF"/>
    <w:rsid w:val="0DF91E0E"/>
    <w:rsid w:val="0E462B7A"/>
    <w:rsid w:val="13C54541"/>
    <w:rsid w:val="14537D9F"/>
    <w:rsid w:val="148F7029"/>
    <w:rsid w:val="167209B0"/>
    <w:rsid w:val="16B0772A"/>
    <w:rsid w:val="17BD2473"/>
    <w:rsid w:val="1BAF5C48"/>
    <w:rsid w:val="1CB25FAA"/>
    <w:rsid w:val="1D4F1A4B"/>
    <w:rsid w:val="1E764DB5"/>
    <w:rsid w:val="1F2A2BF6"/>
    <w:rsid w:val="20743577"/>
    <w:rsid w:val="209D0D1F"/>
    <w:rsid w:val="222A0391"/>
    <w:rsid w:val="225278E7"/>
    <w:rsid w:val="22C81958"/>
    <w:rsid w:val="231B417D"/>
    <w:rsid w:val="236A1C89"/>
    <w:rsid w:val="244D0366"/>
    <w:rsid w:val="245636BF"/>
    <w:rsid w:val="24F353B2"/>
    <w:rsid w:val="2BC453B2"/>
    <w:rsid w:val="2CA70830"/>
    <w:rsid w:val="2D8C1F00"/>
    <w:rsid w:val="31554BA2"/>
    <w:rsid w:val="32425283"/>
    <w:rsid w:val="33ED7470"/>
    <w:rsid w:val="34FB52F1"/>
    <w:rsid w:val="369342FF"/>
    <w:rsid w:val="36AF045A"/>
    <w:rsid w:val="38BD38B5"/>
    <w:rsid w:val="3A77AD85"/>
    <w:rsid w:val="3C77021F"/>
    <w:rsid w:val="3DD35929"/>
    <w:rsid w:val="3DF05D4E"/>
    <w:rsid w:val="3DFFFFC2"/>
    <w:rsid w:val="3EC7075D"/>
    <w:rsid w:val="3FBED169"/>
    <w:rsid w:val="3FE4C28A"/>
    <w:rsid w:val="41961147"/>
    <w:rsid w:val="41B33AA7"/>
    <w:rsid w:val="41D57EC1"/>
    <w:rsid w:val="427B20EB"/>
    <w:rsid w:val="4453331F"/>
    <w:rsid w:val="45E5444B"/>
    <w:rsid w:val="46164604"/>
    <w:rsid w:val="472D60AA"/>
    <w:rsid w:val="49B20AE8"/>
    <w:rsid w:val="4B254862"/>
    <w:rsid w:val="4B3F0159"/>
    <w:rsid w:val="4B906C07"/>
    <w:rsid w:val="4BB328F5"/>
    <w:rsid w:val="586B4C84"/>
    <w:rsid w:val="58BE1257"/>
    <w:rsid w:val="591A2206"/>
    <w:rsid w:val="59A0270B"/>
    <w:rsid w:val="5B351579"/>
    <w:rsid w:val="5FC52ECB"/>
    <w:rsid w:val="5FEB84D5"/>
    <w:rsid w:val="5FEEF32D"/>
    <w:rsid w:val="5FFDB57E"/>
    <w:rsid w:val="61630BEE"/>
    <w:rsid w:val="61AB7E9F"/>
    <w:rsid w:val="64BB664B"/>
    <w:rsid w:val="661A55F3"/>
    <w:rsid w:val="675039C2"/>
    <w:rsid w:val="6B086362"/>
    <w:rsid w:val="6B7DEFA4"/>
    <w:rsid w:val="6BFE56A6"/>
    <w:rsid w:val="6BFF3778"/>
    <w:rsid w:val="6DEC351C"/>
    <w:rsid w:val="6EBEBC7A"/>
    <w:rsid w:val="6EBF2A18"/>
    <w:rsid w:val="6FD827A7"/>
    <w:rsid w:val="6FDFE65C"/>
    <w:rsid w:val="721D26F3"/>
    <w:rsid w:val="72DA4A88"/>
    <w:rsid w:val="73B9A0A9"/>
    <w:rsid w:val="75287D2D"/>
    <w:rsid w:val="75B77FDC"/>
    <w:rsid w:val="75BD7A03"/>
    <w:rsid w:val="75DA08FB"/>
    <w:rsid w:val="76C9109B"/>
    <w:rsid w:val="771147F0"/>
    <w:rsid w:val="777A9725"/>
    <w:rsid w:val="77A47413"/>
    <w:rsid w:val="77FE6BAB"/>
    <w:rsid w:val="79492020"/>
    <w:rsid w:val="7A5D207F"/>
    <w:rsid w:val="7E3FD6E8"/>
    <w:rsid w:val="7E976DB3"/>
    <w:rsid w:val="7EEF3745"/>
    <w:rsid w:val="7EFD2B81"/>
    <w:rsid w:val="7F0709B3"/>
    <w:rsid w:val="7F8F31CF"/>
    <w:rsid w:val="7FBD094D"/>
    <w:rsid w:val="7FDEABE7"/>
    <w:rsid w:val="7FE01204"/>
    <w:rsid w:val="7FE38933"/>
    <w:rsid w:val="7FED7147"/>
    <w:rsid w:val="7FF3C190"/>
    <w:rsid w:val="7FFC6FE1"/>
    <w:rsid w:val="8F6FFACC"/>
    <w:rsid w:val="AF67D4CB"/>
    <w:rsid w:val="B6FF6833"/>
    <w:rsid w:val="B77D0B3D"/>
    <w:rsid w:val="BEE7F980"/>
    <w:rsid w:val="BF7B058A"/>
    <w:rsid w:val="BFFF36D0"/>
    <w:rsid w:val="C756CC5C"/>
    <w:rsid w:val="CBDEC9FE"/>
    <w:rsid w:val="CFD7DDA3"/>
    <w:rsid w:val="D35F6BCA"/>
    <w:rsid w:val="D5B750A7"/>
    <w:rsid w:val="D6FF1263"/>
    <w:rsid w:val="D8F71966"/>
    <w:rsid w:val="D9FD5CF9"/>
    <w:rsid w:val="DED72E69"/>
    <w:rsid w:val="DEF62BB4"/>
    <w:rsid w:val="DF594323"/>
    <w:rsid w:val="DF94E4F1"/>
    <w:rsid w:val="DF9CBD8F"/>
    <w:rsid w:val="DFDD5889"/>
    <w:rsid w:val="ECFB14F4"/>
    <w:rsid w:val="EED38EC3"/>
    <w:rsid w:val="EFF40B70"/>
    <w:rsid w:val="F7C62CB5"/>
    <w:rsid w:val="F7EEF800"/>
    <w:rsid w:val="FABFCD1F"/>
    <w:rsid w:val="FAFCC310"/>
    <w:rsid w:val="FBDD78E1"/>
    <w:rsid w:val="FC7B37EE"/>
    <w:rsid w:val="FCEFB5B1"/>
    <w:rsid w:val="FDBE9F6C"/>
    <w:rsid w:val="FDF73848"/>
    <w:rsid w:val="FFAE0C2F"/>
    <w:rsid w:val="FFBE64BB"/>
    <w:rsid w:val="FFFD37F8"/>
    <w:rsid w:val="FFFF056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iPriority="99"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8"/>
    <w:qFormat/>
    <w:uiPriority w:val="9"/>
    <w:pPr>
      <w:keepNext/>
      <w:keepLines/>
      <w:spacing w:before="48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9"/>
    <w:unhideWhenUsed/>
    <w:qFormat/>
    <w:uiPriority w:val="9"/>
    <w:pPr>
      <w:keepNext/>
      <w:keepLines/>
      <w:spacing w:before="20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20"/>
    <w:unhideWhenUsed/>
    <w:qFormat/>
    <w:uiPriority w:val="9"/>
    <w:pPr>
      <w:keepNext/>
      <w:keepLines/>
      <w:spacing w:before="20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21"/>
    <w:unhideWhenUsed/>
    <w:qFormat/>
    <w:uiPriority w:val="9"/>
    <w:pPr>
      <w:keepNext/>
      <w:keepLines/>
      <w:spacing w:before="20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left="720"/>
    </w:pPr>
  </w:style>
  <w:style w:type="paragraph" w:styleId="7">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8">
    <w:name w:val="footer"/>
    <w:basedOn w:val="1"/>
    <w:semiHidden/>
    <w:unhideWhenUsed/>
    <w:qFormat/>
    <w:uiPriority w:val="99"/>
    <w:pPr>
      <w:tabs>
        <w:tab w:val="center" w:pos="4153"/>
        <w:tab w:val="right" w:pos="8306"/>
      </w:tabs>
      <w:snapToGrid w:val="0"/>
      <w:jc w:val="left"/>
    </w:pPr>
    <w:rPr>
      <w:sz w:val="18"/>
    </w:rPr>
  </w:style>
  <w:style w:type="paragraph" w:styleId="9">
    <w:name w:val="header"/>
    <w:basedOn w:val="1"/>
    <w:link w:val="17"/>
    <w:unhideWhenUsed/>
    <w:qFormat/>
    <w:uiPriority w:val="99"/>
    <w:pPr>
      <w:tabs>
        <w:tab w:val="center" w:pos="4680"/>
        <w:tab w:val="right" w:pos="9360"/>
      </w:tabs>
    </w:pPr>
  </w:style>
  <w:style w:type="paragraph" w:styleId="10">
    <w:name w:val="Subtitle"/>
    <w:basedOn w:val="1"/>
    <w:next w:val="1"/>
    <w:link w:val="22"/>
    <w:qFormat/>
    <w:uiPriority w:val="11"/>
    <w:pPr>
      <w:ind w:left="86"/>
    </w:pPr>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1">
    <w:name w:val="Title"/>
    <w:basedOn w:val="1"/>
    <w:next w:val="1"/>
    <w:link w:val="23"/>
    <w:qFormat/>
    <w:uiPriority w:val="10"/>
    <w:pPr>
      <w:pBdr>
        <w:bottom w:val="single" w:color="4F81BD" w:themeColor="accent1" w:sz="8" w:space="4"/>
      </w:pBdr>
      <w:spacing w:after="300"/>
      <w:contextualSpacing/>
    </w:pPr>
    <w:rPr>
      <w:rFonts w:asciiTheme="majorHAnsi" w:hAnsiTheme="majorHAnsi" w:eastAsiaTheme="majorEastAsia" w:cstheme="majorBidi"/>
      <w:color w:val="17375E" w:themeColor="text2" w:themeShade="BF"/>
      <w:spacing w:val="5"/>
      <w:kern w:val="28"/>
      <w:sz w:val="52"/>
      <w:szCs w:val="52"/>
    </w:rPr>
  </w:style>
  <w:style w:type="table" w:styleId="13">
    <w:name w:val="Table Grid"/>
    <w:basedOn w:val="12"/>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5">
    <w:name w:val="Emphasis"/>
    <w:basedOn w:val="14"/>
    <w:qFormat/>
    <w:uiPriority w:val="20"/>
    <w:rPr>
      <w:i/>
      <w:iCs/>
    </w:rPr>
  </w:style>
  <w:style w:type="character" w:styleId="16">
    <w:name w:val="Hyperlink"/>
    <w:basedOn w:val="14"/>
    <w:unhideWhenUsed/>
    <w:qFormat/>
    <w:uiPriority w:val="99"/>
    <w:rPr>
      <w:color w:val="0000FF" w:themeColor="hyperlink"/>
      <w:u w:val="single"/>
      <w14:textFill>
        <w14:solidFill>
          <w14:schemeClr w14:val="hlink"/>
        </w14:solidFill>
      </w14:textFill>
    </w:rPr>
  </w:style>
  <w:style w:type="character" w:customStyle="1" w:styleId="17">
    <w:name w:val="Header Char"/>
    <w:basedOn w:val="14"/>
    <w:link w:val="9"/>
    <w:qFormat/>
    <w:uiPriority w:val="99"/>
  </w:style>
  <w:style w:type="character" w:customStyle="1" w:styleId="18">
    <w:name w:val="Heading 1 Char"/>
    <w:basedOn w:val="14"/>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19">
    <w:name w:val="Heading 2 Char"/>
    <w:basedOn w:val="14"/>
    <w:link w:val="3"/>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20">
    <w:name w:val="Heading 3 Char"/>
    <w:basedOn w:val="14"/>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21">
    <w:name w:val="Heading 4 Char"/>
    <w:basedOn w:val="14"/>
    <w:link w:val="5"/>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22">
    <w:name w:val="Subtitle Char"/>
    <w:basedOn w:val="14"/>
    <w:link w:val="10"/>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character" w:customStyle="1" w:styleId="23">
    <w:name w:val="Title Char"/>
    <w:basedOn w:val="14"/>
    <w:link w:val="11"/>
    <w:qFormat/>
    <w:uiPriority w:val="10"/>
    <w:rPr>
      <w:rFonts w:asciiTheme="majorHAnsi" w:hAnsiTheme="majorHAnsi" w:eastAsiaTheme="majorEastAsia" w:cstheme="majorBidi"/>
      <w:color w:val="17375E" w:themeColor="text2" w:themeShade="BF"/>
      <w:spacing w:val="5"/>
      <w:kern w:val="28"/>
      <w:sz w:val="52"/>
      <w:szCs w:val="5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20</Pages>
  <Words>6056</Words>
  <Characters>6856</Characters>
  <TotalTime>1</TotalTime>
  <ScaleCrop>false</ScaleCrop>
  <LinksUpToDate>false</LinksUpToDate>
  <CharactersWithSpaces>6865</CharactersWithSpaces>
  <Application>WPS Office_12.1.2.23578_F1E327BC-269C-435d-A152-05C5408002CA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2026-08-23T11:55:00Z</dcterms:created>
  <dc:creator>Adminisstratar</dc:creator>
  <cp:lastModifiedBy>user</cp:lastModifiedBy>
  <dcterms:modified xsi:type="dcterms:W3CDTF">2026-08-25T18:47:26Z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A11950C543373C9C41FC8B6ABDBD9EAC_43</vt:lpwstr>
  </property>
  <property fmtid="{D5CDD505-2E9C-101B-9397-08002B2CF9AE}" pid="4" name="KSOTemplateDocerSaveRecord">
    <vt:lpwstr>eyJoZGlkIjoiYzhlOWQ3ZDUxMTI4MjIyYTk4ODg2ODVjNmE3NzA1ZTciLCJ1c2VySWQiOiIzMzE3MDU4NDEifQ==</vt:lpwstr>
  </property>
</Properties>
</file>