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新疆维吾尔自治区社会工作人才资源开发中心</w:t>
      </w:r>
      <w:r>
        <w:rPr>
          <w:rFonts w:hint="default" w:ascii="Times New Roman" w:hAnsi="Times New Roman" w:eastAsia="方正小标宋_GBK" w:cs="Times New Roman"/>
          <w:color w:val="auto"/>
          <w:sz w:val="44"/>
          <w:szCs w:val="44"/>
          <w:highlight w:val="none"/>
          <w:lang w:eastAsia="zh-CN"/>
        </w:rPr>
        <w:t>2023年度</w:t>
      </w:r>
      <w:r>
        <w:rPr>
          <w:rFonts w:hint="eastAsia" w:eastAsia="方正小标宋_GBK" w:cs="Times New Roman"/>
          <w:color w:val="auto"/>
          <w:sz w:val="44"/>
          <w:szCs w:val="44"/>
          <w:highlight w:val="none"/>
          <w:lang w:eastAsia="zh-CN"/>
        </w:rPr>
        <w:t>部门</w:t>
      </w:r>
      <w:r>
        <w:rPr>
          <w:rFonts w:hint="default" w:ascii="Times New Roman" w:hAnsi="Times New Roman" w:eastAsia="方正小标宋_GBK" w:cs="Times New Roman"/>
          <w:color w:val="auto"/>
          <w:sz w:val="44"/>
          <w:szCs w:val="44"/>
          <w:highlight w:val="none"/>
        </w:rPr>
        <w:t>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公开说明</w:t>
      </w:r>
    </w:p>
    <w:p>
      <w:pP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bCs w:val="0"/>
          <w:color w:val="auto"/>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TOC \o "1-3" \n  \h \u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_Toc32314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 xml:space="preserve">第一部分 </w:t>
      </w:r>
      <w:r>
        <w:rPr>
          <w:rFonts w:hint="default" w:ascii="Times New Roman" w:hAnsi="Times New Roman" w:eastAsia="仿宋_GB2312" w:cs="Times New Roman"/>
          <w:b/>
          <w:bCs/>
          <w:color w:val="auto"/>
          <w:sz w:val="32"/>
          <w:szCs w:val="32"/>
          <w:highlight w:val="none"/>
          <w:lang w:eastAsia="zh-CN"/>
        </w:rPr>
        <w:t>单位</w:t>
      </w:r>
      <w:r>
        <w:rPr>
          <w:rFonts w:hint="default" w:ascii="Times New Roman" w:hAnsi="Times New Roman" w:eastAsia="仿宋_GB2312" w:cs="Times New Roman"/>
          <w:b/>
          <w:bCs/>
          <w:color w:val="auto"/>
          <w:sz w:val="32"/>
          <w:szCs w:val="32"/>
          <w:highlight w:val="none"/>
        </w:rPr>
        <w:t>概况</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_Toc30567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一、主要职能</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_Toc2151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二、机构设置</w:t>
      </w:r>
      <w:r>
        <w:rPr>
          <w:rFonts w:hint="default" w:ascii="Times New Roman" w:hAnsi="Times New Roman" w:eastAsia="仿宋_GB2312" w:cs="Times New Roman"/>
          <w:bCs/>
          <w:color w:val="auto"/>
          <w:kern w:val="0"/>
          <w:sz w:val="32"/>
          <w:szCs w:val="32"/>
          <w:highlight w:val="none"/>
          <w:lang w:eastAsia="zh-CN"/>
        </w:rPr>
        <w:t>及人员</w:t>
      </w:r>
      <w:r>
        <w:rPr>
          <w:rFonts w:hint="default" w:ascii="Times New Roman" w:hAnsi="Times New Roman" w:eastAsia="仿宋_GB2312" w:cs="Times New Roman"/>
          <w:bCs/>
          <w:color w:val="auto"/>
          <w:kern w:val="0"/>
          <w:sz w:val="32"/>
          <w:szCs w:val="32"/>
          <w:highlight w:val="none"/>
        </w:rPr>
        <w:t>情况</w:t>
      </w:r>
      <w:r>
        <w:rPr>
          <w:rFonts w:hint="default" w:ascii="Times New Roman" w:hAnsi="Times New Roman" w:eastAsia="仿宋_GB2312" w:cs="Times New Roman"/>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_Toc29374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 xml:space="preserve">第二部分 </w:t>
      </w:r>
      <w:r>
        <w:rPr>
          <w:rFonts w:hint="eastAsia" w:eastAsia="仿宋_GB2312" w:cs="Times New Roman"/>
          <w:b/>
          <w:bCs/>
          <w:color w:val="auto"/>
          <w:sz w:val="32"/>
          <w:szCs w:val="32"/>
          <w:highlight w:val="none"/>
          <w:lang w:eastAsia="zh-CN"/>
        </w:rPr>
        <w:t>部门</w:t>
      </w:r>
      <w:r>
        <w:rPr>
          <w:rFonts w:hint="default" w:ascii="Times New Roman" w:hAnsi="Times New Roman" w:eastAsia="仿宋_GB2312" w:cs="Times New Roman"/>
          <w:b/>
          <w:bCs/>
          <w:color w:val="auto"/>
          <w:sz w:val="32"/>
          <w:szCs w:val="32"/>
          <w:highlight w:val="none"/>
        </w:rPr>
        <w:t>决算情况说明</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_Toc25314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一、收入支出决算总体情况说明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_Toc12142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二、</w:t>
      </w:r>
      <w:r>
        <w:rPr>
          <w:rFonts w:hint="default" w:ascii="Times New Roman" w:hAnsi="Times New Roman" w:eastAsia="仿宋_GB2312" w:cs="Times New Roman"/>
          <w:bCs/>
          <w:color w:val="auto"/>
          <w:kern w:val="0"/>
          <w:sz w:val="32"/>
          <w:szCs w:val="32"/>
          <w:highlight w:val="none"/>
        </w:rPr>
        <w:t>收入</w:t>
      </w:r>
      <w:r>
        <w:rPr>
          <w:rFonts w:hint="default" w:ascii="Times New Roman" w:hAnsi="Times New Roman" w:eastAsia="仿宋_GB2312" w:cs="Times New Roman"/>
          <w:bCs/>
          <w:color w:val="auto"/>
          <w:kern w:val="0"/>
          <w:sz w:val="32"/>
          <w:szCs w:val="32"/>
          <w:highlight w:val="none"/>
          <w:lang w:eastAsia="zh-CN"/>
        </w:rPr>
        <w:t>决算</w:t>
      </w:r>
      <w:r>
        <w:rPr>
          <w:rFonts w:hint="default" w:ascii="Times New Roman" w:hAnsi="Times New Roman" w:eastAsia="仿宋_GB2312" w:cs="Times New Roman"/>
          <w:bCs/>
          <w:color w:val="auto"/>
          <w:kern w:val="0"/>
          <w:sz w:val="32"/>
          <w:szCs w:val="32"/>
          <w:highlight w:val="none"/>
        </w:rPr>
        <w:t>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_Toc13201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三、支出决算情况说明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_Toc26564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四、财政拨款收入支出决算总体情况说明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_Toc20360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五、一般公共预算财政拨款支出决算情况说明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_Toc30870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六、一般公共预算财政拨款基本支出决算情况说明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_Toc21518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七</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eastAsia="zh-CN"/>
        </w:rPr>
        <w:t>财政拨款</w:t>
      </w:r>
      <w:r>
        <w:rPr>
          <w:rFonts w:hint="default" w:ascii="Times New Roman" w:hAnsi="Times New Roman" w:eastAsia="仿宋_GB2312" w:cs="Times New Roman"/>
          <w:bCs/>
          <w:color w:val="auto"/>
          <w:kern w:val="0"/>
          <w:sz w:val="32"/>
          <w:szCs w:val="32"/>
          <w:highlight w:val="none"/>
        </w:rPr>
        <w:t>“三公”经费支出</w:t>
      </w:r>
      <w:r>
        <w:rPr>
          <w:rFonts w:hint="default" w:ascii="Times New Roman" w:hAnsi="Times New Roman" w:eastAsia="仿宋_GB2312" w:cs="Times New Roman"/>
          <w:bCs/>
          <w:color w:val="auto"/>
          <w:kern w:val="0"/>
          <w:sz w:val="32"/>
          <w:szCs w:val="32"/>
          <w:highlight w:val="none"/>
          <w:lang w:eastAsia="zh-CN"/>
        </w:rPr>
        <w:t>决算</w:t>
      </w:r>
      <w:r>
        <w:rPr>
          <w:rFonts w:hint="default" w:ascii="Times New Roman" w:hAnsi="Times New Roman" w:eastAsia="仿宋_GB2312" w:cs="Times New Roman"/>
          <w:bCs/>
          <w:color w:val="auto"/>
          <w:kern w:val="0"/>
          <w:sz w:val="32"/>
          <w:szCs w:val="32"/>
          <w:highlight w:val="none"/>
        </w:rPr>
        <w:t>情况</w:t>
      </w:r>
      <w:r>
        <w:rPr>
          <w:rFonts w:hint="default" w:ascii="Times New Roman" w:hAnsi="Times New Roman" w:eastAsia="仿宋_GB2312" w:cs="Times New Roman"/>
          <w:bCs/>
          <w:color w:val="auto"/>
          <w:kern w:val="0"/>
          <w:sz w:val="32"/>
          <w:szCs w:val="32"/>
          <w:highlight w:val="none"/>
          <w:lang w:eastAsia="zh-CN"/>
        </w:rPr>
        <w:t>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_Toc5810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八、</w:t>
      </w:r>
      <w:r>
        <w:rPr>
          <w:rFonts w:hint="default" w:ascii="Times New Roman" w:hAnsi="Times New Roman" w:eastAsia="仿宋_GB2312" w:cs="Times New Roman"/>
          <w:bCs/>
          <w:color w:val="auto"/>
          <w:kern w:val="0"/>
          <w:sz w:val="32"/>
          <w:szCs w:val="32"/>
          <w:highlight w:val="none"/>
          <w:lang w:eastAsia="zh-CN"/>
        </w:rPr>
        <w:t>政府性基金预算财政拨款收入支出决算情况说明</w:t>
      </w:r>
      <w:r>
        <w:rPr>
          <w:rFonts w:hint="default" w:ascii="Times New Roman" w:hAnsi="Times New Roman" w:eastAsia="仿宋_GB2312" w:cs="Times New Roman"/>
          <w:color w:val="auto"/>
          <w:sz w:val="32"/>
          <w:szCs w:val="32"/>
          <w:highlight w:val="none"/>
        </w:rPr>
        <w:fldChar w:fldCharType="end"/>
      </w:r>
    </w:p>
    <w:p>
      <w:pPr>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_Toc5810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lang w:eastAsia="zh-CN"/>
        </w:rPr>
        <w:t>、国有资本经营预算财政拨款收入支出决算情况说明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_Toc1235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bCs/>
          <w:color w:val="auto"/>
          <w:kern w:val="0"/>
          <w:sz w:val="32"/>
          <w:szCs w:val="32"/>
          <w:highlight w:val="none"/>
        </w:rPr>
        <w:t>、其他重要事项的情况</w:t>
      </w:r>
      <w:r>
        <w:rPr>
          <w:rFonts w:hint="default" w:ascii="Times New Roman" w:hAnsi="Times New Roman" w:eastAsia="仿宋_GB2312" w:cs="Times New Roman"/>
          <w:bCs/>
          <w:color w:val="auto"/>
          <w:kern w:val="0"/>
          <w:sz w:val="32"/>
          <w:szCs w:val="32"/>
          <w:highlight w:val="none"/>
          <w:lang w:eastAsia="zh-CN"/>
        </w:rPr>
        <w:t>说明</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_Toc14519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机关运行经费支出情况</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_Toc227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（二）政府采购情况</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_Toc8391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（三）国有资产占用情况说明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_Toc11283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十</w:t>
      </w:r>
      <w:r>
        <w:rPr>
          <w:rFonts w:hint="default" w:ascii="Times New Roman" w:hAnsi="Times New Roman" w:eastAsia="仿宋_GB2312" w:cs="Times New Roman"/>
          <w:bCs/>
          <w:color w:val="auto"/>
          <w:kern w:val="0"/>
          <w:sz w:val="32"/>
          <w:szCs w:val="32"/>
          <w:highlight w:val="none"/>
          <w:lang w:val="en-US" w:eastAsia="zh-CN"/>
        </w:rPr>
        <w:t>一</w:t>
      </w:r>
      <w:r>
        <w:rPr>
          <w:rFonts w:hint="default" w:ascii="Times New Roman" w:hAnsi="Times New Roman" w:eastAsia="仿宋_GB2312" w:cs="Times New Roman"/>
          <w:bCs/>
          <w:color w:val="auto"/>
          <w:kern w:val="0"/>
          <w:sz w:val="32"/>
          <w:szCs w:val="32"/>
          <w:highlight w:val="none"/>
          <w:lang w:eastAsia="zh-CN"/>
        </w:rPr>
        <w:t>、预算绩效的情况说明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十二、其他需说明的事项</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_Toc3250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第三部分 专业名词解释</w:t>
      </w:r>
      <w:r>
        <w:rPr>
          <w:rFonts w:hint="default" w:ascii="Times New Roman" w:hAnsi="Times New Roman" w:eastAsia="仿宋_GB2312" w:cs="Times New Roman"/>
          <w:b/>
          <w:bCs/>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_Toc22784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 xml:space="preserve">第四部分 </w:t>
      </w:r>
      <w:r>
        <w:rPr>
          <w:rFonts w:hint="eastAsia" w:eastAsia="仿宋_GB2312" w:cs="Times New Roman"/>
          <w:b/>
          <w:bCs/>
          <w:color w:val="auto"/>
          <w:sz w:val="32"/>
          <w:szCs w:val="32"/>
          <w:highlight w:val="none"/>
          <w:lang w:eastAsia="zh-CN"/>
        </w:rPr>
        <w:t>部门</w:t>
      </w:r>
      <w:r>
        <w:rPr>
          <w:rFonts w:hint="default" w:ascii="Times New Roman" w:hAnsi="Times New Roman" w:eastAsia="仿宋_GB2312" w:cs="Times New Roman"/>
          <w:b/>
          <w:bCs/>
          <w:color w:val="auto"/>
          <w:sz w:val="32"/>
          <w:szCs w:val="32"/>
          <w:highlight w:val="none"/>
        </w:rPr>
        <w:t>决算报表（见附表）</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_Toc2183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一、《收入支出决算总表》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_Toc24532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二、《收入决算表》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_Toc32434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三、《支出决算表》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_Toc28786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四、《财政拨款收入支出决算总表》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_Toc14869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五、《一般公共预算财政拨款支出决算表》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_Toc8884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六、《一般公共预算财政拨款基本支出决算表》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_Toc29106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七、《财政拨款“三公”经费支出决算表》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fldChar w:fldCharType="begin"/>
      </w:r>
      <w:r>
        <w:rPr>
          <w:rFonts w:hint="default" w:ascii="Times New Roman" w:hAnsi="Times New Roman" w:eastAsia="仿宋_GB2312" w:cs="Times New Roman"/>
          <w:bCs/>
          <w:color w:val="auto"/>
          <w:kern w:val="0"/>
          <w:sz w:val="32"/>
          <w:szCs w:val="32"/>
          <w:highlight w:val="none"/>
        </w:rPr>
        <w:instrText xml:space="preserve"> HYPERLINK \l _Toc7643 </w:instrText>
      </w:r>
      <w:r>
        <w:rPr>
          <w:rFonts w:hint="default" w:ascii="Times New Roman" w:hAnsi="Times New Roman" w:eastAsia="仿宋_GB2312" w:cs="Times New Roman"/>
          <w:bCs/>
          <w:color w:val="auto"/>
          <w:kern w:val="0"/>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八、</w:t>
      </w:r>
      <w:r>
        <w:rPr>
          <w:rFonts w:hint="default" w:ascii="Times New Roman" w:hAnsi="Times New Roman" w:eastAsia="仿宋_GB2312" w:cs="Times New Roman"/>
          <w:bCs/>
          <w:color w:val="auto"/>
          <w:kern w:val="0"/>
          <w:sz w:val="32"/>
          <w:szCs w:val="32"/>
          <w:highlight w:val="none"/>
        </w:rPr>
        <w:t>《政府性基金预算财政拨款收入支出决算表》</w:t>
      </w:r>
      <w:r>
        <w:rPr>
          <w:rFonts w:hint="default" w:ascii="Times New Roman" w:hAnsi="Times New Roman" w:eastAsia="仿宋_GB2312" w:cs="Times New Roman"/>
          <w:bCs/>
          <w:color w:val="auto"/>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lang w:eastAsia="zh-CN"/>
        </w:rPr>
        <w:t>、《国有资本经营</w:t>
      </w:r>
      <w:r>
        <w:rPr>
          <w:rFonts w:hint="default" w:ascii="Times New Roman" w:hAnsi="Times New Roman" w:eastAsia="仿宋_GB2312" w:cs="Times New Roman"/>
          <w:bCs/>
          <w:color w:val="auto"/>
          <w:kern w:val="0"/>
          <w:sz w:val="32"/>
          <w:szCs w:val="32"/>
          <w:highlight w:val="none"/>
        </w:rPr>
        <w:t>预算财政拨款收入支出决算表</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fldChar w:fldCharType="end"/>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2"/>
          <w:szCs w:val="32"/>
          <w:highlight w:val="none"/>
        </w:rPr>
      </w:pPr>
      <w:bookmarkStart w:id="0" w:name="_Toc32314"/>
      <w:bookmarkStart w:id="1" w:name="_Toc24028"/>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2" w:name="_Toc30567"/>
      <w:bookmarkStart w:id="3" w:name="_Toc30738"/>
      <w:r>
        <w:rPr>
          <w:rFonts w:hint="default" w:ascii="Times New Roman" w:hAnsi="Times New Roman" w:eastAsia="黑体" w:cs="Times New Roman"/>
          <w:bCs/>
          <w:color w:val="auto"/>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组织开展社会工作政策、理论和实践问题研究，宣传普及社会工作知识；负责社会工作者的岗位培训、继续教育、信息服务工作；承担民政系统干部职工的教育培训任务</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4" w:name="_Toc31238"/>
      <w:bookmarkStart w:id="5" w:name="_Toc2151"/>
      <w:r>
        <w:rPr>
          <w:rFonts w:hint="default" w:ascii="Times New Roman" w:hAnsi="Times New Roman" w:eastAsia="黑体" w:cs="Times New Roman"/>
          <w:bCs/>
          <w:color w:val="auto"/>
          <w:kern w:val="0"/>
          <w:sz w:val="32"/>
          <w:szCs w:val="32"/>
          <w:highlight w:val="none"/>
        </w:rPr>
        <w:t>二、机构设置</w:t>
      </w:r>
      <w:r>
        <w:rPr>
          <w:rFonts w:hint="default" w:ascii="Times New Roman" w:hAnsi="Times New Roman" w:eastAsia="黑体" w:cs="Times New Roman"/>
          <w:bCs/>
          <w:color w:val="auto"/>
          <w:kern w:val="0"/>
          <w:sz w:val="32"/>
          <w:szCs w:val="32"/>
          <w:highlight w:val="none"/>
          <w:lang w:eastAsia="zh-CN"/>
        </w:rPr>
        <w:t>及</w:t>
      </w:r>
      <w:bookmarkEnd w:id="4"/>
      <w:r>
        <w:rPr>
          <w:rFonts w:hint="default" w:ascii="Times New Roman" w:hAnsi="Times New Roman" w:eastAsia="黑体" w:cs="Times New Roman"/>
          <w:bCs/>
          <w:color w:val="auto"/>
          <w:kern w:val="0"/>
          <w:sz w:val="32"/>
          <w:szCs w:val="32"/>
          <w:highlight w:val="none"/>
          <w:lang w:eastAsia="zh-CN"/>
        </w:rPr>
        <w:t>人员</w:t>
      </w:r>
      <w:r>
        <w:rPr>
          <w:rFonts w:hint="default" w:ascii="Times New Roman" w:hAnsi="Times New Roman" w:eastAsia="黑体" w:cs="Times New Roman"/>
          <w:bCs/>
          <w:color w:val="auto"/>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新疆维吾尔自治区社会工作人才资源开发中心</w:t>
      </w:r>
      <w:r>
        <w:rPr>
          <w:rFonts w:hint="default" w:ascii="Times New Roman" w:hAnsi="Times New Roman" w:eastAsia="仿宋_GB2312" w:cs="Times New Roman"/>
          <w:color w:val="auto"/>
          <w:sz w:val="32"/>
          <w:szCs w:val="32"/>
          <w:highlight w:val="none"/>
          <w:lang w:eastAsia="zh-CN"/>
        </w:rPr>
        <w:t>2023年度，</w:t>
      </w:r>
      <w:r>
        <w:rPr>
          <w:rFonts w:hint="default" w:ascii="Times New Roman" w:hAnsi="Times New Roman" w:eastAsia="仿宋_GB2312" w:cs="Times New Roman"/>
          <w:color w:val="auto"/>
          <w:sz w:val="32"/>
          <w:szCs w:val="32"/>
          <w:highlight w:val="none"/>
        </w:rPr>
        <w:t>实有人数</w:t>
      </w:r>
      <w:r>
        <w:rPr>
          <w:rFonts w:hint="default" w:ascii="Times New Roman" w:hAnsi="Times New Roman" w:eastAsia="仿宋_GB2312" w:cs="Times New Roman"/>
          <w:color w:val="auto"/>
          <w:sz w:val="32"/>
          <w:szCs w:val="32"/>
          <w:highlight w:val="none"/>
          <w:lang w:val="zh-CN" w:eastAsia="zh-CN"/>
        </w:rPr>
        <w:t>10</w:t>
      </w:r>
      <w:r>
        <w:rPr>
          <w:rFonts w:hint="default" w:ascii="Times New Roman" w:hAnsi="Times New Roman" w:eastAsia="仿宋_GB2312" w:cs="Times New Roman"/>
          <w:color w:val="auto"/>
          <w:sz w:val="32"/>
          <w:szCs w:val="32"/>
          <w:highlight w:val="none"/>
        </w:rPr>
        <w:t>人，其中：在职人员</w:t>
      </w:r>
      <w:r>
        <w:rPr>
          <w:rFonts w:hint="default" w:ascii="Times New Roman" w:hAnsi="Times New Roman" w:eastAsia="仿宋_GB2312" w:cs="Times New Roman"/>
          <w:color w:val="auto"/>
          <w:sz w:val="32"/>
          <w:szCs w:val="32"/>
          <w:highlight w:val="none"/>
          <w:lang w:val="zh-CN" w:eastAsia="zh-CN"/>
        </w:rPr>
        <w:t>10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离休人员</w:t>
      </w:r>
      <w:r>
        <w:rPr>
          <w:rFonts w:hint="default" w:ascii="Times New Roman" w:hAnsi="Times New Roman" w:eastAsia="仿宋_GB2312" w:cs="Times New Roman"/>
          <w:color w:val="auto"/>
          <w:sz w:val="32"/>
          <w:szCs w:val="32"/>
          <w:highlight w:val="none"/>
          <w:lang w:val="zh-CN" w:eastAsia="zh-CN"/>
        </w:rPr>
        <w:t>0</w:t>
      </w:r>
      <w:r>
        <w:rPr>
          <w:rFonts w:hint="default" w:ascii="Times New Roman" w:hAnsi="Times New Roman" w:eastAsia="仿宋_GB2312" w:cs="Times New Roman"/>
          <w:color w:val="auto"/>
          <w:sz w:val="32"/>
          <w:szCs w:val="32"/>
          <w:highlight w:val="none"/>
        </w:rPr>
        <w:t>人，退休人员</w:t>
      </w:r>
      <w:r>
        <w:rPr>
          <w:rFonts w:hint="default" w:ascii="Times New Roman" w:hAnsi="Times New Roman" w:eastAsia="仿宋_GB2312" w:cs="Times New Roman"/>
          <w:color w:val="auto"/>
          <w:sz w:val="32"/>
          <w:szCs w:val="32"/>
          <w:highlight w:val="none"/>
          <w:lang w:val="zh-CN" w:eastAsia="zh-CN"/>
        </w:rPr>
        <w:t>0</w:t>
      </w:r>
      <w:r>
        <w:rPr>
          <w:rFonts w:hint="default" w:ascii="Times New Roman" w:hAnsi="Times New Roman" w:eastAsia="仿宋_GB2312" w:cs="Times New Roman"/>
          <w:color w:val="auto"/>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eastAsia="仿宋_GB2312" w:cs="Times New Roman"/>
          <w:color w:val="auto"/>
          <w:sz w:val="32"/>
          <w:szCs w:val="32"/>
          <w:highlight w:val="none"/>
          <w:lang w:val="en-US" w:eastAsia="zh-CN"/>
        </w:rPr>
        <w:t>单位</w:t>
      </w:r>
      <w:r>
        <w:rPr>
          <w:rFonts w:hint="default" w:ascii="Times New Roman" w:hAnsi="Times New Roman" w:eastAsia="仿宋_GB2312" w:cs="Times New Roman"/>
          <w:bCs/>
          <w:color w:val="auto"/>
          <w:kern w:val="0"/>
          <w:sz w:val="32"/>
          <w:szCs w:val="32"/>
          <w:highlight w:val="none"/>
        </w:rPr>
        <w:t>无下属预算单位，</w:t>
      </w:r>
      <w:r>
        <w:rPr>
          <w:rFonts w:hint="default" w:ascii="Times New Roman" w:hAnsi="Times New Roman" w:eastAsia="仿宋_GB2312" w:cs="Times New Roman"/>
          <w:bCs/>
          <w:kern w:val="0"/>
          <w:sz w:val="32"/>
          <w:szCs w:val="32"/>
          <w:highlight w:val="none"/>
        </w:rPr>
        <w:t>下设3个</w:t>
      </w:r>
      <w:r>
        <w:rPr>
          <w:rFonts w:hint="eastAsia" w:eastAsia="仿宋_GB2312" w:cs="Times New Roman"/>
          <w:bCs/>
          <w:kern w:val="0"/>
          <w:sz w:val="32"/>
          <w:szCs w:val="32"/>
          <w:highlight w:val="none"/>
          <w:lang w:val="en-US" w:eastAsia="zh-CN"/>
        </w:rPr>
        <w:t>科</w:t>
      </w:r>
      <w:r>
        <w:rPr>
          <w:rFonts w:hint="default" w:ascii="Times New Roman" w:hAnsi="Times New Roman" w:eastAsia="仿宋_GB2312" w:cs="Times New Roman"/>
          <w:bCs/>
          <w:kern w:val="0"/>
          <w:sz w:val="32"/>
          <w:szCs w:val="32"/>
          <w:highlight w:val="none"/>
        </w:rPr>
        <w:t>室，分别是：综合科、社工科、培训科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2"/>
          <w:szCs w:val="32"/>
          <w:highlight w:val="none"/>
        </w:rPr>
      </w:pPr>
      <w:bookmarkStart w:id="6" w:name="_Toc29374"/>
      <w:bookmarkStart w:id="7" w:name="_Toc3092"/>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 xml:space="preserve">部分 </w:t>
      </w:r>
      <w:r>
        <w:rPr>
          <w:rFonts w:hint="eastAsia" w:eastAsia="黑体" w:cs="Times New Roman"/>
          <w:color w:val="auto"/>
          <w:sz w:val="32"/>
          <w:szCs w:val="32"/>
          <w:highlight w:val="none"/>
          <w:lang w:eastAsia="zh-CN"/>
        </w:rPr>
        <w:t>部门</w:t>
      </w:r>
      <w:r>
        <w:rPr>
          <w:rFonts w:hint="default" w:ascii="Times New Roman" w:hAnsi="Times New Roman" w:eastAsia="黑体" w:cs="Times New Roman"/>
          <w:color w:val="auto"/>
          <w:sz w:val="32"/>
          <w:szCs w:val="32"/>
          <w:highlight w:val="none"/>
        </w:rPr>
        <w:t>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8" w:name="_Toc12566"/>
      <w:bookmarkStart w:id="9" w:name="_Toc25314"/>
      <w:r>
        <w:rPr>
          <w:rFonts w:hint="default" w:ascii="Times New Roman" w:hAnsi="Times New Roman" w:eastAsia="黑体" w:cs="Times New Roman"/>
          <w:bCs/>
          <w:color w:val="auto"/>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2023年度</w:t>
      </w:r>
      <w:r>
        <w:rPr>
          <w:rFonts w:hint="default" w:ascii="Times New Roman" w:hAnsi="Times New Roman" w:eastAsia="仿宋_GB2312" w:cs="Times New Roman"/>
          <w:b/>
          <w:bCs/>
          <w:color w:val="auto"/>
          <w:spacing w:val="0"/>
          <w:sz w:val="32"/>
          <w:szCs w:val="32"/>
          <w:highlight w:val="none"/>
          <w:lang w:val="en-US" w:eastAsia="zh-CN"/>
        </w:rPr>
        <w:t>收入总计</w:t>
      </w:r>
      <w:r>
        <w:rPr>
          <w:rFonts w:hint="default" w:ascii="Times New Roman" w:hAnsi="Times New Roman" w:eastAsia="仿宋_GB2312" w:cs="Times New Roman"/>
          <w:b/>
          <w:bCs/>
          <w:color w:val="auto"/>
          <w:spacing w:val="0"/>
          <w:sz w:val="32"/>
          <w:szCs w:val="32"/>
          <w:highlight w:val="none"/>
          <w:lang w:eastAsia="zh-CN"/>
        </w:rPr>
        <w:t>189.39万元，</w:t>
      </w:r>
      <w:r>
        <w:rPr>
          <w:rFonts w:hint="default" w:ascii="Times New Roman" w:hAnsi="Times New Roman" w:eastAsia="仿宋_GB2312" w:cs="Times New Roman"/>
          <w:color w:val="auto"/>
          <w:spacing w:val="0"/>
          <w:sz w:val="32"/>
          <w:szCs w:val="32"/>
          <w:highlight w:val="none"/>
          <w:lang w:val="en-US" w:eastAsia="zh-CN"/>
        </w:rPr>
        <w:t>其中：本年收入合计</w:t>
      </w:r>
      <w:r>
        <w:rPr>
          <w:rFonts w:hint="default" w:ascii="Times New Roman" w:hAnsi="Times New Roman" w:eastAsia="仿宋_GB2312" w:cs="Times New Roman"/>
          <w:color w:val="auto"/>
          <w:spacing w:val="0"/>
          <w:sz w:val="32"/>
          <w:szCs w:val="32"/>
          <w:highlight w:val="none"/>
          <w:lang w:eastAsia="zh-CN"/>
        </w:rPr>
        <w:t>189.39万元，使用非财政拨款结余0.00万元，年初结转和结余0.00万元。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val="en-US" w:eastAsia="zh-CN"/>
        </w:rPr>
        <w:t>2023</w:t>
      </w:r>
      <w:r>
        <w:rPr>
          <w:rFonts w:hint="default" w:ascii="Times New Roman" w:hAnsi="Times New Roman" w:eastAsia="仿宋_GB2312" w:cs="Times New Roman"/>
          <w:b/>
          <w:bCs/>
          <w:color w:val="auto"/>
          <w:spacing w:val="0"/>
          <w:sz w:val="32"/>
          <w:szCs w:val="32"/>
          <w:highlight w:val="none"/>
          <w:lang w:eastAsia="zh-CN"/>
        </w:rPr>
        <w:t>年</w:t>
      </w:r>
      <w:r>
        <w:rPr>
          <w:rFonts w:hint="default" w:ascii="Times New Roman" w:hAnsi="Times New Roman" w:eastAsia="仿宋_GB2312" w:cs="Times New Roman"/>
          <w:b/>
          <w:bCs/>
          <w:color w:val="auto"/>
          <w:spacing w:val="0"/>
          <w:sz w:val="32"/>
          <w:szCs w:val="32"/>
          <w:highlight w:val="none"/>
          <w:lang w:val="en-US" w:eastAsia="zh-CN"/>
        </w:rPr>
        <w:t>度</w:t>
      </w:r>
      <w:r>
        <w:rPr>
          <w:rFonts w:hint="default" w:ascii="Times New Roman" w:hAnsi="Times New Roman" w:eastAsia="仿宋_GB2312" w:cs="Times New Roman"/>
          <w:b/>
          <w:bCs/>
          <w:color w:val="auto"/>
          <w:spacing w:val="0"/>
          <w:sz w:val="32"/>
          <w:szCs w:val="32"/>
          <w:highlight w:val="none"/>
          <w:lang w:eastAsia="zh-CN"/>
        </w:rPr>
        <w:t>支出</w:t>
      </w:r>
      <w:r>
        <w:rPr>
          <w:rFonts w:hint="default" w:ascii="Times New Roman" w:hAnsi="Times New Roman" w:eastAsia="仿宋_GB2312" w:cs="Times New Roman"/>
          <w:b/>
          <w:bCs/>
          <w:color w:val="auto"/>
          <w:spacing w:val="0"/>
          <w:sz w:val="32"/>
          <w:szCs w:val="32"/>
          <w:highlight w:val="none"/>
          <w:lang w:val="en-US" w:eastAsia="zh-CN"/>
        </w:rPr>
        <w:t>总计</w:t>
      </w:r>
      <w:r>
        <w:rPr>
          <w:rFonts w:hint="default" w:ascii="Times New Roman" w:hAnsi="Times New Roman" w:eastAsia="仿宋_GB2312" w:cs="Times New Roman"/>
          <w:b/>
          <w:bCs/>
          <w:color w:val="auto"/>
          <w:spacing w:val="0"/>
          <w:sz w:val="32"/>
          <w:szCs w:val="32"/>
          <w:highlight w:val="none"/>
          <w:lang w:eastAsia="zh-CN"/>
        </w:rPr>
        <w:t>189.39万元，</w:t>
      </w:r>
      <w:r>
        <w:rPr>
          <w:rFonts w:hint="default" w:ascii="Times New Roman" w:hAnsi="Times New Roman" w:eastAsia="仿宋_GB2312" w:cs="Times New Roman"/>
          <w:color w:val="auto"/>
          <w:spacing w:val="0"/>
          <w:sz w:val="32"/>
          <w:szCs w:val="32"/>
          <w:highlight w:val="none"/>
          <w:lang w:val="en-US" w:eastAsia="zh-CN"/>
        </w:rPr>
        <w:t>其中：本年支出合计</w:t>
      </w:r>
      <w:r>
        <w:rPr>
          <w:rFonts w:hint="default" w:ascii="Times New Roman" w:hAnsi="Times New Roman" w:eastAsia="仿宋_GB2312" w:cs="Times New Roman"/>
          <w:color w:val="auto"/>
          <w:spacing w:val="0"/>
          <w:sz w:val="32"/>
          <w:szCs w:val="32"/>
          <w:highlight w:val="none"/>
          <w:lang w:eastAsia="zh-CN"/>
        </w:rPr>
        <w:t>189.39万元，</w:t>
      </w:r>
      <w:r>
        <w:rPr>
          <w:rFonts w:hint="default" w:ascii="Times New Roman" w:hAnsi="Times New Roman" w:eastAsia="仿宋_GB2312" w:cs="Times New Roman"/>
          <w:color w:val="auto"/>
          <w:spacing w:val="0"/>
          <w:sz w:val="32"/>
          <w:szCs w:val="32"/>
          <w:highlight w:val="none"/>
          <w:lang w:val="en-US" w:eastAsia="zh-CN"/>
        </w:rPr>
        <w:t>结余分配</w:t>
      </w:r>
      <w:r>
        <w:rPr>
          <w:rFonts w:hint="default" w:ascii="Times New Roman" w:hAnsi="Times New Roman" w:eastAsia="仿宋_GB2312" w:cs="Times New Roman"/>
          <w:color w:val="auto"/>
          <w:spacing w:val="0"/>
          <w:sz w:val="32"/>
          <w:szCs w:val="32"/>
          <w:highlight w:val="none"/>
          <w:lang w:eastAsia="zh-CN"/>
        </w:rPr>
        <w:t>0.00万元，年末结转和结余0.00万元。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val="en-US" w:eastAsia="zh-CN"/>
        </w:rPr>
        <w:t>收入支出总体与上年相比</w:t>
      </w:r>
      <w:r>
        <w:rPr>
          <w:rFonts w:hint="default" w:ascii="Times New Roman" w:hAnsi="Times New Roman" w:eastAsia="仿宋_GB2312" w:cs="Times New Roman"/>
          <w:b/>
          <w:bCs/>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减少1.7</w:t>
      </w:r>
      <w:r>
        <w:rPr>
          <w:rFonts w:hint="eastAsia"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val="zh-CN" w:eastAsia="zh-CN"/>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下降0.91%</w:t>
      </w:r>
      <w:r>
        <w:rPr>
          <w:rFonts w:hint="default" w:ascii="Times New Roman" w:hAnsi="Times New Roman" w:eastAsia="仿宋_GB2312" w:cs="Times New Roman"/>
          <w:color w:val="auto"/>
          <w:spacing w:val="0"/>
          <w:sz w:val="32"/>
          <w:szCs w:val="32"/>
          <w:highlight w:val="none"/>
          <w:lang w:eastAsia="zh-CN"/>
        </w:rPr>
        <w:t>，主要原因是：</w:t>
      </w:r>
      <w:r>
        <w:rPr>
          <w:rFonts w:hint="default" w:ascii="Times New Roman" w:hAnsi="Times New Roman" w:eastAsia="仿宋_GB2312" w:cs="Times New Roman"/>
          <w:color w:val="auto"/>
          <w:spacing w:val="0"/>
          <w:sz w:val="32"/>
          <w:szCs w:val="32"/>
          <w:highlight w:val="none"/>
          <w:lang w:val="en-US" w:eastAsia="zh-CN"/>
        </w:rPr>
        <w:t>本年度</w:t>
      </w:r>
      <w:r>
        <w:rPr>
          <w:rFonts w:hint="eastAsia" w:eastAsia="仿宋_GB2312" w:cs="Times New Roman"/>
          <w:color w:val="auto"/>
          <w:spacing w:val="0"/>
          <w:sz w:val="32"/>
          <w:szCs w:val="32"/>
          <w:highlight w:val="none"/>
          <w:lang w:val="en-US" w:eastAsia="zh-CN"/>
        </w:rPr>
        <w:t>未安排“社会工作者考前培训项目”支出，</w:t>
      </w:r>
      <w:r>
        <w:rPr>
          <w:rFonts w:hint="default" w:ascii="Times New Roman" w:hAnsi="Times New Roman" w:eastAsia="仿宋_GB2312" w:cs="Times New Roman"/>
          <w:color w:val="auto"/>
          <w:spacing w:val="0"/>
          <w:sz w:val="32"/>
          <w:szCs w:val="32"/>
          <w:highlight w:val="none"/>
          <w:lang w:val="en-US" w:eastAsia="zh-CN"/>
        </w:rPr>
        <w:t>使得整体收入支出减少</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rPr>
      </w:pPr>
      <w:bookmarkStart w:id="10" w:name="_Toc12142"/>
      <w:bookmarkStart w:id="11" w:name="_Toc1979"/>
      <w:r>
        <w:rPr>
          <w:rFonts w:hint="default" w:ascii="Times New Roman" w:hAnsi="Times New Roman" w:eastAsia="黑体" w:cs="Times New Roman"/>
          <w:bCs/>
          <w:color w:val="auto"/>
          <w:kern w:val="0"/>
          <w:sz w:val="32"/>
          <w:szCs w:val="32"/>
          <w:highlight w:val="none"/>
          <w:lang w:eastAsia="zh-CN"/>
        </w:rPr>
        <w:t>二、</w:t>
      </w:r>
      <w:r>
        <w:rPr>
          <w:rFonts w:hint="default" w:ascii="Times New Roman" w:hAnsi="Times New Roman" w:eastAsia="黑体" w:cs="Times New Roman"/>
          <w:bCs/>
          <w:color w:val="auto"/>
          <w:kern w:val="0"/>
          <w:sz w:val="32"/>
          <w:szCs w:val="32"/>
          <w:highlight w:val="none"/>
        </w:rPr>
        <w:t>收入</w:t>
      </w:r>
      <w:r>
        <w:rPr>
          <w:rFonts w:hint="default" w:ascii="Times New Roman" w:hAnsi="Times New Roman" w:eastAsia="黑体" w:cs="Times New Roman"/>
          <w:bCs/>
          <w:color w:val="auto"/>
          <w:kern w:val="0"/>
          <w:sz w:val="32"/>
          <w:szCs w:val="32"/>
          <w:highlight w:val="none"/>
          <w:lang w:eastAsia="zh-CN"/>
        </w:rPr>
        <w:t>决算</w:t>
      </w:r>
      <w:r>
        <w:rPr>
          <w:rFonts w:hint="default" w:ascii="Times New Roman" w:hAnsi="Times New Roman" w:eastAsia="黑体" w:cs="Times New Roman"/>
          <w:bCs/>
          <w:color w:val="auto"/>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本年收入</w:t>
      </w:r>
      <w:r>
        <w:rPr>
          <w:rFonts w:hint="default" w:ascii="Times New Roman" w:hAnsi="Times New Roman" w:eastAsia="仿宋_GB2312" w:cs="Times New Roman"/>
          <w:b/>
          <w:bCs/>
          <w:color w:val="auto"/>
          <w:sz w:val="32"/>
          <w:szCs w:val="32"/>
          <w:highlight w:val="none"/>
          <w:lang w:eastAsia="zh-CN"/>
        </w:rPr>
        <w:t>189.39</w:t>
      </w:r>
      <w:r>
        <w:rPr>
          <w:rFonts w:hint="default" w:ascii="Times New Roman" w:hAnsi="Times New Roman" w:eastAsia="仿宋_GB2312" w:cs="Times New Roman"/>
          <w:b/>
          <w:bCs/>
          <w:color w:val="auto"/>
          <w:sz w:val="32"/>
          <w:szCs w:val="32"/>
          <w:highlight w:val="none"/>
        </w:rPr>
        <w:t>万元，</w:t>
      </w:r>
      <w:r>
        <w:rPr>
          <w:rFonts w:hint="default" w:ascii="Times New Roman" w:hAnsi="Times New Roman" w:eastAsia="仿宋_GB2312" w:cs="Times New Roman"/>
          <w:color w:val="auto"/>
          <w:sz w:val="32"/>
          <w:szCs w:val="32"/>
          <w:highlight w:val="none"/>
        </w:rPr>
        <w:t>其中：财政拨款收入</w:t>
      </w:r>
      <w:r>
        <w:rPr>
          <w:rFonts w:hint="default" w:ascii="Times New Roman" w:hAnsi="Times New Roman" w:eastAsia="仿宋_GB2312" w:cs="Times New Roman"/>
          <w:color w:val="auto"/>
          <w:sz w:val="32"/>
          <w:szCs w:val="32"/>
          <w:highlight w:val="none"/>
          <w:lang w:val="zh-CN"/>
        </w:rPr>
        <w:t>189.37</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99.99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；上级补助收入</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；事业收入</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；经营收入</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0.00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eastAsia="仿宋_GB2312" w:cs="Times New Roman"/>
          <w:color w:val="auto"/>
          <w:sz w:val="32"/>
          <w:szCs w:val="32"/>
          <w:highlight w:val="none"/>
          <w:lang w:val="zh-CN"/>
        </w:rPr>
        <w:t>0.0</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zh-CN"/>
        </w:rPr>
        <w:t>0.01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2" w:name="_Toc13201"/>
      <w:bookmarkStart w:id="13" w:name="_Toc27961"/>
      <w:r>
        <w:rPr>
          <w:rFonts w:hint="default" w:ascii="Times New Roman" w:hAnsi="Times New Roman" w:eastAsia="黑体" w:cs="Times New Roman"/>
          <w:bCs/>
          <w:color w:val="auto"/>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color w:val="auto"/>
          <w:sz w:val="30"/>
          <w:szCs w:val="30"/>
          <w:highlight w:val="none"/>
          <w:lang w:val="zh-CN" w:eastAsia="zh-CN"/>
        </w:rPr>
      </w:pPr>
      <w:r>
        <w:rPr>
          <w:rFonts w:hint="default" w:ascii="Times New Roman" w:hAnsi="Times New Roman" w:eastAsia="仿宋_GB2312" w:cs="Times New Roman"/>
          <w:b/>
          <w:bCs/>
          <w:color w:val="auto"/>
          <w:sz w:val="32"/>
          <w:szCs w:val="32"/>
          <w:highlight w:val="none"/>
          <w:lang w:val="zh-CN" w:eastAsia="zh-CN"/>
        </w:rPr>
        <w:t>本年支出189.39万元，</w:t>
      </w:r>
      <w:r>
        <w:rPr>
          <w:rFonts w:hint="default" w:ascii="Times New Roman" w:hAnsi="Times New Roman" w:eastAsia="仿宋_GB2312" w:cs="Times New Roman"/>
          <w:color w:val="auto"/>
          <w:sz w:val="32"/>
          <w:szCs w:val="32"/>
          <w:highlight w:val="none"/>
          <w:lang w:val="zh-CN" w:eastAsia="zh-CN"/>
        </w:rPr>
        <w:t>其中：基本支出189.39万元，占100.00%；项目支出0.00万元，占0.00%；上缴上级支出0.00万元，占0.00%；经营支出0.00万元，占0.00%；对附属单位补助支出0.00万元，占0.00%。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4" w:name="_Toc4393"/>
      <w:bookmarkStart w:id="15" w:name="_Toc26564"/>
      <w:r>
        <w:rPr>
          <w:rFonts w:hint="default" w:ascii="Times New Roman" w:hAnsi="Times New Roman" w:eastAsia="黑体" w:cs="Times New Roman"/>
          <w:bCs/>
          <w:color w:val="auto"/>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2023年度财政拨款收入</w:t>
      </w:r>
      <w:r>
        <w:rPr>
          <w:rFonts w:hint="default" w:ascii="Times New Roman" w:hAnsi="Times New Roman" w:eastAsia="仿宋_GB2312" w:cs="Times New Roman"/>
          <w:b/>
          <w:bCs/>
          <w:color w:val="auto"/>
          <w:spacing w:val="0"/>
          <w:sz w:val="32"/>
          <w:szCs w:val="32"/>
          <w:highlight w:val="none"/>
          <w:lang w:val="en-US" w:eastAsia="zh-CN"/>
        </w:rPr>
        <w:t>总计</w:t>
      </w:r>
      <w:r>
        <w:rPr>
          <w:rFonts w:hint="default" w:ascii="Times New Roman" w:hAnsi="Times New Roman" w:eastAsia="仿宋_GB2312" w:cs="Times New Roman"/>
          <w:b/>
          <w:bCs/>
          <w:color w:val="auto"/>
          <w:spacing w:val="0"/>
          <w:sz w:val="32"/>
          <w:szCs w:val="32"/>
          <w:highlight w:val="none"/>
          <w:lang w:val="zh-CN" w:eastAsia="zh-CN"/>
        </w:rPr>
        <w:t>189.37</w:t>
      </w:r>
      <w:r>
        <w:rPr>
          <w:rFonts w:hint="default" w:ascii="Times New Roman" w:hAnsi="Times New Roman" w:eastAsia="仿宋_GB2312" w:cs="Times New Roman"/>
          <w:b/>
          <w:bCs/>
          <w:color w:val="auto"/>
          <w:spacing w:val="0"/>
          <w:sz w:val="32"/>
          <w:szCs w:val="32"/>
          <w:highlight w:val="none"/>
          <w:lang w:eastAsia="zh-CN"/>
        </w:rPr>
        <w:t>万元，</w:t>
      </w:r>
      <w:r>
        <w:rPr>
          <w:rFonts w:hint="default" w:ascii="Times New Roman" w:hAnsi="Times New Roman" w:eastAsia="仿宋_GB2312" w:cs="Times New Roman"/>
          <w:color w:val="auto"/>
          <w:spacing w:val="0"/>
          <w:sz w:val="32"/>
          <w:szCs w:val="32"/>
          <w:highlight w:val="none"/>
          <w:lang w:val="en-US" w:eastAsia="zh-CN"/>
        </w:rPr>
        <w:t>其中：年初财政拨款结转和结余</w:t>
      </w:r>
      <w:r>
        <w:rPr>
          <w:rFonts w:hint="default" w:ascii="Times New Roman" w:hAnsi="Times New Roman" w:eastAsia="仿宋_GB2312" w:cs="Times New Roman"/>
          <w:color w:val="auto"/>
          <w:spacing w:val="0"/>
          <w:sz w:val="32"/>
          <w:szCs w:val="32"/>
          <w:highlight w:val="none"/>
          <w:lang w:val="zh-CN" w:eastAsia="zh-CN"/>
        </w:rPr>
        <w:t>0.00</w:t>
      </w:r>
      <w:r>
        <w:rPr>
          <w:rFonts w:hint="default" w:ascii="Times New Roman" w:hAnsi="Times New Roman" w:eastAsia="仿宋_GB2312" w:cs="Times New Roman"/>
          <w:color w:val="auto"/>
          <w:spacing w:val="0"/>
          <w:sz w:val="32"/>
          <w:szCs w:val="32"/>
          <w:highlight w:val="none"/>
          <w:lang w:eastAsia="zh-CN"/>
        </w:rPr>
        <w:t>万元，</w:t>
      </w:r>
      <w:r>
        <w:rPr>
          <w:rFonts w:hint="default" w:ascii="Times New Roman" w:hAnsi="Times New Roman" w:eastAsia="仿宋_GB2312" w:cs="Times New Roman"/>
          <w:color w:val="auto"/>
          <w:spacing w:val="0"/>
          <w:sz w:val="32"/>
          <w:szCs w:val="32"/>
          <w:highlight w:val="none"/>
          <w:lang w:val="en-US" w:eastAsia="zh-CN"/>
        </w:rPr>
        <w:t>本年财政拨款收入</w:t>
      </w:r>
      <w:r>
        <w:rPr>
          <w:rFonts w:hint="default" w:ascii="Times New Roman" w:hAnsi="Times New Roman" w:eastAsia="仿宋_GB2312" w:cs="Times New Roman"/>
          <w:color w:val="auto"/>
          <w:spacing w:val="0"/>
          <w:sz w:val="32"/>
          <w:szCs w:val="32"/>
          <w:highlight w:val="none"/>
          <w:lang w:val="zh-CN" w:eastAsia="zh-CN"/>
        </w:rPr>
        <w:t>189.37</w:t>
      </w:r>
      <w:r>
        <w:rPr>
          <w:rFonts w:hint="default" w:ascii="Times New Roman" w:hAnsi="Times New Roman" w:eastAsia="仿宋_GB2312" w:cs="Times New Roman"/>
          <w:color w:val="auto"/>
          <w:spacing w:val="0"/>
          <w:sz w:val="32"/>
          <w:szCs w:val="32"/>
          <w:highlight w:val="none"/>
          <w:lang w:eastAsia="zh-CN"/>
        </w:rPr>
        <w:t>万元。</w:t>
      </w:r>
      <w:r>
        <w:rPr>
          <w:rFonts w:hint="default" w:ascii="Times New Roman" w:hAnsi="Times New Roman" w:eastAsia="仿宋_GB2312" w:cs="Times New Roman"/>
          <w:b/>
          <w:bCs/>
          <w:color w:val="auto"/>
          <w:spacing w:val="0"/>
          <w:sz w:val="32"/>
          <w:szCs w:val="32"/>
          <w:highlight w:val="none"/>
          <w:lang w:eastAsia="zh-CN"/>
        </w:rPr>
        <w:t>财政拨款支出</w:t>
      </w:r>
      <w:r>
        <w:rPr>
          <w:rFonts w:hint="default" w:ascii="Times New Roman" w:hAnsi="Times New Roman" w:eastAsia="仿宋_GB2312" w:cs="Times New Roman"/>
          <w:b/>
          <w:bCs/>
          <w:color w:val="auto"/>
          <w:spacing w:val="0"/>
          <w:sz w:val="32"/>
          <w:szCs w:val="32"/>
          <w:highlight w:val="none"/>
          <w:lang w:val="en-US" w:eastAsia="zh-CN"/>
        </w:rPr>
        <w:t>总计</w:t>
      </w:r>
      <w:r>
        <w:rPr>
          <w:rFonts w:hint="default" w:ascii="Times New Roman" w:hAnsi="Times New Roman" w:eastAsia="仿宋_GB2312" w:cs="Times New Roman"/>
          <w:b/>
          <w:bCs/>
          <w:color w:val="auto"/>
          <w:spacing w:val="0"/>
          <w:sz w:val="32"/>
          <w:szCs w:val="32"/>
          <w:highlight w:val="none"/>
          <w:lang w:val="zh-CN" w:eastAsia="zh-CN"/>
        </w:rPr>
        <w:t>189.37</w:t>
      </w:r>
      <w:r>
        <w:rPr>
          <w:rFonts w:hint="default" w:ascii="Times New Roman" w:hAnsi="Times New Roman" w:eastAsia="仿宋_GB2312" w:cs="Times New Roman"/>
          <w:b/>
          <w:bCs/>
          <w:color w:val="auto"/>
          <w:spacing w:val="0"/>
          <w:sz w:val="32"/>
          <w:szCs w:val="32"/>
          <w:highlight w:val="none"/>
          <w:lang w:eastAsia="zh-CN"/>
        </w:rPr>
        <w:t>万元，</w:t>
      </w:r>
      <w:r>
        <w:rPr>
          <w:rFonts w:hint="default" w:ascii="Times New Roman" w:hAnsi="Times New Roman" w:eastAsia="仿宋_GB2312" w:cs="Times New Roman"/>
          <w:color w:val="auto"/>
          <w:spacing w:val="0"/>
          <w:sz w:val="32"/>
          <w:szCs w:val="32"/>
          <w:highlight w:val="none"/>
          <w:lang w:val="en-US" w:eastAsia="zh-CN"/>
        </w:rPr>
        <w:t>其中：年末财政拨款结转和结余</w:t>
      </w:r>
      <w:r>
        <w:rPr>
          <w:rFonts w:hint="default" w:ascii="Times New Roman" w:hAnsi="Times New Roman" w:eastAsia="仿宋_GB2312" w:cs="Times New Roman"/>
          <w:color w:val="auto"/>
          <w:spacing w:val="0"/>
          <w:sz w:val="32"/>
          <w:szCs w:val="32"/>
          <w:highlight w:val="none"/>
          <w:lang w:val="zh-CN" w:eastAsia="zh-CN"/>
        </w:rPr>
        <w:t>0.00</w:t>
      </w:r>
      <w:r>
        <w:rPr>
          <w:rFonts w:hint="default" w:ascii="Times New Roman" w:hAnsi="Times New Roman" w:eastAsia="仿宋_GB2312" w:cs="Times New Roman"/>
          <w:color w:val="auto"/>
          <w:spacing w:val="0"/>
          <w:sz w:val="32"/>
          <w:szCs w:val="32"/>
          <w:highlight w:val="none"/>
          <w:lang w:eastAsia="zh-CN"/>
        </w:rPr>
        <w:t>万元，</w:t>
      </w:r>
      <w:r>
        <w:rPr>
          <w:rFonts w:hint="default" w:ascii="Times New Roman" w:hAnsi="Times New Roman" w:eastAsia="仿宋_GB2312" w:cs="Times New Roman"/>
          <w:color w:val="auto"/>
          <w:spacing w:val="0"/>
          <w:sz w:val="32"/>
          <w:szCs w:val="32"/>
          <w:highlight w:val="none"/>
          <w:lang w:val="en-US" w:eastAsia="zh-CN"/>
        </w:rPr>
        <w:t>本年财政拨款支出</w:t>
      </w:r>
      <w:r>
        <w:rPr>
          <w:rFonts w:hint="default" w:ascii="Times New Roman" w:hAnsi="Times New Roman" w:eastAsia="仿宋_GB2312" w:cs="Times New Roman"/>
          <w:color w:val="auto"/>
          <w:spacing w:val="0"/>
          <w:sz w:val="32"/>
          <w:szCs w:val="32"/>
          <w:highlight w:val="none"/>
          <w:lang w:val="zh-CN" w:eastAsia="zh-CN"/>
        </w:rPr>
        <w:t>189.37</w:t>
      </w:r>
      <w:r>
        <w:rPr>
          <w:rFonts w:hint="default" w:ascii="Times New Roman" w:hAnsi="Times New Roman" w:eastAsia="仿宋_GB2312" w:cs="Times New Roman"/>
          <w:color w:val="auto"/>
          <w:spacing w:val="0"/>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eastAsia="zh-CN"/>
        </w:rPr>
        <w:t>财政拨款收入支出总体与上年相比</w:t>
      </w:r>
      <w:r>
        <w:rPr>
          <w:rFonts w:hint="eastAsia" w:eastAsia="仿宋_GB2312" w:cs="Times New Roman"/>
          <w:b/>
          <w:bCs/>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增加12.0</w:t>
      </w:r>
      <w:r>
        <w:rPr>
          <w:rFonts w:hint="eastAsia"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lang w:val="zh-CN" w:eastAsia="zh-CN"/>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增长6.8</w:t>
      </w:r>
      <w:r>
        <w:rPr>
          <w:rFonts w:hint="eastAsia" w:eastAsia="仿宋_GB2312" w:cs="Times New Roman"/>
          <w:color w:val="auto"/>
          <w:spacing w:val="0"/>
          <w:sz w:val="32"/>
          <w:szCs w:val="32"/>
          <w:highlight w:val="none"/>
          <w:lang w:val="en-US" w:eastAsia="zh-CN"/>
        </w:rPr>
        <w:t>0</w:t>
      </w:r>
      <w:r>
        <w:rPr>
          <w:rFonts w:hint="default" w:ascii="Times New Roman" w:hAnsi="Times New Roman" w:eastAsia="仿宋_GB2312" w:cs="Times New Roman"/>
          <w:color w:val="auto"/>
          <w:spacing w:val="0"/>
          <w:sz w:val="32"/>
          <w:szCs w:val="32"/>
          <w:highlight w:val="none"/>
          <w:lang w:val="zh-CN" w:eastAsia="zh-CN"/>
        </w:rPr>
        <w:t>%，</w:t>
      </w:r>
      <w:r>
        <w:rPr>
          <w:rFonts w:hint="default" w:ascii="Times New Roman" w:hAnsi="Times New Roman" w:eastAsia="仿宋_GB2312" w:cs="Times New Roman"/>
          <w:color w:val="auto"/>
          <w:spacing w:val="0"/>
          <w:sz w:val="32"/>
          <w:szCs w:val="32"/>
          <w:highlight w:val="none"/>
          <w:lang w:eastAsia="zh-CN"/>
        </w:rPr>
        <w:t>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经费增加</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eastAsia="zh-CN"/>
        </w:rPr>
        <w:t>与年初预算相比，</w:t>
      </w:r>
      <w:r>
        <w:rPr>
          <w:rFonts w:hint="default" w:ascii="Times New Roman" w:hAnsi="Times New Roman" w:eastAsia="仿宋_GB2312" w:cs="Times New Roman"/>
          <w:color w:val="auto"/>
          <w:spacing w:val="0"/>
          <w:sz w:val="32"/>
          <w:szCs w:val="32"/>
          <w:highlight w:val="none"/>
          <w:lang w:eastAsia="zh-CN"/>
        </w:rPr>
        <w:t>年初预算数</w:t>
      </w:r>
      <w:r>
        <w:rPr>
          <w:rFonts w:hint="default" w:ascii="Times New Roman" w:hAnsi="Times New Roman" w:eastAsia="仿宋_GB2312" w:cs="Times New Roman"/>
          <w:color w:val="auto"/>
          <w:spacing w:val="0"/>
          <w:sz w:val="32"/>
          <w:szCs w:val="32"/>
          <w:highlight w:val="none"/>
          <w:lang w:val="zh-CN" w:eastAsia="zh-CN"/>
        </w:rPr>
        <w:t>170.44</w:t>
      </w:r>
      <w:r>
        <w:rPr>
          <w:rFonts w:hint="default" w:ascii="Times New Roman" w:hAnsi="Times New Roman" w:eastAsia="仿宋_GB2312" w:cs="Times New Roman"/>
          <w:color w:val="auto"/>
          <w:spacing w:val="0"/>
          <w:sz w:val="32"/>
          <w:szCs w:val="32"/>
          <w:highlight w:val="none"/>
          <w:lang w:eastAsia="zh-CN"/>
        </w:rPr>
        <w:t>万元，决算数</w:t>
      </w:r>
      <w:r>
        <w:rPr>
          <w:rFonts w:hint="default" w:ascii="Times New Roman" w:hAnsi="Times New Roman" w:eastAsia="仿宋_GB2312" w:cs="Times New Roman"/>
          <w:color w:val="auto"/>
          <w:spacing w:val="0"/>
          <w:sz w:val="32"/>
          <w:szCs w:val="32"/>
          <w:highlight w:val="none"/>
          <w:lang w:val="zh-CN" w:eastAsia="zh-CN"/>
        </w:rPr>
        <w:t>189.37</w:t>
      </w:r>
      <w:r>
        <w:rPr>
          <w:rFonts w:hint="default" w:ascii="Times New Roman" w:hAnsi="Times New Roman" w:eastAsia="仿宋_GB2312" w:cs="Times New Roman"/>
          <w:color w:val="auto"/>
          <w:spacing w:val="0"/>
          <w:sz w:val="32"/>
          <w:szCs w:val="32"/>
          <w:highlight w:val="none"/>
          <w:lang w:eastAsia="zh-CN"/>
        </w:rPr>
        <w:t>万元，预决算差异率11.11%，主要原因是：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经费增加</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6" w:name="_Toc20360"/>
      <w:bookmarkStart w:id="17" w:name="_Toc13833"/>
      <w:r>
        <w:rPr>
          <w:rFonts w:hint="default" w:ascii="Times New Roman" w:hAnsi="Times New Roman" w:eastAsia="黑体" w:cs="Times New Roman"/>
          <w:bCs/>
          <w:color w:val="auto"/>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eastAsia="zh-CN"/>
        </w:rPr>
        <w:t>2023年度一般公共预算财政拨款支出189.37万元，</w:t>
      </w:r>
      <w:r>
        <w:rPr>
          <w:rFonts w:hint="default" w:ascii="Times New Roman" w:hAnsi="Times New Roman" w:eastAsia="仿宋_GB2312" w:cs="Times New Roman"/>
          <w:color w:val="auto"/>
          <w:spacing w:val="0"/>
          <w:sz w:val="32"/>
          <w:szCs w:val="32"/>
          <w:highlight w:val="none"/>
          <w:lang w:eastAsia="zh-CN"/>
        </w:rPr>
        <w:t>占本年支出合计的</w:t>
      </w:r>
      <w:r>
        <w:rPr>
          <w:rFonts w:hint="default" w:ascii="Times New Roman" w:hAnsi="Times New Roman" w:eastAsia="仿宋_GB2312" w:cs="Times New Roman"/>
          <w:color w:val="auto"/>
          <w:spacing w:val="0"/>
          <w:sz w:val="32"/>
          <w:szCs w:val="32"/>
          <w:highlight w:val="none"/>
          <w:lang w:val="zh-CN" w:eastAsia="zh-CN"/>
        </w:rPr>
        <w:t>99.99%</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eastAsia="zh-CN"/>
        </w:rPr>
        <w:t>与上年相比，</w:t>
      </w:r>
      <w:r>
        <w:rPr>
          <w:rFonts w:hint="default" w:ascii="Times New Roman" w:hAnsi="Times New Roman" w:eastAsia="仿宋_GB2312" w:cs="Times New Roman"/>
          <w:color w:val="auto"/>
          <w:spacing w:val="0"/>
          <w:sz w:val="32"/>
          <w:szCs w:val="32"/>
          <w:highlight w:val="none"/>
          <w:lang w:val="zh-CN" w:eastAsia="zh-CN"/>
        </w:rPr>
        <w:t>增加12.0</w:t>
      </w:r>
      <w:r>
        <w:rPr>
          <w:rFonts w:hint="eastAsia"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lang w:val="zh-CN" w:eastAsia="zh-CN"/>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zh-CN" w:eastAsia="zh-CN"/>
        </w:rPr>
        <w:t>增长6.8</w:t>
      </w:r>
      <w:r>
        <w:rPr>
          <w:rFonts w:hint="eastAsia" w:eastAsia="仿宋_GB2312" w:cs="Times New Roman"/>
          <w:color w:val="auto"/>
          <w:spacing w:val="0"/>
          <w:sz w:val="32"/>
          <w:szCs w:val="32"/>
          <w:highlight w:val="none"/>
          <w:lang w:val="en-US" w:eastAsia="zh-CN"/>
        </w:rPr>
        <w:t>0</w:t>
      </w:r>
      <w:r>
        <w:rPr>
          <w:rFonts w:hint="default" w:ascii="Times New Roman" w:hAnsi="Times New Roman" w:eastAsia="仿宋_GB2312" w:cs="Times New Roman"/>
          <w:color w:val="auto"/>
          <w:spacing w:val="0"/>
          <w:sz w:val="32"/>
          <w:szCs w:val="32"/>
          <w:highlight w:val="none"/>
          <w:lang w:val="zh-CN" w:eastAsia="zh-CN"/>
        </w:rPr>
        <w:t>%，</w:t>
      </w:r>
      <w:r>
        <w:rPr>
          <w:rFonts w:hint="default" w:ascii="Times New Roman" w:hAnsi="Times New Roman" w:eastAsia="仿宋_GB2312" w:cs="Times New Roman"/>
          <w:color w:val="auto"/>
          <w:spacing w:val="0"/>
          <w:sz w:val="32"/>
          <w:szCs w:val="32"/>
          <w:highlight w:val="none"/>
          <w:lang w:eastAsia="zh-CN"/>
        </w:rPr>
        <w:t>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eastAsia="zh-CN"/>
        </w:rPr>
        <w:t>与年初预算相比，</w:t>
      </w:r>
      <w:r>
        <w:rPr>
          <w:rFonts w:hint="default" w:ascii="Times New Roman" w:hAnsi="Times New Roman" w:eastAsia="仿宋_GB2312" w:cs="Times New Roman"/>
          <w:color w:val="auto"/>
          <w:spacing w:val="0"/>
          <w:sz w:val="32"/>
          <w:szCs w:val="32"/>
          <w:highlight w:val="none"/>
          <w:lang w:eastAsia="zh-CN"/>
        </w:rPr>
        <w:t>年初预算数</w:t>
      </w:r>
      <w:r>
        <w:rPr>
          <w:rFonts w:hint="default" w:ascii="Times New Roman" w:hAnsi="Times New Roman" w:eastAsia="仿宋_GB2312" w:cs="Times New Roman"/>
          <w:color w:val="auto"/>
          <w:spacing w:val="0"/>
          <w:sz w:val="32"/>
          <w:szCs w:val="32"/>
          <w:highlight w:val="none"/>
          <w:lang w:val="zh-CN" w:eastAsia="zh-CN"/>
        </w:rPr>
        <w:t>170.44</w:t>
      </w:r>
      <w:r>
        <w:rPr>
          <w:rFonts w:hint="default" w:ascii="Times New Roman" w:hAnsi="Times New Roman" w:eastAsia="仿宋_GB2312" w:cs="Times New Roman"/>
          <w:color w:val="auto"/>
          <w:spacing w:val="0"/>
          <w:sz w:val="32"/>
          <w:szCs w:val="32"/>
          <w:highlight w:val="none"/>
          <w:lang w:eastAsia="zh-CN"/>
        </w:rPr>
        <w:t>万元，决算数</w:t>
      </w:r>
      <w:r>
        <w:rPr>
          <w:rFonts w:hint="default" w:ascii="Times New Roman" w:hAnsi="Times New Roman" w:eastAsia="仿宋_GB2312" w:cs="Times New Roman"/>
          <w:color w:val="auto"/>
          <w:spacing w:val="0"/>
          <w:sz w:val="32"/>
          <w:szCs w:val="32"/>
          <w:highlight w:val="none"/>
          <w:lang w:val="zh-CN" w:eastAsia="zh-CN"/>
        </w:rPr>
        <w:t>189.37</w:t>
      </w:r>
      <w:r>
        <w:rPr>
          <w:rFonts w:hint="default" w:ascii="Times New Roman" w:hAnsi="Times New Roman" w:eastAsia="仿宋_GB2312" w:cs="Times New Roman"/>
          <w:color w:val="auto"/>
          <w:spacing w:val="0"/>
          <w:sz w:val="32"/>
          <w:szCs w:val="32"/>
          <w:highlight w:val="none"/>
          <w:lang w:eastAsia="zh-CN"/>
        </w:rPr>
        <w:t>万元，预决算差异率</w:t>
      </w:r>
      <w:r>
        <w:rPr>
          <w:rFonts w:hint="default" w:ascii="Times New Roman" w:hAnsi="Times New Roman" w:eastAsia="仿宋_GB2312" w:cs="Times New Roman"/>
          <w:color w:val="auto"/>
          <w:spacing w:val="0"/>
          <w:sz w:val="32"/>
          <w:szCs w:val="32"/>
          <w:highlight w:val="none"/>
          <w:lang w:val="zh-CN" w:eastAsia="zh-CN"/>
        </w:rPr>
        <w:t>11.11%</w:t>
      </w:r>
      <w:r>
        <w:rPr>
          <w:rFonts w:hint="default" w:ascii="Times New Roman" w:hAnsi="Times New Roman" w:eastAsia="仿宋_GB2312" w:cs="Times New Roman"/>
          <w:color w:val="auto"/>
          <w:spacing w:val="0"/>
          <w:sz w:val="32"/>
          <w:szCs w:val="32"/>
          <w:highlight w:val="none"/>
          <w:lang w:eastAsia="zh-CN"/>
        </w:rPr>
        <w:t>，主要原因是：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一般公共预算</w:t>
      </w:r>
      <w:r>
        <w:rPr>
          <w:rFonts w:hint="default" w:ascii="Times New Roman" w:hAnsi="Times New Roman" w:eastAsia="黑体" w:cs="Times New Roman"/>
          <w:color w:val="auto"/>
          <w:sz w:val="32"/>
          <w:szCs w:val="32"/>
          <w:highlight w:val="none"/>
          <w:lang w:val="en-US" w:eastAsia="zh-CN"/>
        </w:rPr>
        <w:t>财政拨款支出决算</w:t>
      </w:r>
      <w:r>
        <w:rPr>
          <w:rFonts w:hint="default" w:ascii="Times New Roman" w:hAnsi="Times New Roman" w:eastAsia="黑体" w:cs="Times New Roman"/>
          <w:color w:val="auto"/>
          <w:sz w:val="32"/>
          <w:szCs w:val="32"/>
          <w:highlight w:val="none"/>
          <w:lang w:eastAsia="zh-CN"/>
        </w:rPr>
        <w:t>结构情况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spacing w:val="0"/>
          <w:kern w:val="2"/>
          <w:sz w:val="32"/>
          <w:szCs w:val="32"/>
          <w:lang w:val="zh-CN" w:eastAsia="zh-CN" w:bidi="ar-SA"/>
        </w:rPr>
        <w:t>1.</w:t>
      </w:r>
      <w:r>
        <w:rPr>
          <w:rFonts w:hint="default" w:ascii="Times New Roman" w:hAnsi="Times New Roman" w:eastAsia="仿宋_GB2312" w:cs="Times New Roman"/>
          <w:color w:val="auto"/>
          <w:spacing w:val="0"/>
          <w:kern w:val="2"/>
          <w:sz w:val="32"/>
          <w:szCs w:val="32"/>
          <w:highlight w:val="none"/>
          <w:lang w:val="zh-CN" w:eastAsia="zh-CN" w:bidi="ar-SA"/>
        </w:rPr>
        <w:t>社会保障和就业支出（类）161.3</w:t>
      </w:r>
      <w:r>
        <w:rPr>
          <w:rFonts w:hint="eastAsia" w:eastAsia="仿宋_GB2312" w:cs="Times New Roman"/>
          <w:color w:val="auto"/>
          <w:spacing w:val="0"/>
          <w:kern w:val="2"/>
          <w:sz w:val="32"/>
          <w:szCs w:val="32"/>
          <w:highlight w:val="none"/>
          <w:lang w:val="en-US" w:eastAsia="zh-CN" w:bidi="ar-SA"/>
        </w:rPr>
        <w:t>5</w:t>
      </w:r>
      <w:r>
        <w:rPr>
          <w:rFonts w:hint="default" w:ascii="Times New Roman" w:hAnsi="Times New Roman" w:eastAsia="仿宋_GB2312" w:cs="Times New Roman"/>
          <w:color w:val="auto"/>
          <w:spacing w:val="0"/>
          <w:kern w:val="2"/>
          <w:sz w:val="32"/>
          <w:szCs w:val="32"/>
          <w:highlight w:val="none"/>
          <w:lang w:val="zh-CN" w:eastAsia="zh-CN" w:bidi="ar-SA"/>
        </w:rPr>
        <w:t>万元，占85.2</w:t>
      </w:r>
      <w:r>
        <w:rPr>
          <w:rFonts w:hint="default" w:ascii="Times New Roman" w:hAnsi="Times New Roman" w:eastAsia="仿宋_GB2312" w:cs="Times New Roman"/>
          <w:color w:val="auto"/>
          <w:spacing w:val="0"/>
          <w:kern w:val="2"/>
          <w:sz w:val="32"/>
          <w:szCs w:val="32"/>
          <w:highlight w:val="none"/>
          <w:lang w:val="en-US" w:eastAsia="zh-CN" w:bidi="ar-SA"/>
        </w:rPr>
        <w:t>0</w:t>
      </w:r>
      <w:r>
        <w:rPr>
          <w:rFonts w:hint="default" w:ascii="Times New Roman" w:hAnsi="Times New Roman" w:eastAsia="仿宋_GB2312" w:cs="Times New Roman"/>
          <w:color w:val="auto"/>
          <w:spacing w:val="0"/>
          <w:kern w:val="2"/>
          <w:sz w:val="32"/>
          <w:szCs w:val="32"/>
          <w:highlight w:val="none"/>
          <w:lang w:val="zh-CN" w:eastAsia="zh-CN" w:bidi="ar-SA"/>
        </w:rPr>
        <w:t>%</w:t>
      </w:r>
      <w:r>
        <w:rPr>
          <w:rFonts w:hint="eastAsia" w:eastAsia="仿宋_GB2312" w:cs="Times New Roman"/>
          <w:color w:val="auto"/>
          <w:spacing w:val="0"/>
          <w:kern w:val="2"/>
          <w:sz w:val="32"/>
          <w:szCs w:val="32"/>
          <w:highlight w:val="none"/>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spacing w:val="0"/>
          <w:kern w:val="2"/>
          <w:sz w:val="32"/>
          <w:szCs w:val="32"/>
          <w:lang w:val="en-US" w:eastAsia="zh-CN" w:bidi="ar-SA"/>
        </w:rPr>
        <w:t>2</w:t>
      </w:r>
      <w:r>
        <w:rPr>
          <w:rFonts w:hint="default" w:ascii="Times New Roman" w:hAnsi="Times New Roman" w:eastAsia="仿宋_GB2312" w:cs="Times New Roman"/>
          <w:color w:val="auto"/>
          <w:spacing w:val="0"/>
          <w:kern w:val="2"/>
          <w:sz w:val="32"/>
          <w:szCs w:val="32"/>
          <w:lang w:val="zh-CN" w:eastAsia="zh-CN" w:bidi="ar-SA"/>
        </w:rPr>
        <w:t>.</w:t>
      </w:r>
      <w:r>
        <w:rPr>
          <w:rFonts w:hint="default" w:ascii="Times New Roman" w:hAnsi="Times New Roman" w:eastAsia="仿宋_GB2312" w:cs="Times New Roman"/>
          <w:color w:val="auto"/>
          <w:spacing w:val="0"/>
          <w:kern w:val="2"/>
          <w:sz w:val="32"/>
          <w:szCs w:val="32"/>
          <w:highlight w:val="none"/>
          <w:lang w:val="zh-CN" w:eastAsia="zh-CN" w:bidi="ar-SA"/>
        </w:rPr>
        <w:t>卫生健康支出（类）15.33万元，占8.10%</w:t>
      </w:r>
      <w:r>
        <w:rPr>
          <w:rFonts w:hint="eastAsia" w:eastAsia="仿宋_GB2312" w:cs="Times New Roman"/>
          <w:color w:val="auto"/>
          <w:spacing w:val="0"/>
          <w:kern w:val="2"/>
          <w:sz w:val="32"/>
          <w:szCs w:val="32"/>
          <w:highlight w:val="none"/>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zh-CN" w:eastAsia="zh-CN" w:bidi="ar-SA"/>
        </w:rPr>
        <w:t>.</w:t>
      </w:r>
      <w:r>
        <w:rPr>
          <w:rFonts w:hint="default" w:ascii="Times New Roman" w:hAnsi="Times New Roman" w:eastAsia="仿宋_GB2312" w:cs="Times New Roman"/>
          <w:color w:val="auto"/>
          <w:spacing w:val="0"/>
          <w:kern w:val="2"/>
          <w:sz w:val="32"/>
          <w:szCs w:val="32"/>
          <w:highlight w:val="none"/>
          <w:lang w:val="zh-CN" w:eastAsia="zh-CN" w:bidi="ar-SA"/>
        </w:rPr>
        <w:t>住房保障支出（类）12.69万元，占6.70%</w:t>
      </w:r>
      <w:r>
        <w:rPr>
          <w:rFonts w:hint="eastAsia" w:eastAsia="仿宋_GB2312" w:cs="Times New Roman"/>
          <w:color w:val="auto"/>
          <w:spacing w:val="0"/>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1.卫生健康支出（类）行政事业单位医疗（款）事业单位医疗（项）:支出决算数为7.93万元，比上年决算增加0.55万元，增长7.45%，主要原因是：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2.卫生健康支出（类）行政事业单位医疗（款）公务员医疗补助（项）:支出决算数为7.40万元，比上年决算增加1.66万元，增长28.92%，主要原因是：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3.住房保障支出（类）住房改革支出（款）住房公积金（项）:支出决算数为12.69万元，比上年决算增加2.4</w:t>
      </w:r>
      <w:r>
        <w:rPr>
          <w:rFonts w:hint="eastAsia"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en-US" w:eastAsia="zh-CN" w:bidi="ar-SA"/>
        </w:rPr>
        <w:t>万元，增长24.</w:t>
      </w:r>
      <w:r>
        <w:rPr>
          <w:rFonts w:hint="eastAsia" w:eastAsia="仿宋_GB2312" w:cs="Times New Roman"/>
          <w:color w:val="auto"/>
          <w:kern w:val="2"/>
          <w:sz w:val="32"/>
          <w:szCs w:val="32"/>
          <w:highlight w:val="none"/>
          <w:lang w:val="en-US" w:eastAsia="zh-CN" w:bidi="ar-SA"/>
        </w:rPr>
        <w:t>17</w:t>
      </w:r>
      <w:r>
        <w:rPr>
          <w:rFonts w:hint="default"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4.社会保障和就业支出（类）民政管理事务（款）其他民政管理事务支出（项）:支出决算数为144.43万元，比上年决算增加4.10万元，增长2.92%，主要原因是：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5.社会保障和就业支出（类）行政事业单位养老支出（款）机关事业单位基本养老保险缴费支出（项）:支出决算数为16.92万元，比上年决算增加3.29万元，增长24.14%，主要原因是：</w:t>
      </w:r>
      <w:r>
        <w:rPr>
          <w:rFonts w:hint="eastAsia" w:eastAsia="仿宋_GB2312" w:cs="Times New Roman"/>
          <w:spacing w:val="0"/>
          <w:sz w:val="32"/>
          <w:szCs w:val="32"/>
          <w:highlight w:val="none"/>
          <w:lang w:val="en-US" w:eastAsia="zh-CN"/>
        </w:rPr>
        <w:t>调资增加</w:t>
      </w:r>
      <w:r>
        <w:rPr>
          <w:rFonts w:hint="default" w:ascii="Times New Roman" w:hAnsi="Times New Roman" w:eastAsia="仿宋_GB2312" w:cs="Times New Roman"/>
          <w:spacing w:val="0"/>
          <w:sz w:val="32"/>
          <w:szCs w:val="32"/>
          <w:highlight w:val="none"/>
          <w:lang w:eastAsia="zh-CN"/>
        </w:rPr>
        <w:t>和</w:t>
      </w:r>
      <w:r>
        <w:rPr>
          <w:rFonts w:hint="eastAsia" w:eastAsia="仿宋_GB2312" w:cs="Times New Roman"/>
          <w:spacing w:val="0"/>
          <w:sz w:val="32"/>
          <w:szCs w:val="32"/>
          <w:highlight w:val="none"/>
          <w:lang w:val="en-US" w:eastAsia="zh-CN"/>
        </w:rPr>
        <w:t>在职</w:t>
      </w:r>
      <w:r>
        <w:rPr>
          <w:rFonts w:hint="default" w:ascii="Times New Roman" w:hAnsi="Times New Roman" w:eastAsia="仿宋_GB2312" w:cs="Times New Roman"/>
          <w:spacing w:val="0"/>
          <w:sz w:val="32"/>
          <w:szCs w:val="32"/>
          <w:highlight w:val="none"/>
          <w:lang w:eastAsia="zh-CN"/>
        </w:rPr>
        <w:t>人员正常晋升</w:t>
      </w:r>
      <w:r>
        <w:rPr>
          <w:rFonts w:hint="eastAsia" w:eastAsia="仿宋_GB2312" w:cs="Times New Roman"/>
          <w:spacing w:val="0"/>
          <w:sz w:val="32"/>
          <w:szCs w:val="32"/>
          <w:highlight w:val="none"/>
          <w:lang w:eastAsia="zh-CN"/>
        </w:rPr>
        <w:t>，</w:t>
      </w:r>
      <w:r>
        <w:rPr>
          <w:rFonts w:hint="eastAsia" w:eastAsia="仿宋_GB2312" w:cs="Times New Roman"/>
          <w:spacing w:val="0"/>
          <w:sz w:val="32"/>
          <w:szCs w:val="32"/>
          <w:highlight w:val="none"/>
          <w:lang w:val="en-US" w:eastAsia="zh-CN"/>
        </w:rPr>
        <w:t>支出增加</w:t>
      </w:r>
      <w:r>
        <w:rPr>
          <w:rFonts w:hint="default" w:ascii="Times New Roman" w:hAnsi="Times New Roman"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eastAsia="zh-CN"/>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eastAsia="zh-CN"/>
        </w:rPr>
        <w:t>2023年度</w:t>
      </w:r>
      <w:r>
        <w:rPr>
          <w:rFonts w:hint="default" w:ascii="Times New Roman" w:hAnsi="Times New Roman" w:eastAsia="仿宋_GB2312" w:cs="Times New Roman"/>
          <w:color w:val="auto"/>
          <w:sz w:val="32"/>
          <w:szCs w:val="32"/>
          <w:highlight w:val="none"/>
        </w:rPr>
        <w:t>一般公共预算财政拨款基本支出</w:t>
      </w:r>
      <w:r>
        <w:rPr>
          <w:rFonts w:hint="default" w:ascii="Times New Roman" w:hAnsi="Times New Roman" w:eastAsia="仿宋_GB2312" w:cs="Times New Roman"/>
          <w:color w:val="auto"/>
          <w:sz w:val="32"/>
          <w:szCs w:val="32"/>
          <w:highlight w:val="none"/>
          <w:lang w:eastAsia="zh-CN"/>
        </w:rPr>
        <w:t>189.37</w:t>
      </w:r>
      <w:r>
        <w:rPr>
          <w:rFonts w:hint="default" w:ascii="Times New Roman" w:hAnsi="Times New Roman" w:eastAsia="仿宋_GB2312" w:cs="Times New Roman"/>
          <w:color w:val="auto"/>
          <w:sz w:val="32"/>
          <w:szCs w:val="32"/>
          <w:highlight w:val="none"/>
        </w:rPr>
        <w:t>万元，其中：</w:t>
      </w:r>
      <w:r>
        <w:rPr>
          <w:rFonts w:hint="default" w:ascii="Times New Roman" w:hAnsi="Times New Roman" w:eastAsia="仿宋_GB2312" w:cs="Times New Roman"/>
          <w:b/>
          <w:bCs/>
          <w:color w:val="auto"/>
          <w:sz w:val="32"/>
          <w:szCs w:val="32"/>
          <w:highlight w:val="none"/>
        </w:rPr>
        <w:t>人员经费</w:t>
      </w:r>
      <w:r>
        <w:rPr>
          <w:rFonts w:hint="default" w:ascii="Times New Roman" w:hAnsi="Times New Roman" w:eastAsia="仿宋_GB2312" w:cs="Times New Roman"/>
          <w:b/>
          <w:bCs/>
          <w:color w:val="auto"/>
          <w:sz w:val="32"/>
          <w:szCs w:val="32"/>
          <w:highlight w:val="none"/>
          <w:lang w:eastAsia="zh-CN"/>
        </w:rPr>
        <w:t>176.83</w:t>
      </w:r>
      <w:r>
        <w:rPr>
          <w:rFonts w:hint="default" w:ascii="Times New Roman" w:hAnsi="Times New Roman" w:eastAsia="仿宋_GB2312" w:cs="Times New Roman"/>
          <w:b/>
          <w:bCs/>
          <w:color w:val="auto"/>
          <w:sz w:val="32"/>
          <w:szCs w:val="32"/>
          <w:highlight w:val="none"/>
        </w:rPr>
        <w:t>万元，</w:t>
      </w:r>
      <w:r>
        <w:rPr>
          <w:rFonts w:hint="default" w:ascii="Times New Roman" w:hAnsi="Times New Roman" w:eastAsia="仿宋_GB2312" w:cs="Times New Roman"/>
          <w:color w:val="auto"/>
          <w:sz w:val="32"/>
          <w:szCs w:val="32"/>
          <w:highlight w:val="none"/>
        </w:rPr>
        <w:t>包括：</w:t>
      </w:r>
      <w:r>
        <w:rPr>
          <w:rFonts w:hint="default" w:ascii="Times New Roman" w:hAnsi="Times New Roman" w:eastAsia="仿宋_GB2312" w:cs="Times New Roman"/>
          <w:color w:val="auto"/>
          <w:sz w:val="32"/>
          <w:szCs w:val="32"/>
          <w:highlight w:val="none"/>
          <w:lang w:val="en-US" w:eastAsia="zh-CN"/>
        </w:rPr>
        <w:t>基本工资、津贴补贴、奖金、绩效工资、机关事业单位基本养老保险缴费、职工基本医疗保险缴费、公务员医疗补助缴费、其他社会保障缴费、住房公积金。</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red"/>
          <w:lang w:val="en-US" w:eastAsia="zh-CN"/>
        </w:rPr>
      </w:pPr>
      <w:r>
        <w:rPr>
          <w:rFonts w:hint="default" w:ascii="Times New Roman" w:hAnsi="Times New Roman" w:eastAsia="仿宋_GB2312" w:cs="Times New Roman"/>
          <w:b/>
          <w:bCs/>
          <w:color w:val="auto"/>
          <w:sz w:val="32"/>
          <w:szCs w:val="32"/>
          <w:highlight w:val="none"/>
        </w:rPr>
        <w:t>公用经费</w:t>
      </w:r>
      <w:r>
        <w:rPr>
          <w:rFonts w:hint="default" w:ascii="Times New Roman" w:hAnsi="Times New Roman" w:eastAsia="仿宋_GB2312" w:cs="Times New Roman"/>
          <w:b/>
          <w:bCs/>
          <w:color w:val="auto"/>
          <w:sz w:val="32"/>
          <w:szCs w:val="32"/>
          <w:highlight w:val="none"/>
          <w:lang w:eastAsia="zh-CN"/>
        </w:rPr>
        <w:t>12.54</w:t>
      </w:r>
      <w:r>
        <w:rPr>
          <w:rFonts w:hint="default" w:ascii="Times New Roman" w:hAnsi="Times New Roman" w:eastAsia="仿宋_GB2312" w:cs="Times New Roman"/>
          <w:b/>
          <w:bCs/>
          <w:color w:val="auto"/>
          <w:sz w:val="32"/>
          <w:szCs w:val="32"/>
          <w:highlight w:val="none"/>
        </w:rPr>
        <w:t>万元，</w:t>
      </w:r>
      <w:r>
        <w:rPr>
          <w:rFonts w:hint="default" w:ascii="Times New Roman" w:hAnsi="Times New Roman" w:eastAsia="仿宋_GB2312" w:cs="Times New Roman"/>
          <w:color w:val="auto"/>
          <w:sz w:val="32"/>
          <w:szCs w:val="32"/>
          <w:highlight w:val="none"/>
        </w:rPr>
        <w:t>包括：</w:t>
      </w:r>
      <w:r>
        <w:rPr>
          <w:rFonts w:hint="default" w:ascii="Times New Roman" w:hAnsi="Times New Roman" w:eastAsia="仿宋_GB2312" w:cs="Times New Roman"/>
          <w:color w:val="auto"/>
          <w:sz w:val="32"/>
          <w:szCs w:val="32"/>
          <w:highlight w:val="none"/>
          <w:lang w:val="en-US" w:eastAsia="zh-CN"/>
        </w:rPr>
        <w:t>办公费、手续费、取暖费、差旅费、工会经费、福利费、其他交通费用、税金及附加费用。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val="en-US" w:eastAsia="zh-CN"/>
        </w:rPr>
        <w:t>七、</w:t>
      </w:r>
      <w:r>
        <w:rPr>
          <w:rFonts w:hint="default" w:ascii="Times New Roman" w:hAnsi="Times New Roman" w:eastAsia="黑体" w:cs="Times New Roman"/>
          <w:bCs/>
          <w:color w:val="auto"/>
          <w:kern w:val="0"/>
          <w:sz w:val="32"/>
          <w:szCs w:val="32"/>
          <w:highlight w:val="none"/>
          <w:lang w:eastAsia="zh-CN"/>
        </w:rPr>
        <w:t>财政拨款</w:t>
      </w:r>
      <w:r>
        <w:rPr>
          <w:rFonts w:hint="default" w:ascii="Times New Roman" w:hAnsi="Times New Roman" w:eastAsia="黑体" w:cs="Times New Roman"/>
          <w:bCs/>
          <w:color w:val="auto"/>
          <w:kern w:val="0"/>
          <w:sz w:val="32"/>
          <w:szCs w:val="32"/>
          <w:highlight w:val="none"/>
        </w:rPr>
        <w:t>“三公”经费支出</w:t>
      </w:r>
      <w:r>
        <w:rPr>
          <w:rFonts w:hint="default" w:ascii="Times New Roman" w:hAnsi="Times New Roman" w:eastAsia="黑体" w:cs="Times New Roman"/>
          <w:bCs/>
          <w:color w:val="auto"/>
          <w:kern w:val="0"/>
          <w:sz w:val="32"/>
          <w:szCs w:val="32"/>
          <w:highlight w:val="none"/>
          <w:lang w:eastAsia="zh-CN"/>
        </w:rPr>
        <w:t>决算</w:t>
      </w:r>
      <w:r>
        <w:rPr>
          <w:rFonts w:hint="default" w:ascii="Times New Roman" w:hAnsi="Times New Roman" w:eastAsia="黑体" w:cs="Times New Roman"/>
          <w:bCs/>
          <w:color w:val="auto"/>
          <w:kern w:val="0"/>
          <w:sz w:val="32"/>
          <w:szCs w:val="32"/>
          <w:highlight w:val="none"/>
        </w:rPr>
        <w:t>情况</w:t>
      </w:r>
      <w:r>
        <w:rPr>
          <w:rFonts w:hint="default" w:ascii="Times New Roman" w:hAnsi="Times New Roman" w:eastAsia="黑体" w:cs="Times New Roman"/>
          <w:bCs/>
          <w:color w:val="auto"/>
          <w:kern w:val="0"/>
          <w:sz w:val="32"/>
          <w:szCs w:val="32"/>
          <w:highlight w:val="none"/>
          <w:lang w:eastAsia="zh-CN"/>
        </w:rPr>
        <w:t>说明</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2023年度</w:t>
      </w:r>
      <w:r>
        <w:rPr>
          <w:rFonts w:hint="default" w:ascii="Times New Roman" w:hAnsi="Times New Roman" w:eastAsia="仿宋_GB2312" w:cs="Times New Roman"/>
          <w:b/>
          <w:bCs/>
          <w:color w:val="auto"/>
          <w:sz w:val="32"/>
          <w:szCs w:val="32"/>
          <w:highlight w:val="none"/>
          <w:lang w:val="en-US" w:eastAsia="zh-CN"/>
        </w:rPr>
        <w:t>财政拨款</w:t>
      </w:r>
      <w:r>
        <w:rPr>
          <w:rFonts w:hint="default" w:ascii="Times New Roman" w:hAnsi="Times New Roman" w:eastAsia="仿宋_GB2312" w:cs="Times New Roman"/>
          <w:b/>
          <w:bCs/>
          <w:color w:val="auto"/>
          <w:sz w:val="32"/>
          <w:szCs w:val="32"/>
          <w:highlight w:val="none"/>
          <w:lang w:val="zh-CN" w:eastAsia="zh-CN"/>
        </w:rPr>
        <w:t>“三公”经费支出</w:t>
      </w:r>
      <w:r>
        <w:rPr>
          <w:rFonts w:hint="eastAsia" w:eastAsia="仿宋_GB2312" w:cs="Times New Roman"/>
          <w:b/>
          <w:bCs/>
          <w:color w:val="auto"/>
          <w:sz w:val="32"/>
          <w:szCs w:val="32"/>
          <w:highlight w:val="none"/>
          <w:lang w:val="zh-CN" w:eastAsia="zh-CN"/>
        </w:rPr>
        <w:t>决算</w:t>
      </w:r>
      <w:r>
        <w:rPr>
          <w:rFonts w:hint="default" w:ascii="Times New Roman" w:hAnsi="Times New Roman" w:eastAsia="仿宋_GB2312" w:cs="Times New Roman"/>
          <w:b/>
          <w:bCs/>
          <w:color w:val="auto"/>
          <w:sz w:val="32"/>
          <w:szCs w:val="32"/>
          <w:highlight w:val="none"/>
          <w:lang w:val="zh-CN" w:eastAsia="zh-CN"/>
        </w:rPr>
        <w:t>0.00万元</w:t>
      </w:r>
      <w:r>
        <w:rPr>
          <w:rFonts w:hint="eastAsia" w:eastAsia="仿宋_GB2312" w:cs="Times New Roman"/>
          <w:b/>
          <w:bCs/>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比上年</w:t>
      </w:r>
      <w:r>
        <w:rPr>
          <w:rFonts w:hint="default" w:ascii="Times New Roman" w:hAnsi="Times New Roman" w:eastAsia="仿宋_GB2312" w:cs="Times New Roman"/>
          <w:color w:val="auto"/>
          <w:sz w:val="32"/>
          <w:szCs w:val="32"/>
          <w:highlight w:val="none"/>
          <w:lang w:val="zh-CN" w:eastAsia="zh-CN"/>
        </w:rPr>
        <w:t>增加0.00万元，增长0.00%，主要原因是：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财政拨款“三公”经费支出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。其中：因公出国（境）费支出0.00万元，占0.00%，比上年增加0.00万元，增长0.00%，主要原因是：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因公出国（境）费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；公务用车购置及运行维护费支出0.00万元，占0.00%，比上年增加0.00万元，增长0.00%，主要原因是：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公务用车购置及运行维护费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；公务接待费支出0.00万元，占0.00%，比上年增加0.00万元，增长0.00%，主要原因是：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公务接待费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default" w:ascii="Times New Roman" w:hAnsi="Times New Roman" w:eastAsia="仿宋_GB2312" w:cs="Times New Roman"/>
          <w:b/>
          <w:bCs/>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因公出国（境）费支出0.00万元，开支内容包括</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color w:val="auto"/>
          <w:sz w:val="32"/>
          <w:szCs w:val="32"/>
          <w:highlight w:val="none"/>
          <w:lang w:val="zh-CN" w:eastAsia="zh-CN"/>
        </w:rPr>
        <w:t>因公出国（境）费支出。单位全年安排的因公出国（境）团组0个，因公出国（境）0人次。</w:t>
      </w:r>
      <w:bookmarkStart w:id="48" w:name="_GoBack"/>
      <w:bookmarkEnd w:id="4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eastAsia="zh-CN"/>
        </w:rPr>
        <w:t>公务用车购置及运行维护费0.00万元，其中：公务用车购置费0.00万元，公务用车运行维护费0.00万元。公务用车运行维护费开支内容包括</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公务用车运行维护费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。公务用车购置数0辆，公务用车保有量</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zh-CN" w:eastAsia="zh-CN"/>
        </w:rPr>
        <w:t>辆。国有资产占用情况</w:t>
      </w:r>
      <w:r>
        <w:rPr>
          <w:rFonts w:hint="default" w:ascii="Times New Roman" w:hAnsi="Times New Roman" w:eastAsia="仿宋_GB2312" w:cs="Times New Roman"/>
          <w:color w:val="auto"/>
          <w:sz w:val="32"/>
          <w:szCs w:val="32"/>
          <w:highlight w:val="none"/>
          <w:lang w:val="en-US" w:eastAsia="zh-CN"/>
        </w:rPr>
        <w:t>中固定资产车辆</w:t>
      </w:r>
      <w:r>
        <w:rPr>
          <w:rFonts w:hint="default" w:ascii="Times New Roman" w:hAnsi="Times New Roman" w:eastAsia="仿宋_GB2312" w:cs="Times New Roman"/>
          <w:color w:val="auto"/>
          <w:sz w:val="32"/>
          <w:szCs w:val="32"/>
          <w:highlight w:val="none"/>
          <w:lang w:val="zh-CN" w:eastAsia="zh-CN"/>
        </w:rPr>
        <w:t>1辆，与公务用车保有量差异原因是：</w:t>
      </w:r>
      <w:r>
        <w:rPr>
          <w:rFonts w:hint="eastAsia" w:eastAsia="仿宋_GB2312" w:cs="Times New Roman"/>
          <w:color w:val="auto"/>
          <w:sz w:val="32"/>
          <w:szCs w:val="32"/>
          <w:highlight w:val="none"/>
          <w:lang w:val="en-US" w:eastAsia="zh-CN"/>
        </w:rPr>
        <w:t>我单位车辆编制为其他用车，无一般公务用车编制。2023年预算安排其他交通费支出，无</w:t>
      </w:r>
      <w:r>
        <w:rPr>
          <w:rFonts w:hint="default" w:ascii="Times New Roman" w:hAnsi="Times New Roman" w:eastAsia="仿宋_GB2312" w:cs="Times New Roman"/>
          <w:color w:val="auto"/>
          <w:sz w:val="32"/>
          <w:szCs w:val="32"/>
          <w:highlight w:val="none"/>
          <w:lang w:val="zh-CN" w:eastAsia="zh-CN"/>
        </w:rPr>
        <w:t>公务用车运行维护费</w:t>
      </w:r>
      <w:r>
        <w:rPr>
          <w:rFonts w:hint="eastAsia" w:eastAsia="仿宋_GB2312" w:cs="Times New Roman"/>
          <w:color w:val="auto"/>
          <w:sz w:val="32"/>
          <w:szCs w:val="32"/>
          <w:highlight w:val="none"/>
          <w:lang w:val="zh-CN" w:eastAsia="zh-CN"/>
        </w:rPr>
        <w:t>支出。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公务接待费0.00万元，开支内容包括</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color w:val="auto"/>
          <w:sz w:val="32"/>
          <w:szCs w:val="32"/>
          <w:highlight w:val="none"/>
          <w:lang w:val="zh-CN" w:eastAsia="zh-CN"/>
        </w:rPr>
        <w:t>公务接待费</w:t>
      </w:r>
      <w:r>
        <w:rPr>
          <w:rFonts w:hint="eastAsia" w:eastAsia="仿宋_GB2312" w:cs="Times New Roman"/>
          <w:color w:val="auto"/>
          <w:sz w:val="32"/>
          <w:szCs w:val="32"/>
          <w:highlight w:val="none"/>
          <w:lang w:val="zh-CN" w:eastAsia="zh-CN"/>
        </w:rPr>
        <w:t>支出</w:t>
      </w:r>
      <w:r>
        <w:rPr>
          <w:rFonts w:hint="default" w:ascii="Times New Roman" w:hAnsi="Times New Roman" w:eastAsia="仿宋_GB2312" w:cs="Times New Roman"/>
          <w:color w:val="auto"/>
          <w:sz w:val="32"/>
          <w:szCs w:val="32"/>
          <w:highlight w:val="none"/>
          <w:lang w:val="zh-CN" w:eastAsia="zh-CN"/>
        </w:rPr>
        <w:t>。单位全年安排的国内公务接待0批次，0人次。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与</w:t>
      </w:r>
      <w:r>
        <w:rPr>
          <w:rFonts w:hint="default" w:ascii="Times New Roman" w:hAnsi="Times New Roman" w:eastAsia="仿宋_GB2312" w:cs="Times New Roman"/>
          <w:b/>
          <w:bCs/>
          <w:color w:val="auto"/>
          <w:sz w:val="32"/>
          <w:szCs w:val="32"/>
          <w:highlight w:val="none"/>
          <w:lang w:val="en-US" w:eastAsia="zh-CN"/>
        </w:rPr>
        <w:t>全年</w:t>
      </w:r>
      <w:r>
        <w:rPr>
          <w:rFonts w:hint="default" w:ascii="Times New Roman" w:hAnsi="Times New Roman" w:eastAsia="仿宋_GB2312" w:cs="Times New Roman"/>
          <w:b/>
          <w:bCs/>
          <w:color w:val="auto"/>
          <w:sz w:val="32"/>
          <w:szCs w:val="32"/>
          <w:highlight w:val="none"/>
          <w:lang w:val="zh-CN" w:eastAsia="zh-CN"/>
        </w:rPr>
        <w:t>预算相比</w:t>
      </w:r>
      <w:r>
        <w:rPr>
          <w:rFonts w:hint="eastAsia" w:eastAsia="仿宋_GB2312" w:cs="Times New Roman"/>
          <w:b/>
          <w:bCs/>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财政拨款“三公”经费支出</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zh-CN" w:eastAsia="zh-CN"/>
        </w:rPr>
        <w:t>预算数0.00万元，决算数0.00万元，预决算差异率0.00%，主要原因是：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财政拨款“三公”经费支出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。其中：因公出国（境）费</w:t>
      </w:r>
      <w:r>
        <w:rPr>
          <w:rFonts w:hint="default" w:ascii="Times New Roman" w:hAnsi="Times New Roman" w:eastAsia="仿宋_GB2312" w:cs="Times New Roman"/>
          <w:color w:val="auto"/>
          <w:sz w:val="32"/>
          <w:szCs w:val="32"/>
          <w:highlight w:val="none"/>
          <w:lang w:val="en-US" w:eastAsia="zh-CN"/>
        </w:rPr>
        <w:t>全年预算数</w:t>
      </w:r>
      <w:r>
        <w:rPr>
          <w:rFonts w:hint="default" w:ascii="Times New Roman" w:hAnsi="Times New Roman" w:eastAsia="仿宋_GB2312" w:cs="Times New Roman"/>
          <w:color w:val="auto"/>
          <w:sz w:val="32"/>
          <w:szCs w:val="32"/>
          <w:highlight w:val="none"/>
          <w:lang w:val="zh-CN" w:eastAsia="zh-CN"/>
        </w:rPr>
        <w:t>0.00万元，决算数0.00万元，预决算差异率0.00%，主要原因是：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因公出国（境）费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；公务用车购置费</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zh-CN" w:eastAsia="zh-CN"/>
        </w:rPr>
        <w:t>预算数0.00万元，决算数0.00万元，预决算差异率0.00%，主要原因是：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公务用车购置费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；公务用车运行费</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zh-CN" w:eastAsia="zh-CN"/>
        </w:rPr>
        <w:t>预算数0.00万元，决算数0.00万元，预决算差异率0.00%，主要原因是：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公务用车运行费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；公务接待费</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zh-CN" w:eastAsia="zh-CN"/>
        </w:rPr>
        <w:t>预算数0.00万元，决算数0.00万元，预决算差异率0.00%，主要原因是：</w:t>
      </w:r>
      <w:r>
        <w:rPr>
          <w:rFonts w:hint="default" w:ascii="Times New Roman" w:hAnsi="Times New Roman" w:eastAsia="仿宋_GB2312" w:cs="Times New Roman"/>
          <w:sz w:val="32"/>
          <w:szCs w:val="32"/>
        </w:rPr>
        <w:t>我单位</w:t>
      </w:r>
      <w:r>
        <w:rPr>
          <w:rFonts w:hint="eastAsia" w:eastAsia="仿宋_GB2312" w:cs="Times New Roman"/>
          <w:sz w:val="32"/>
          <w:szCs w:val="32"/>
          <w:lang w:val="en-US" w:eastAsia="zh-CN"/>
        </w:rPr>
        <w:t>未安排</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color w:val="auto"/>
          <w:sz w:val="32"/>
          <w:szCs w:val="32"/>
          <w:highlight w:val="none"/>
          <w:lang w:val="zh-CN" w:eastAsia="zh-CN"/>
        </w:rPr>
        <w:t>公务接待费</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预决算一致</w:t>
      </w:r>
      <w:r>
        <w:rPr>
          <w:rFonts w:hint="default" w:ascii="Times New Roman" w:hAnsi="Times New Roman" w:eastAsia="仿宋_GB2312" w:cs="Times New Roman"/>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8" w:name="_Toc7927"/>
      <w:bookmarkStart w:id="19" w:name="_Toc5810"/>
      <w:r>
        <w:rPr>
          <w:rFonts w:hint="default" w:ascii="Times New Roman" w:hAnsi="Times New Roman" w:eastAsia="黑体" w:cs="Times New Roman"/>
          <w:bCs/>
          <w:color w:val="auto"/>
          <w:kern w:val="0"/>
          <w:sz w:val="32"/>
          <w:szCs w:val="32"/>
          <w:highlight w:val="none"/>
          <w:lang w:val="en-US" w:eastAsia="zh-CN"/>
        </w:rPr>
        <w:t>八</w:t>
      </w:r>
      <w:r>
        <w:rPr>
          <w:rFonts w:hint="default" w:ascii="Times New Roman" w:hAnsi="Times New Roman" w:eastAsia="黑体" w:cs="Times New Roman"/>
          <w:bCs/>
          <w:color w:val="auto"/>
          <w:kern w:val="0"/>
          <w:sz w:val="32"/>
          <w:szCs w:val="32"/>
          <w:highlight w:val="none"/>
          <w:lang w:eastAsia="zh-CN"/>
        </w:rPr>
        <w:t>、政府性基金预算财政拨款收入支出决算情况说明</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本年度无政府性基金预算财政拨款收入、支出</w:t>
      </w:r>
      <w:r>
        <w:rPr>
          <w:rFonts w:hint="default" w:ascii="Times New Roman" w:hAnsi="Times New Roman" w:eastAsia="仿宋_GB2312" w:cs="Times New Roman"/>
          <w:color w:val="auto"/>
          <w:sz w:val="32"/>
          <w:szCs w:val="32"/>
          <w:highlight w:val="none"/>
          <w:lang w:val="en-US" w:eastAsia="zh-CN"/>
        </w:rPr>
        <w:t>及结转和结余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val="en-US" w:eastAsia="zh-CN"/>
        </w:rPr>
        <w:t>九</w:t>
      </w:r>
      <w:r>
        <w:rPr>
          <w:rFonts w:hint="default" w:ascii="Times New Roman" w:hAnsi="Times New Roman" w:eastAsia="黑体" w:cs="Times New Roman"/>
          <w:bCs/>
          <w:color w:val="auto"/>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本年度无国有资本经营预算财政拨款收入、支出</w:t>
      </w:r>
      <w:r>
        <w:rPr>
          <w:rFonts w:hint="default" w:ascii="Times New Roman" w:hAnsi="Times New Roman" w:eastAsia="仿宋_GB2312" w:cs="Times New Roman"/>
          <w:color w:val="auto"/>
          <w:sz w:val="32"/>
          <w:szCs w:val="32"/>
          <w:highlight w:val="none"/>
          <w:lang w:val="en-US" w:eastAsia="zh-CN"/>
        </w:rPr>
        <w:t>及结转和结余</w:t>
      </w:r>
      <w:r>
        <w:rPr>
          <w:rFonts w:hint="default" w:ascii="Times New Roman" w:hAnsi="Times New Roman" w:eastAsia="仿宋_GB2312" w:cs="Times New Roman"/>
          <w:color w:val="auto"/>
          <w:sz w:val="32"/>
          <w:szCs w:val="32"/>
          <w:highlight w:val="none"/>
          <w:lang w:eastAsia="zh-CN"/>
        </w:rPr>
        <w:t>，国有资本经营</w:t>
      </w:r>
      <w:r>
        <w:rPr>
          <w:rFonts w:hint="default" w:ascii="Times New Roman" w:hAnsi="Times New Roman" w:eastAsia="仿宋_GB2312" w:cs="Times New Roman"/>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20" w:name="_Toc1235"/>
      <w:bookmarkStart w:id="21" w:name="_Toc7314"/>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rPr>
        <w:t>、其他重要事项的情况</w:t>
      </w:r>
      <w:r>
        <w:rPr>
          <w:rFonts w:hint="default" w:ascii="Times New Roman" w:hAnsi="Times New Roman" w:eastAsia="黑体" w:cs="Times New Roman"/>
          <w:bCs/>
          <w:color w:val="auto"/>
          <w:kern w:val="0"/>
          <w:sz w:val="32"/>
          <w:szCs w:val="32"/>
          <w:highlight w:val="none"/>
          <w:lang w:eastAsia="zh-CN"/>
        </w:rPr>
        <w:t>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rPr>
      </w:pPr>
      <w:bookmarkStart w:id="22" w:name="_Toc14519"/>
      <w:bookmarkStart w:id="23" w:name="_Toc131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机关运行经费支出情况</w:t>
      </w:r>
      <w:bookmarkEnd w:id="22"/>
      <w:bookmarkEnd w:id="23"/>
    </w:p>
    <w:p>
      <w:pPr>
        <w:ind w:firstLine="640" w:firstLineChars="200"/>
        <w:rPr>
          <w:rFonts w:hint="default" w:ascii="Times New Roman" w:hAnsi="Times New Roman" w:eastAsia="仿宋_GB2312" w:cs="Times New Roman"/>
          <w:color w:val="auto"/>
          <w:sz w:val="32"/>
          <w:szCs w:val="32"/>
          <w:highlight w:val="none"/>
          <w:lang w:val="zh-CN" w:eastAsia="zh-CN"/>
        </w:rPr>
      </w:pPr>
      <w:bookmarkStart w:id="24" w:name="_Toc26704"/>
      <w:bookmarkStart w:id="25" w:name="_Toc227"/>
      <w:r>
        <w:rPr>
          <w:rFonts w:hint="default" w:ascii="Times New Roman" w:hAnsi="Times New Roman" w:eastAsia="仿宋_GB2312" w:cs="Times New Roman"/>
          <w:color w:val="auto"/>
          <w:sz w:val="32"/>
          <w:szCs w:val="32"/>
          <w:highlight w:val="none"/>
          <w:lang w:val="zh-CN" w:eastAsia="zh-CN"/>
        </w:rPr>
        <w:t>2023年度</w:t>
      </w:r>
      <w:r>
        <w:rPr>
          <w:rFonts w:hint="default" w:ascii="Times New Roman" w:hAnsi="Times New Roman" w:eastAsia="仿宋_GB2312" w:cs="Times New Roman"/>
          <w:color w:val="auto"/>
          <w:sz w:val="32"/>
          <w:szCs w:val="32"/>
          <w:highlight w:val="none"/>
          <w:lang w:val="en-US" w:eastAsia="zh-CN"/>
        </w:rPr>
        <w:t>新疆维吾尔自治区社会工作人才资源开发中心</w:t>
      </w:r>
      <w:r>
        <w:rPr>
          <w:rFonts w:hint="default" w:ascii="Times New Roman" w:hAnsi="Times New Roman" w:eastAsia="仿宋_GB2312" w:cs="Times New Roman"/>
          <w:color w:val="auto"/>
          <w:sz w:val="32"/>
          <w:szCs w:val="32"/>
          <w:highlight w:val="none"/>
          <w:lang w:val="zh-CN" w:eastAsia="zh-CN"/>
        </w:rPr>
        <w:t>（事业单位）公用经费12.54万元，比上年增加0.0</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zh-CN" w:eastAsia="zh-CN"/>
        </w:rPr>
        <w:t>万元，增长0.</w:t>
      </w:r>
      <w:r>
        <w:rPr>
          <w:rFonts w:hint="eastAsia"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lang w:val="zh-CN" w:eastAsia="zh-CN"/>
        </w:rPr>
        <w:t>%，主要原因是：</w:t>
      </w:r>
      <w:r>
        <w:rPr>
          <w:rFonts w:hint="default" w:ascii="Times New Roman" w:hAnsi="Times New Roman" w:eastAsia="仿宋_GB2312" w:cs="Times New Roman"/>
          <w:sz w:val="32"/>
          <w:szCs w:val="32"/>
        </w:rPr>
        <w:t>人员正常晋升，公用经费拨款略有增加</w:t>
      </w:r>
      <w:r>
        <w:rPr>
          <w:rFonts w:hint="default" w:ascii="Times New Roman" w:hAnsi="Times New Roman" w:eastAsia="仿宋_GB2312" w:cs="Times New Roman"/>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color w:val="auto"/>
          <w:sz w:val="32"/>
          <w:szCs w:val="30"/>
          <w:highlight w:val="none"/>
          <w:lang w:val="zh-CN" w:eastAsia="zh-CN"/>
        </w:rPr>
      </w:pPr>
      <w:r>
        <w:rPr>
          <w:rFonts w:hint="default" w:ascii="Times New Roman" w:hAnsi="Times New Roman" w:eastAsia="黑体" w:cs="Times New Roman"/>
          <w:color w:val="auto"/>
          <w:sz w:val="32"/>
          <w:szCs w:val="30"/>
          <w:highlight w:val="none"/>
          <w:lang w:val="zh-CN" w:eastAsia="zh-CN"/>
        </w:rPr>
        <w:t>（二）政府采购情况</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eastAsia="zh-CN"/>
        </w:rPr>
        <w:t>2023年度</w:t>
      </w:r>
      <w:r>
        <w:rPr>
          <w:rFonts w:hint="default" w:ascii="Times New Roman" w:hAnsi="Times New Roman" w:eastAsia="仿宋_GB2312" w:cs="Times New Roman"/>
          <w:color w:val="auto"/>
          <w:sz w:val="32"/>
          <w:szCs w:val="32"/>
          <w:highlight w:val="none"/>
          <w:lang w:val="zh-CN"/>
        </w:rPr>
        <w:t>政府采购支出总额</w:t>
      </w:r>
      <w:r>
        <w:rPr>
          <w:rFonts w:hint="default" w:ascii="Times New Roman" w:hAnsi="Times New Roman" w:eastAsia="仿宋_GB2312" w:cs="Times New Roman"/>
          <w:color w:val="auto"/>
          <w:sz w:val="32"/>
          <w:szCs w:val="32"/>
          <w:highlight w:val="none"/>
          <w:lang w:val="zh-CN" w:eastAsia="zh-CN"/>
        </w:rPr>
        <w:t>1.49万元</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eastAsia="zh-CN"/>
        </w:rPr>
        <w:t>其中：政府采购货物支出1.49万元、政府采购工程支出0.00万元、政府采购服务支出0.00万元。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eastAsia="zh-CN"/>
        </w:rPr>
        <w:t>授予中小企业合同金额1.49万元，占政府采购支出总额的100.00%，其中：授予小微企业合同金额1.49万元，占政府采购支出总额的100.00%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color w:val="auto"/>
          <w:sz w:val="32"/>
          <w:szCs w:val="30"/>
          <w:highlight w:val="none"/>
          <w:lang w:val="zh-CN" w:eastAsia="zh-CN"/>
        </w:rPr>
      </w:pPr>
      <w:bookmarkStart w:id="26" w:name="_Toc8391"/>
      <w:bookmarkStart w:id="27" w:name="_Toc4591"/>
      <w:r>
        <w:rPr>
          <w:rFonts w:hint="default" w:ascii="Times New Roman" w:hAnsi="Times New Roman" w:eastAsia="黑体" w:cs="Times New Roman"/>
          <w:color w:val="auto"/>
          <w:sz w:val="32"/>
          <w:szCs w:val="30"/>
          <w:highlight w:val="none"/>
          <w:lang w:val="zh-CN" w:eastAsia="zh-CN"/>
        </w:rPr>
        <w:t>（三）国有资产占用情况说明</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en-US" w:eastAsia="zh-CN"/>
        </w:rPr>
        <w:t>截至2023</w:t>
      </w:r>
      <w:r>
        <w:rPr>
          <w:rFonts w:hint="default" w:ascii="Times New Roman" w:hAnsi="Times New Roman" w:eastAsia="仿宋_GB2312" w:cs="Times New Roman"/>
          <w:color w:val="auto"/>
          <w:sz w:val="32"/>
          <w:szCs w:val="32"/>
          <w:highlight w:val="none"/>
          <w:lang w:val="zh-CN" w:eastAsia="zh-CN"/>
        </w:rPr>
        <w:t>年</w:t>
      </w:r>
      <w:r>
        <w:rPr>
          <w:rFonts w:hint="default" w:ascii="Times New Roman" w:hAnsi="Times New Roman" w:eastAsia="仿宋_GB2312" w:cs="Times New Roman"/>
          <w:color w:val="auto"/>
          <w:sz w:val="32"/>
          <w:szCs w:val="32"/>
          <w:highlight w:val="none"/>
          <w:lang w:val="en-US" w:eastAsia="zh-CN"/>
        </w:rPr>
        <w:t>12月31日</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固定资产原值</w:t>
      </w:r>
      <w:r>
        <w:rPr>
          <w:rFonts w:hint="default" w:ascii="Times New Roman" w:hAnsi="Times New Roman" w:eastAsia="仿宋_GB2312" w:cs="Times New Roman"/>
          <w:color w:val="auto"/>
          <w:sz w:val="32"/>
          <w:szCs w:val="32"/>
          <w:highlight w:val="none"/>
          <w:lang w:val="zh-CN" w:eastAsia="zh-CN"/>
        </w:rPr>
        <w:t>179.20</w:t>
      </w:r>
      <w:r>
        <w:rPr>
          <w:rFonts w:hint="default" w:ascii="Times New Roman" w:hAnsi="Times New Roman" w:eastAsia="仿宋_GB2312" w:cs="Times New Roman"/>
          <w:color w:val="auto"/>
          <w:sz w:val="32"/>
          <w:szCs w:val="32"/>
          <w:highlight w:val="none"/>
          <w:lang w:val="en-US" w:eastAsia="zh-CN"/>
        </w:rPr>
        <w:t>万元，房</w:t>
      </w:r>
      <w:r>
        <w:rPr>
          <w:rFonts w:hint="default" w:ascii="Times New Roman" w:hAnsi="Times New Roman" w:eastAsia="仿宋_GB2312" w:cs="Times New Roman"/>
          <w:color w:val="auto"/>
          <w:sz w:val="32"/>
          <w:szCs w:val="32"/>
          <w:highlight w:val="none"/>
          <w:lang w:val="zh-CN" w:eastAsia="zh-CN"/>
        </w:rPr>
        <w:t>屋1252.0平方米，价值82.71万元。车辆1辆，价值33.87万元，其中：副部（省）级及以上领导用车0辆、主要</w:t>
      </w:r>
      <w:r>
        <w:rPr>
          <w:rFonts w:hint="default" w:ascii="Times New Roman" w:hAnsi="Times New Roman" w:eastAsia="仿宋_GB2312" w:cs="Times New Roman"/>
          <w:color w:val="auto"/>
          <w:sz w:val="32"/>
          <w:szCs w:val="32"/>
          <w:highlight w:val="none"/>
          <w:lang w:val="en-US" w:eastAsia="zh-CN"/>
        </w:rPr>
        <w:t>负责人</w:t>
      </w:r>
      <w:r>
        <w:rPr>
          <w:rFonts w:hint="default" w:ascii="Times New Roman" w:hAnsi="Times New Roman" w:eastAsia="仿宋_GB2312" w:cs="Times New Roman"/>
          <w:color w:val="auto"/>
          <w:sz w:val="32"/>
          <w:szCs w:val="32"/>
          <w:highlight w:val="none"/>
          <w:lang w:val="zh-CN" w:eastAsia="zh-CN"/>
        </w:rPr>
        <w:t>用车0辆、机要通信用车0辆、应急保障用车0辆、执法执勤用车0辆、特种专业技术用车0辆、离退休干部</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zh-CN" w:eastAsia="zh-CN"/>
        </w:rPr>
        <w:t>用车0辆、其他用车1辆，其他用车主要是：</w:t>
      </w:r>
      <w:r>
        <w:rPr>
          <w:rFonts w:hint="eastAsia" w:eastAsia="仿宋_GB2312" w:cs="Times New Roman"/>
          <w:color w:val="auto"/>
          <w:sz w:val="32"/>
          <w:szCs w:val="32"/>
          <w:highlight w:val="none"/>
          <w:lang w:val="zh-CN" w:eastAsia="zh-CN"/>
        </w:rPr>
        <w:t>保障单位办公运行的</w:t>
      </w:r>
      <w:r>
        <w:rPr>
          <w:rFonts w:hint="eastAsia" w:eastAsia="仿宋_GB2312" w:cs="Times New Roman"/>
          <w:color w:val="auto"/>
          <w:sz w:val="32"/>
          <w:szCs w:val="32"/>
          <w:highlight w:val="none"/>
          <w:lang w:val="en-US" w:eastAsia="zh-CN"/>
        </w:rPr>
        <w:t>业务</w:t>
      </w:r>
      <w:r>
        <w:rPr>
          <w:rFonts w:hint="default" w:ascii="Times New Roman" w:hAnsi="Times New Roman" w:eastAsia="仿宋_GB2312" w:cs="Times New Roman"/>
          <w:sz w:val="32"/>
          <w:szCs w:val="32"/>
          <w:lang w:eastAsia="zh-CN"/>
        </w:rPr>
        <w:t>用车</w:t>
      </w:r>
      <w:r>
        <w:rPr>
          <w:rFonts w:hint="default" w:ascii="Times New Roman" w:hAnsi="Times New Roman" w:eastAsia="仿宋_GB2312" w:cs="Times New Roman"/>
          <w:color w:val="auto"/>
          <w:sz w:val="32"/>
          <w:szCs w:val="32"/>
          <w:highlight w:val="none"/>
          <w:lang w:val="zh-CN" w:eastAsia="zh-CN"/>
        </w:rPr>
        <w:t>；单价100万元（含）以上设备（不含车辆）0</w:t>
      </w:r>
      <w:r>
        <w:rPr>
          <w:rFonts w:hint="default" w:ascii="Times New Roman" w:hAnsi="Times New Roman" w:eastAsia="仿宋_GB2312" w:cs="Times New Roman"/>
          <w:color w:val="auto"/>
          <w:sz w:val="32"/>
          <w:szCs w:val="32"/>
          <w:highlight w:val="none"/>
          <w:lang w:val="en-US" w:eastAsia="zh-CN"/>
        </w:rPr>
        <w:t>台（</w:t>
      </w:r>
      <w:r>
        <w:rPr>
          <w:rFonts w:hint="default" w:ascii="Times New Roman" w:hAnsi="Times New Roman" w:eastAsia="仿宋_GB2312" w:cs="Times New Roman"/>
          <w:color w:val="auto"/>
          <w:sz w:val="32"/>
          <w:szCs w:val="32"/>
          <w:highlight w:val="none"/>
          <w:lang w:val="zh-CN" w:eastAsia="zh-CN"/>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28" w:name="_Toc11283"/>
      <w:bookmarkStart w:id="29" w:name="_Toc435"/>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lang w:val="en-US" w:eastAsia="zh-CN"/>
        </w:rPr>
        <w:t>一</w:t>
      </w:r>
      <w:r>
        <w:rPr>
          <w:rFonts w:hint="default" w:ascii="Times New Roman" w:hAnsi="Times New Roman" w:eastAsia="黑体" w:cs="Times New Roman"/>
          <w:bCs/>
          <w:color w:val="auto"/>
          <w:kern w:val="0"/>
          <w:sz w:val="32"/>
          <w:szCs w:val="32"/>
          <w:highlight w:val="none"/>
          <w:lang w:eastAsia="zh-CN"/>
        </w:rPr>
        <w:t>、预算绩效的情况说明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根据预算绩效管理要求，我</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2023年</w:t>
      </w:r>
      <w:r>
        <w:rPr>
          <w:rFonts w:hint="eastAsia" w:eastAsia="仿宋_GB2312" w:cs="Times New Roman"/>
          <w:color w:val="auto"/>
          <w:sz w:val="32"/>
          <w:szCs w:val="32"/>
          <w:highlight w:val="none"/>
          <w:lang w:eastAsia="zh-CN"/>
        </w:rPr>
        <w:t>整体</w:t>
      </w:r>
      <w:r>
        <w:rPr>
          <w:rFonts w:hint="default" w:ascii="Times New Roman" w:hAnsi="Times New Roman" w:eastAsia="仿宋_GB2312" w:cs="Times New Roman"/>
          <w:color w:val="auto"/>
          <w:kern w:val="0"/>
          <w:sz w:val="32"/>
          <w:szCs w:val="32"/>
          <w:highlight w:val="none"/>
        </w:rPr>
        <w:t>绩效自评表</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个，全年</w:t>
      </w:r>
      <w:r>
        <w:rPr>
          <w:rFonts w:hint="default" w:ascii="Times New Roman" w:hAnsi="Times New Roman" w:eastAsia="仿宋_GB2312" w:cs="Times New Roman"/>
          <w:color w:val="auto"/>
          <w:sz w:val="32"/>
          <w:szCs w:val="32"/>
          <w:highlight w:val="none"/>
          <w:lang w:val="en-US" w:eastAsia="zh-CN"/>
        </w:rPr>
        <w:t>预算总额</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实际执行</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我单位整体</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lang w:val="en-US" w:eastAsia="zh-CN"/>
        </w:rPr>
        <w:t>绩效自评表由主管部门编报并公开</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预算绩效评价项目</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lang w:val="en-US" w:eastAsia="zh-CN"/>
        </w:rPr>
        <w:t>全年预算数0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全年执行数0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lang w:val="en-US" w:eastAsia="zh-CN"/>
        </w:rPr>
        <w:t>二</w:t>
      </w:r>
      <w:r>
        <w:rPr>
          <w:rFonts w:hint="default" w:ascii="Times New Roman" w:hAnsi="Times New Roman" w:eastAsia="黑体" w:cs="Times New Roman"/>
          <w:bCs/>
          <w:color w:val="auto"/>
          <w:kern w:val="0"/>
          <w:sz w:val="32"/>
          <w:szCs w:val="32"/>
          <w:highlight w:val="none"/>
          <w:lang w:eastAsia="zh-CN"/>
        </w:rPr>
        <w:t>、其他需说明的事项</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本单位无其他需说明事项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2"/>
          <w:szCs w:val="32"/>
          <w:highlight w:val="none"/>
        </w:rPr>
      </w:pPr>
      <w:bookmarkStart w:id="30" w:name="_Toc3250"/>
      <w:bookmarkStart w:id="31" w:name="_Toc24143"/>
      <w:r>
        <w:rPr>
          <w:rFonts w:hint="default" w:ascii="Times New Roman" w:hAnsi="Times New Roman" w:eastAsia="黑体" w:cs="Times New Roman"/>
          <w:color w:val="auto"/>
          <w:sz w:val="32"/>
          <w:szCs w:val="32"/>
          <w:highlight w:val="none"/>
        </w:rPr>
        <w:br w:type="page"/>
      </w: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部分 专业名词解释</w:t>
      </w:r>
      <w:bookmarkEnd w:id="30"/>
      <w:bookmarkEnd w:id="31"/>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rPr>
        <w:t>财政拨款收入：</w:t>
      </w:r>
      <w:r>
        <w:rPr>
          <w:rFonts w:hint="default" w:ascii="Times New Roman" w:hAnsi="Times New Roman" w:eastAsia="仿宋_GB2312" w:cs="Times New Roman"/>
          <w:color w:val="auto"/>
          <w:sz w:val="32"/>
          <w:szCs w:val="32"/>
          <w:highlight w:val="none"/>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上级补助收入：</w:t>
      </w:r>
      <w:r>
        <w:rPr>
          <w:rFonts w:hint="default" w:ascii="Times New Roman" w:hAnsi="Times New Roman" w:eastAsia="仿宋_GB2312" w:cs="Times New Roman"/>
          <w:color w:val="auto"/>
          <w:sz w:val="32"/>
          <w:szCs w:val="32"/>
          <w:highlight w:val="none"/>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事业收入：</w:t>
      </w:r>
      <w:r>
        <w:rPr>
          <w:rFonts w:hint="default" w:ascii="Times New Roman" w:hAnsi="Times New Roman" w:eastAsia="仿宋_GB2312" w:cs="Times New Roman"/>
          <w:color w:val="auto"/>
          <w:sz w:val="32"/>
          <w:szCs w:val="32"/>
          <w:highlight w:val="none"/>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经营收入：</w:t>
      </w:r>
      <w:r>
        <w:rPr>
          <w:rFonts w:hint="default" w:ascii="Times New Roman" w:hAnsi="Times New Roman" w:eastAsia="仿宋_GB2312" w:cs="Times New Roman"/>
          <w:color w:val="auto"/>
          <w:sz w:val="32"/>
          <w:szCs w:val="32"/>
          <w:highlight w:val="none"/>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附属单位上缴收入：</w:t>
      </w:r>
      <w:r>
        <w:rPr>
          <w:rFonts w:hint="default" w:ascii="Times New Roman" w:hAnsi="Times New Roman" w:eastAsia="仿宋_GB2312" w:cs="Times New Roman"/>
          <w:color w:val="auto"/>
          <w:sz w:val="32"/>
          <w:szCs w:val="32"/>
          <w:highlight w:val="none"/>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rPr>
        <w:t>其他收入：</w:t>
      </w:r>
      <w:r>
        <w:rPr>
          <w:rFonts w:hint="default" w:ascii="Times New Roman" w:hAnsi="Times New Roman" w:eastAsia="仿宋_GB2312" w:cs="Times New Roman"/>
          <w:color w:val="auto"/>
          <w:sz w:val="32"/>
          <w:szCs w:val="32"/>
          <w:highlight w:val="none"/>
        </w:rPr>
        <w:t>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eastAsia="zh-CN"/>
        </w:rPr>
        <w:t>年初</w:t>
      </w:r>
      <w:r>
        <w:rPr>
          <w:rFonts w:hint="default" w:ascii="Times New Roman" w:hAnsi="Times New Roman" w:eastAsia="仿宋_GB2312" w:cs="Times New Roman"/>
          <w:b/>
          <w:bCs/>
          <w:color w:val="auto"/>
          <w:sz w:val="32"/>
          <w:szCs w:val="32"/>
          <w:highlight w:val="none"/>
        </w:rPr>
        <w:t>结转和结余：</w:t>
      </w:r>
      <w:r>
        <w:rPr>
          <w:rFonts w:hint="default" w:ascii="Times New Roman" w:hAnsi="Times New Roman" w:eastAsia="仿宋_GB2312" w:cs="Times New Roman"/>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年末结转和结余：</w:t>
      </w:r>
      <w:r>
        <w:rPr>
          <w:rFonts w:hint="default" w:ascii="Times New Roman" w:hAnsi="Times New Roman" w:eastAsia="仿宋_GB2312" w:cs="Times New Roman"/>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基本支出：</w:t>
      </w:r>
      <w:r>
        <w:rPr>
          <w:rFonts w:hint="default" w:ascii="Times New Roman" w:hAnsi="Times New Roman" w:eastAsia="仿宋_GB2312" w:cs="Times New Roman"/>
          <w:color w:val="auto"/>
          <w:sz w:val="32"/>
          <w:szCs w:val="32"/>
          <w:highlight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rPr>
        <w:t>项目支出：</w:t>
      </w:r>
      <w:r>
        <w:rPr>
          <w:rFonts w:hint="default" w:ascii="Times New Roman" w:hAnsi="Times New Roman" w:eastAsia="仿宋_GB2312" w:cs="Times New Roman"/>
          <w:color w:val="auto"/>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rPr>
        <w:t>经营支出：</w:t>
      </w:r>
      <w:r>
        <w:rPr>
          <w:rFonts w:hint="default" w:ascii="Times New Roman" w:hAnsi="Times New Roman" w:eastAsia="仿宋_GB2312" w:cs="Times New Roman"/>
          <w:color w:val="auto"/>
          <w:sz w:val="32"/>
          <w:szCs w:val="32"/>
          <w:highlight w:val="none"/>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b/>
          <w:bCs/>
          <w:color w:val="auto"/>
          <w:sz w:val="32"/>
          <w:szCs w:val="32"/>
          <w:highlight w:val="none"/>
        </w:rPr>
        <w:t>对附属单位补助支出：</w:t>
      </w:r>
      <w:r>
        <w:rPr>
          <w:rFonts w:hint="default" w:ascii="Times New Roman" w:hAnsi="Times New Roman" w:eastAsia="仿宋_GB2312" w:cs="Times New Roman"/>
          <w:color w:val="auto"/>
          <w:sz w:val="32"/>
          <w:szCs w:val="32"/>
          <w:highlight w:val="none"/>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“三公”经费：</w:t>
      </w:r>
      <w:r>
        <w:rPr>
          <w:rFonts w:hint="default" w:ascii="Times New Roman" w:hAnsi="Times New Roman" w:eastAsia="仿宋_GB2312" w:cs="Times New Roman"/>
          <w:color w:val="auto"/>
          <w:sz w:val="32"/>
          <w:szCs w:val="32"/>
          <w:highlight w:val="none"/>
        </w:rPr>
        <w:t>指用财政拨款安排的因公出国（境）费、公务用车购置及运行费和公务接待费。其中，因公出国（境）费反映单位公务出国（境）的</w:t>
      </w:r>
      <w:r>
        <w:rPr>
          <w:rFonts w:hint="default" w:ascii="Times New Roman" w:hAnsi="Times New Roman" w:eastAsia="仿宋_GB2312" w:cs="Times New Roman"/>
          <w:color w:val="auto"/>
          <w:sz w:val="32"/>
          <w:szCs w:val="32"/>
          <w:highlight w:val="none"/>
          <w:lang w:eastAsia="zh-CN"/>
        </w:rPr>
        <w:t>国际旅费、国外城市间交通费、</w:t>
      </w:r>
      <w:r>
        <w:rPr>
          <w:rFonts w:hint="default" w:ascii="Times New Roman" w:hAnsi="Times New Roman" w:eastAsia="仿宋_GB2312" w:cs="Times New Roman"/>
          <w:color w:val="auto"/>
          <w:sz w:val="32"/>
          <w:szCs w:val="32"/>
          <w:highlight w:val="none"/>
        </w:rPr>
        <w:t>住宿费、伙食费、培训费、</w:t>
      </w:r>
      <w:r>
        <w:rPr>
          <w:rFonts w:hint="default" w:ascii="Times New Roman" w:hAnsi="Times New Roman" w:eastAsia="仿宋_GB2312" w:cs="Times New Roman"/>
          <w:color w:val="auto"/>
          <w:sz w:val="32"/>
          <w:szCs w:val="32"/>
          <w:highlight w:val="none"/>
          <w:lang w:eastAsia="zh-CN"/>
        </w:rPr>
        <w:t>公</w:t>
      </w:r>
      <w:r>
        <w:rPr>
          <w:rFonts w:hint="default" w:ascii="Times New Roman" w:hAnsi="Times New Roman" w:eastAsia="仿宋_GB2312" w:cs="Times New Roman"/>
          <w:color w:val="auto"/>
          <w:sz w:val="32"/>
          <w:szCs w:val="32"/>
          <w:highlight w:val="none"/>
        </w:rPr>
        <w:t>杂费等支出；公务用车购置费</w:t>
      </w:r>
      <w:r>
        <w:rPr>
          <w:rFonts w:hint="default" w:ascii="Times New Roman" w:hAnsi="Times New Roman" w:eastAsia="仿宋_GB2312" w:cs="Times New Roman"/>
          <w:color w:val="auto"/>
          <w:sz w:val="32"/>
          <w:szCs w:val="32"/>
          <w:highlight w:val="none"/>
          <w:lang w:eastAsia="zh-CN"/>
        </w:rPr>
        <w:t>反映公务用车购置支出（含车辆购置税、牌照费）；</w:t>
      </w:r>
      <w:r>
        <w:rPr>
          <w:rFonts w:hint="default" w:ascii="Times New Roman" w:hAnsi="Times New Roman" w:eastAsia="仿宋_GB2312" w:cs="Times New Roman"/>
          <w:color w:val="auto"/>
          <w:sz w:val="32"/>
          <w:szCs w:val="32"/>
          <w:highlight w:val="none"/>
        </w:rPr>
        <w:t>公务用车运行</w:t>
      </w:r>
      <w:r>
        <w:rPr>
          <w:rFonts w:hint="default" w:ascii="Times New Roman" w:hAnsi="Times New Roman" w:eastAsia="仿宋_GB2312" w:cs="Times New Roman"/>
          <w:color w:val="auto"/>
          <w:sz w:val="32"/>
          <w:szCs w:val="32"/>
          <w:highlight w:val="none"/>
          <w:lang w:eastAsia="zh-CN"/>
        </w:rPr>
        <w:t>维护</w:t>
      </w:r>
      <w:r>
        <w:rPr>
          <w:rFonts w:hint="default" w:ascii="Times New Roman" w:hAnsi="Times New Roman" w:eastAsia="仿宋_GB2312" w:cs="Times New Roman"/>
          <w:color w:val="auto"/>
          <w:sz w:val="32"/>
          <w:szCs w:val="32"/>
          <w:highlight w:val="none"/>
        </w:rPr>
        <w:t>费反映</w:t>
      </w:r>
      <w:r>
        <w:rPr>
          <w:rFonts w:hint="default" w:ascii="Times New Roman" w:hAnsi="Times New Roman" w:eastAsia="仿宋_GB2312" w:cs="Times New Roman"/>
          <w:color w:val="auto"/>
          <w:sz w:val="32"/>
          <w:szCs w:val="32"/>
          <w:highlight w:val="none"/>
          <w:lang w:eastAsia="zh-CN"/>
        </w:rPr>
        <w:t>单位按规定保留的公务用车燃料费、维修费、</w:t>
      </w:r>
      <w:r>
        <w:rPr>
          <w:rFonts w:hint="default" w:ascii="Times New Roman" w:hAnsi="Times New Roman" w:eastAsia="仿宋_GB2312" w:cs="Times New Roman"/>
          <w:color w:val="auto"/>
          <w:sz w:val="32"/>
          <w:szCs w:val="32"/>
          <w:highlight w:val="none"/>
        </w:rPr>
        <w:t>过路过桥费、保险费、安全奖励费用等支出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公务接待费反映单位按规定开支的各类公务接待（含外宾接待）</w:t>
      </w:r>
      <w:r>
        <w:rPr>
          <w:rFonts w:hint="default" w:ascii="Times New Roman" w:hAnsi="Times New Roman" w:eastAsia="仿宋_GB2312" w:cs="Times New Roman"/>
          <w:color w:val="auto"/>
          <w:sz w:val="32"/>
          <w:szCs w:val="32"/>
          <w:highlight w:val="none"/>
          <w:lang w:eastAsia="zh-CN"/>
        </w:rPr>
        <w:t>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十四、</w:t>
      </w:r>
      <w:r>
        <w:rPr>
          <w:rFonts w:hint="default" w:ascii="Times New Roman" w:hAnsi="Times New Roman" w:eastAsia="仿宋_GB2312" w:cs="Times New Roman"/>
          <w:b/>
          <w:bCs/>
          <w:color w:val="auto"/>
          <w:sz w:val="32"/>
          <w:szCs w:val="32"/>
          <w:highlight w:val="none"/>
        </w:rPr>
        <w:t>机关运行经费：</w:t>
      </w:r>
      <w:r>
        <w:rPr>
          <w:rFonts w:hint="default" w:ascii="Times New Roman" w:hAnsi="Times New Roman" w:eastAsia="仿宋_GB2312" w:cs="Times New Roman"/>
          <w:color w:val="auto"/>
          <w:sz w:val="32"/>
          <w:szCs w:val="32"/>
          <w:highlight w:val="none"/>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rPr>
        <w:t xml:space="preserve">第四部分 </w:t>
      </w:r>
      <w:r>
        <w:rPr>
          <w:rFonts w:hint="eastAsia" w:eastAsia="黑体" w:cs="Times New Roman"/>
          <w:color w:val="auto"/>
          <w:sz w:val="32"/>
          <w:szCs w:val="32"/>
          <w:highlight w:val="none"/>
          <w:lang w:eastAsia="zh-CN"/>
        </w:rPr>
        <w:t>部门</w:t>
      </w:r>
      <w:r>
        <w:rPr>
          <w:rFonts w:hint="default" w:ascii="Times New Roman" w:hAnsi="Times New Roman" w:eastAsia="黑体" w:cs="Times New Roman"/>
          <w:color w:val="auto"/>
          <w:sz w:val="32"/>
          <w:szCs w:val="32"/>
          <w:highlight w:val="none"/>
        </w:rPr>
        <w:t>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2" w:name="_Toc2183"/>
      <w:bookmarkStart w:id="33" w:name="_Toc6062"/>
      <w:r>
        <w:rPr>
          <w:rFonts w:hint="default" w:ascii="Times New Roman" w:hAnsi="Times New Roman" w:eastAsia="仿宋_GB2312" w:cs="Times New Roman"/>
          <w:bCs/>
          <w:color w:val="auto"/>
          <w:kern w:val="0"/>
          <w:sz w:val="32"/>
          <w:szCs w:val="32"/>
          <w:highlight w:val="none"/>
        </w:rPr>
        <w:t>一、《收入支出决算总表》</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4" w:name="_Toc24532"/>
      <w:bookmarkStart w:id="35" w:name="_Toc30364"/>
      <w:r>
        <w:rPr>
          <w:rFonts w:hint="default" w:ascii="Times New Roman" w:hAnsi="Times New Roman" w:eastAsia="仿宋_GB2312" w:cs="Times New Roman"/>
          <w:bCs/>
          <w:color w:val="auto"/>
          <w:kern w:val="0"/>
          <w:sz w:val="32"/>
          <w:szCs w:val="32"/>
          <w:highlight w:val="none"/>
        </w:rPr>
        <w:t>二、《收入决算表》</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6" w:name="_Toc32434"/>
      <w:bookmarkStart w:id="37" w:name="_Toc21304"/>
      <w:r>
        <w:rPr>
          <w:rFonts w:hint="default" w:ascii="Times New Roman" w:hAnsi="Times New Roman" w:eastAsia="仿宋_GB2312" w:cs="Times New Roman"/>
          <w:bCs/>
          <w:color w:val="auto"/>
          <w:kern w:val="0"/>
          <w:sz w:val="32"/>
          <w:szCs w:val="32"/>
          <w:highlight w:val="none"/>
        </w:rPr>
        <w:t>三、《支出决算表》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8" w:name="_Toc28786"/>
      <w:bookmarkStart w:id="39" w:name="_Toc14238"/>
      <w:r>
        <w:rPr>
          <w:rFonts w:hint="default" w:ascii="Times New Roman" w:hAnsi="Times New Roman" w:eastAsia="仿宋_GB2312" w:cs="Times New Roman"/>
          <w:bCs/>
          <w:color w:val="auto"/>
          <w:kern w:val="0"/>
          <w:sz w:val="32"/>
          <w:szCs w:val="32"/>
          <w:highlight w:val="none"/>
        </w:rPr>
        <w:t>四、《财政拨款收入支出决算总表》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0" w:name="_Toc14869"/>
      <w:bookmarkStart w:id="41" w:name="_Toc10347"/>
      <w:r>
        <w:rPr>
          <w:rFonts w:hint="default" w:ascii="Times New Roman" w:hAnsi="Times New Roman" w:eastAsia="仿宋_GB2312" w:cs="Times New Roman"/>
          <w:bCs/>
          <w:color w:val="auto"/>
          <w:kern w:val="0"/>
          <w:sz w:val="32"/>
          <w:szCs w:val="32"/>
          <w:highlight w:val="none"/>
        </w:rPr>
        <w:t>五、《一般公共预算财政拨款支出决算表》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2" w:name="_Toc5626"/>
      <w:bookmarkStart w:id="43" w:name="_Toc8884"/>
      <w:r>
        <w:rPr>
          <w:rFonts w:hint="default" w:ascii="Times New Roman" w:hAnsi="Times New Roman" w:eastAsia="仿宋_GB2312" w:cs="Times New Roman"/>
          <w:bCs/>
          <w:color w:val="auto"/>
          <w:kern w:val="0"/>
          <w:sz w:val="32"/>
          <w:szCs w:val="32"/>
          <w:highlight w:val="none"/>
        </w:rPr>
        <w:t>六、《一般公共预算财政拨款基本支出决算表》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七、</w:t>
      </w:r>
      <w:bookmarkStart w:id="44" w:name="_Toc32663"/>
      <w:bookmarkStart w:id="45" w:name="_Toc29106"/>
      <w:r>
        <w:rPr>
          <w:rFonts w:hint="default" w:ascii="Times New Roman" w:hAnsi="Times New Roman" w:eastAsia="仿宋_GB2312" w:cs="Times New Roman"/>
          <w:bCs/>
          <w:color w:val="auto"/>
          <w:kern w:val="0"/>
          <w:sz w:val="32"/>
          <w:szCs w:val="32"/>
          <w:highlight w:val="none"/>
        </w:rPr>
        <w:t>《财政拨款“三公”经费支出决算表》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6" w:name="_Toc7643"/>
      <w:bookmarkStart w:id="47" w:name="_Toc5453"/>
      <w:r>
        <w:rPr>
          <w:rFonts w:hint="default" w:ascii="Times New Roman" w:hAnsi="Times New Roman" w:eastAsia="仿宋_GB2312" w:cs="Times New Roman"/>
          <w:bCs/>
          <w:color w:val="auto"/>
          <w:kern w:val="0"/>
          <w:sz w:val="32"/>
          <w:szCs w:val="32"/>
          <w:highlight w:val="none"/>
        </w:rPr>
        <w:t>八、《政府性基金预算财政拨款收入支出决算表》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eastAsia="zh-CN"/>
        </w:rPr>
        <w:t>国有资本经营</w:t>
      </w:r>
      <w:r>
        <w:rPr>
          <w:rFonts w:hint="default" w:ascii="Times New Roman" w:hAnsi="Times New Roman" w:eastAsia="仿宋_GB2312" w:cs="Times New Roman"/>
          <w:bCs/>
          <w:color w:val="auto"/>
          <w:kern w:val="0"/>
          <w:sz w:val="32"/>
          <w:szCs w:val="32"/>
          <w:highlight w:val="none"/>
        </w:rPr>
        <w:t>预算财政拨款收入支出决算表》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565021">
    <w:nsid w:val="103F031D"/>
    <w:multiLevelType w:val="singleLevel"/>
    <w:tmpl w:val="103F031D"/>
    <w:lvl w:ilvl="0" w:tentative="1">
      <w:start w:val="2"/>
      <w:numFmt w:val="chineseCounting"/>
      <w:suff w:val="nothing"/>
      <w:lvlText w:val="（%1）"/>
      <w:lvlJc w:val="left"/>
      <w:rPr>
        <w:rFonts w:hint="eastAsia"/>
      </w:rPr>
    </w:lvl>
  </w:abstractNum>
  <w:num w:numId="1">
    <w:abstractNumId w:val="2725650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ZmZWJiZjkzMTc5MjUxM2FlYjUzNmFjOTJhZmY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B78E8B"/>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9BA11AF"/>
    <w:rsid w:val="0A6406FF"/>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50C84"/>
    <w:rsid w:val="1C290ED5"/>
    <w:rsid w:val="1C317E4F"/>
    <w:rsid w:val="1C472464"/>
    <w:rsid w:val="1D22799A"/>
    <w:rsid w:val="1D5C1A72"/>
    <w:rsid w:val="1DAF458D"/>
    <w:rsid w:val="1E086ACE"/>
    <w:rsid w:val="1E62130A"/>
    <w:rsid w:val="1E97358B"/>
    <w:rsid w:val="1EAA4A5F"/>
    <w:rsid w:val="1EE37CE0"/>
    <w:rsid w:val="1EE869A7"/>
    <w:rsid w:val="1FA15E62"/>
    <w:rsid w:val="1FE06EDA"/>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F6389"/>
    <w:rsid w:val="3389023A"/>
    <w:rsid w:val="33CB74FA"/>
    <w:rsid w:val="343642F2"/>
    <w:rsid w:val="343F3010"/>
    <w:rsid w:val="345D0A00"/>
    <w:rsid w:val="34713BFD"/>
    <w:rsid w:val="34C13589"/>
    <w:rsid w:val="353369E3"/>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9E75064"/>
    <w:rsid w:val="3A893816"/>
    <w:rsid w:val="3A893B6D"/>
    <w:rsid w:val="3AD1763A"/>
    <w:rsid w:val="3B6716E3"/>
    <w:rsid w:val="3B6C6B2D"/>
    <w:rsid w:val="3C242659"/>
    <w:rsid w:val="3C96719C"/>
    <w:rsid w:val="3CA72BE8"/>
    <w:rsid w:val="3CF37F8C"/>
    <w:rsid w:val="3D137554"/>
    <w:rsid w:val="3D5275AC"/>
    <w:rsid w:val="3DCC2473"/>
    <w:rsid w:val="3DEB0883"/>
    <w:rsid w:val="3DFFE090"/>
    <w:rsid w:val="3E2527BF"/>
    <w:rsid w:val="3E731662"/>
    <w:rsid w:val="3E8054C9"/>
    <w:rsid w:val="3E8168DD"/>
    <w:rsid w:val="3EA7725F"/>
    <w:rsid w:val="3EB03713"/>
    <w:rsid w:val="3EBF1A11"/>
    <w:rsid w:val="3EC52607"/>
    <w:rsid w:val="3EEC6CEF"/>
    <w:rsid w:val="3F183429"/>
    <w:rsid w:val="3FB77A1D"/>
    <w:rsid w:val="3FCB9EAE"/>
    <w:rsid w:val="3FDC3674"/>
    <w:rsid w:val="3FED7F8A"/>
    <w:rsid w:val="40094AEF"/>
    <w:rsid w:val="405470BD"/>
    <w:rsid w:val="40794A29"/>
    <w:rsid w:val="40834692"/>
    <w:rsid w:val="40F519A5"/>
    <w:rsid w:val="41431AD5"/>
    <w:rsid w:val="414B3C0F"/>
    <w:rsid w:val="417C1CE7"/>
    <w:rsid w:val="41900018"/>
    <w:rsid w:val="41944406"/>
    <w:rsid w:val="41C276F1"/>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6F102F3"/>
    <w:rsid w:val="47445515"/>
    <w:rsid w:val="474B4782"/>
    <w:rsid w:val="478719F9"/>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3F596C"/>
    <w:rsid w:val="518D0ED5"/>
    <w:rsid w:val="525C687F"/>
    <w:rsid w:val="52F647F7"/>
    <w:rsid w:val="52F92565"/>
    <w:rsid w:val="53D03877"/>
    <w:rsid w:val="542F73CA"/>
    <w:rsid w:val="5430786D"/>
    <w:rsid w:val="54C811C0"/>
    <w:rsid w:val="556A442D"/>
    <w:rsid w:val="55DA564E"/>
    <w:rsid w:val="5604127D"/>
    <w:rsid w:val="56166703"/>
    <w:rsid w:val="56510474"/>
    <w:rsid w:val="56861525"/>
    <w:rsid w:val="56A93273"/>
    <w:rsid w:val="56BD550C"/>
    <w:rsid w:val="56E07045"/>
    <w:rsid w:val="56FF28AF"/>
    <w:rsid w:val="57540E7D"/>
    <w:rsid w:val="577B4878"/>
    <w:rsid w:val="577F4E90"/>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7F4E06"/>
    <w:rsid w:val="5BAB86B9"/>
    <w:rsid w:val="5BD456CE"/>
    <w:rsid w:val="5C0D1F49"/>
    <w:rsid w:val="5CBB0CE2"/>
    <w:rsid w:val="5CC17177"/>
    <w:rsid w:val="5CF306BC"/>
    <w:rsid w:val="5D3F3D64"/>
    <w:rsid w:val="5D833043"/>
    <w:rsid w:val="5DC798BC"/>
    <w:rsid w:val="5DD92690"/>
    <w:rsid w:val="5DDB1CFD"/>
    <w:rsid w:val="5E7E6D93"/>
    <w:rsid w:val="5ED44800"/>
    <w:rsid w:val="5EDE3297"/>
    <w:rsid w:val="5F350BDE"/>
    <w:rsid w:val="5F61632C"/>
    <w:rsid w:val="5FA17648"/>
    <w:rsid w:val="5FA5FFDE"/>
    <w:rsid w:val="5FE705CB"/>
    <w:rsid w:val="603D5080"/>
    <w:rsid w:val="60D0261B"/>
    <w:rsid w:val="618E3791"/>
    <w:rsid w:val="61947DCA"/>
    <w:rsid w:val="61A46A97"/>
    <w:rsid w:val="61D1382F"/>
    <w:rsid w:val="61F114A2"/>
    <w:rsid w:val="62512BB4"/>
    <w:rsid w:val="625D7D1A"/>
    <w:rsid w:val="62DD7D21"/>
    <w:rsid w:val="637D586B"/>
    <w:rsid w:val="63A5560B"/>
    <w:rsid w:val="63E9091F"/>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7FD658"/>
    <w:rsid w:val="67A6391B"/>
    <w:rsid w:val="67AF8666"/>
    <w:rsid w:val="67C304AB"/>
    <w:rsid w:val="683F0658"/>
    <w:rsid w:val="689C6793"/>
    <w:rsid w:val="68DB0208"/>
    <w:rsid w:val="68FB170C"/>
    <w:rsid w:val="691B3D98"/>
    <w:rsid w:val="693748F0"/>
    <w:rsid w:val="69846A0E"/>
    <w:rsid w:val="69AD798C"/>
    <w:rsid w:val="69D005C0"/>
    <w:rsid w:val="69D80B96"/>
    <w:rsid w:val="69FFF7DC"/>
    <w:rsid w:val="6B68175F"/>
    <w:rsid w:val="6BFD799F"/>
    <w:rsid w:val="6C4A2E5A"/>
    <w:rsid w:val="6C8138D0"/>
    <w:rsid w:val="6CEF0725"/>
    <w:rsid w:val="6CF85991"/>
    <w:rsid w:val="6D4B2604"/>
    <w:rsid w:val="6D8030E4"/>
    <w:rsid w:val="6DFA2D57"/>
    <w:rsid w:val="6E0E35C4"/>
    <w:rsid w:val="6E0F7A08"/>
    <w:rsid w:val="6E3947F5"/>
    <w:rsid w:val="6E9C74ED"/>
    <w:rsid w:val="6ECA421A"/>
    <w:rsid w:val="6EF72976"/>
    <w:rsid w:val="6F02265A"/>
    <w:rsid w:val="6F550CC2"/>
    <w:rsid w:val="6F795A80"/>
    <w:rsid w:val="6F7C1D2E"/>
    <w:rsid w:val="6F8E0407"/>
    <w:rsid w:val="6FDD069F"/>
    <w:rsid w:val="6FFF5D5E"/>
    <w:rsid w:val="702B4D16"/>
    <w:rsid w:val="70AA6621"/>
    <w:rsid w:val="710A6650"/>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3D1757"/>
    <w:rsid w:val="76660D7C"/>
    <w:rsid w:val="766C5968"/>
    <w:rsid w:val="76AF87A4"/>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7FB88D"/>
    <w:rsid w:val="7AE952D2"/>
    <w:rsid w:val="7BFF03AB"/>
    <w:rsid w:val="7C976D69"/>
    <w:rsid w:val="7CD752DA"/>
    <w:rsid w:val="7CDE40AB"/>
    <w:rsid w:val="7CF057E2"/>
    <w:rsid w:val="7D1548B5"/>
    <w:rsid w:val="7DF71E56"/>
    <w:rsid w:val="7DF84014"/>
    <w:rsid w:val="7E207949"/>
    <w:rsid w:val="7E5C0A47"/>
    <w:rsid w:val="7E670C75"/>
    <w:rsid w:val="7EE24272"/>
    <w:rsid w:val="7EEA6053"/>
    <w:rsid w:val="7F487C04"/>
    <w:rsid w:val="7F774B23"/>
    <w:rsid w:val="7FB45F21"/>
    <w:rsid w:val="7FBFCD9F"/>
    <w:rsid w:val="7FDFC716"/>
    <w:rsid w:val="7FE57088"/>
    <w:rsid w:val="7FEED884"/>
    <w:rsid w:val="7FF37FA3"/>
    <w:rsid w:val="7FFFCB23"/>
    <w:rsid w:val="7FFFCEFC"/>
    <w:rsid w:val="7FFFF31D"/>
    <w:rsid w:val="9DFB7291"/>
    <w:rsid w:val="BAE728A1"/>
    <w:rsid w:val="BFFFE0EF"/>
    <w:rsid w:val="DAAF06EC"/>
    <w:rsid w:val="DF5E6030"/>
    <w:rsid w:val="DF6786BE"/>
    <w:rsid w:val="DFDF4477"/>
    <w:rsid w:val="DFFCD7E5"/>
    <w:rsid w:val="E6EDC6E5"/>
    <w:rsid w:val="EDBAB0DF"/>
    <w:rsid w:val="EFBFE1C0"/>
    <w:rsid w:val="EFE37126"/>
    <w:rsid w:val="EFFD3D61"/>
    <w:rsid w:val="FD8F1FFB"/>
    <w:rsid w:val="FDDF591C"/>
    <w:rsid w:val="FEF79DB1"/>
    <w:rsid w:val="FEFFC887"/>
    <w:rsid w:val="FF5FAB8E"/>
    <w:rsid w:val="FFB0B36A"/>
    <w:rsid w:val="FFBB1946"/>
    <w:rsid w:val="FFDF2B80"/>
    <w:rsid w:val="FFEADC44"/>
    <w:rsid w:val="FFEB74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6483</Words>
  <Characters>20828</Characters>
  <Lines>0</Lines>
  <Paragraphs>0</Paragraphs>
  <TotalTime>0</TotalTime>
  <ScaleCrop>false</ScaleCrop>
  <LinksUpToDate>false</LinksUpToDate>
  <CharactersWithSpaces>20940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GXR</dc:creator>
  <cp:lastModifiedBy>1205-1</cp:lastModifiedBy>
  <dcterms:modified xsi:type="dcterms:W3CDTF">2024-10-21T04:09:13Z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876D2C080CEE4D27B4A61B32D48DE400</vt:lpwstr>
  </property>
</Properties>
</file>