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000000" w:themeColor="text1"/>
          <w:sz w:val="44"/>
          <w:szCs w:val="44"/>
          <w:highlight w:val="none"/>
          <w:lang w:val="en-US" w:eastAsia="zh-CN"/>
          <w14:textFill>
            <w14:solidFill>
              <w14:schemeClr w14:val="tx1"/>
            </w14:solidFill>
          </w14:textFill>
        </w:rPr>
      </w:pPr>
      <w:r>
        <w:rPr>
          <w:rFonts w:hint="eastAsia" w:ascii="方正小标宋_GBK" w:hAnsi="宋体" w:eastAsia="方正小标宋_GBK"/>
          <w:color w:val="000000" w:themeColor="text1"/>
          <w:sz w:val="44"/>
          <w:szCs w:val="44"/>
          <w:highlight w:val="none"/>
          <w:lang w:val="en-US" w:eastAsia="zh-CN"/>
          <w14:textFill>
            <w14:solidFill>
              <w14:schemeClr w14:val="tx1"/>
            </w14:solidFill>
          </w14:textFill>
        </w:rPr>
        <w:t>新疆维吾尔自治区民政事业规划发展中心</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000000" w:themeColor="text1"/>
          <w:sz w:val="44"/>
          <w:szCs w:val="44"/>
          <w:highlight w:val="none"/>
          <w14:textFill>
            <w14:solidFill>
              <w14:schemeClr w14:val="tx1"/>
            </w14:solidFill>
          </w14:textFill>
        </w:rPr>
      </w:pPr>
      <w:r>
        <w:rPr>
          <w:rFonts w:hint="eastAsia" w:ascii="方正小标宋_GBK" w:hAnsi="宋体" w:eastAsia="方正小标宋_GBK"/>
          <w:color w:val="000000" w:themeColor="text1"/>
          <w:sz w:val="44"/>
          <w:szCs w:val="44"/>
          <w:highlight w:val="none"/>
          <w:lang w:eastAsia="zh-CN"/>
          <w14:textFill>
            <w14:solidFill>
              <w14:schemeClr w14:val="tx1"/>
            </w14:solidFill>
          </w14:textFill>
        </w:rPr>
        <w:t>2023年度部门</w:t>
      </w:r>
      <w:r>
        <w:rPr>
          <w:rFonts w:hint="eastAsia" w:ascii="方正小标宋_GBK" w:hAnsi="宋体" w:eastAsia="方正小标宋_GBK"/>
          <w:color w:val="000000" w:themeColor="text1"/>
          <w:sz w:val="44"/>
          <w:szCs w:val="44"/>
          <w:highlight w:val="none"/>
          <w14:textFill>
            <w14:solidFill>
              <w14:schemeClr w14:val="tx1"/>
            </w14:solidFill>
          </w14:textFill>
        </w:rPr>
        <w:t>决算</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000000" w:themeColor="text1"/>
          <w:sz w:val="44"/>
          <w:szCs w:val="44"/>
          <w:highlight w:val="none"/>
          <w14:textFill>
            <w14:solidFill>
              <w14:schemeClr w14:val="tx1"/>
            </w14:solidFill>
          </w14:textFill>
        </w:rPr>
      </w:pPr>
      <w:r>
        <w:rPr>
          <w:rFonts w:hint="eastAsia" w:ascii="方正小标宋_GBK" w:hAnsi="宋体" w:eastAsia="方正小标宋_GBK"/>
          <w:color w:val="000000" w:themeColor="text1"/>
          <w:sz w:val="44"/>
          <w:szCs w:val="44"/>
          <w:highlight w:val="none"/>
          <w14:textFill>
            <w14:solidFill>
              <w14:schemeClr w14:val="tx1"/>
            </w14:solidFill>
          </w14:textFill>
        </w:rPr>
        <w:t>公开说明</w:t>
      </w:r>
    </w:p>
    <w:p>
      <w:pPr>
        <w:rPr>
          <w:rFonts w:hint="eastAsia" w:ascii="方正小标宋_GBK" w:hAnsi="宋体" w:eastAsia="方正小标宋_GBK"/>
          <w:color w:val="000000" w:themeColor="text1"/>
          <w:sz w:val="44"/>
          <w:szCs w:val="44"/>
          <w:highlight w:val="none"/>
          <w14:textFill>
            <w14:solidFill>
              <w14:schemeClr w14:val="tx1"/>
            </w14:solidFill>
          </w14:textFill>
        </w:rPr>
      </w:pPr>
      <w:r>
        <w:rPr>
          <w:rFonts w:hint="eastAsia" w:ascii="方正小标宋_GBK" w:hAnsi="宋体" w:eastAsia="方正小标宋_GBK"/>
          <w:color w:val="000000" w:themeColor="text1"/>
          <w:sz w:val="44"/>
          <w:szCs w:val="4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val="0"/>
          <w:color w:val="000000" w:themeColor="text1"/>
          <w:kern w:val="0"/>
          <w:sz w:val="36"/>
          <w:szCs w:val="36"/>
          <w:highlight w:val="none"/>
          <w14:textFill>
            <w14:solidFill>
              <w14:schemeClr w14:val="tx1"/>
            </w14:solidFill>
          </w14:textFill>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TOC \o "1-3" \n  \h \u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instrText xml:space="preserve"> HYPERLINK \l _Toc32314 </w:instrTex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第一部分 </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单位</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概况</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_Toc30567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一、主要职能</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_Toc2151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二、机构设置</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及人员</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instrText xml:space="preserve"> HYPERLINK \l _Toc29374 </w:instrTex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第二部分 部门决算情况说明</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_Toc25314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一、收入支出决算总体情况说明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_Toc12142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二、</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收入</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决算</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_Toc13201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三、支出决算情况说明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_Toc26564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四、财政拨款收入支出决算总体情况说明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_Toc20360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五、一般公共预算财政拨款支出决算情况说明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_Toc30870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六、一般公共预算财政拨款基本支出决算情况说明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_Toc21518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七</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财政拨款</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“三公”经费支出</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决算</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情况</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_Toc5810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八、</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政府性基金预算财政拨款收入支出决算情况说明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rPr>
          <w:rFonts w:hint="eastAsia"/>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_Toc5810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九</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、国有资本经营预算财政拨款收入支出决算情况说明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_Toc1235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、其他重要事项的情况</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_Toc14519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机关运行经费支出情况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_Toc227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（二）政府采购情况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_Toc8391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（三）国有资产占用情况说明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_Toc11283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十</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一</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、预算绩效的情况说明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十二、其他需说明的事项</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instrText xml:space="preserve"> HYPERLINK \l _Toc3250 </w:instrTex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第三部分 专业名词解释</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instrText xml:space="preserve"> HYPERLINK \l _Toc22784 </w:instrTex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第四部分 部门决算报表（见附表）</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_Toc2183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一、《收入支出决算总表》</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_Toc24532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二、《收入决算表》</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_Toc32434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三、《支出决算表》</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_Toc28786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四、《财政拨款收入支出决算总表》</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_Toc14869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五、《一般公共预算财政拨款支出决算表》</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_Toc8884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六、《一般公共预算财政拨款基本支出决算表》</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_Toc29106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七、《财政拨款“三公”经费支出决算表》</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fldChar w:fldCharType="begin"/>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instrText xml:space="preserve"> HYPERLINK \l _Toc7643 </w:instrTex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八、</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《政府性基金预算财政拨款收入支出决算表》</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九</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、《国有资本经营</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预算财政拨款收入支出决算表</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color w:val="000000" w:themeColor="text1"/>
          <w:sz w:val="32"/>
          <w:szCs w:val="32"/>
          <w:highlight w:val="none"/>
          <w14:textFill>
            <w14:solidFill>
              <w14:schemeClr w14:val="tx1"/>
            </w14:solidFill>
          </w14:textFill>
        </w:rPr>
      </w:pPr>
      <w:bookmarkStart w:id="0" w:name="_Toc32314"/>
      <w:bookmarkStart w:id="1" w:name="_Toc24028"/>
      <w:r>
        <w:rPr>
          <w:rFonts w:hint="eastAsia" w:ascii="黑体" w:hAnsi="黑体" w:eastAsia="黑体"/>
          <w:color w:val="000000" w:themeColor="text1"/>
          <w:sz w:val="32"/>
          <w:szCs w:val="32"/>
          <w:highlight w:val="none"/>
          <w14:textFill>
            <w14:solidFill>
              <w14:schemeClr w14:val="tx1"/>
            </w14:solidFill>
          </w14:textFill>
        </w:rPr>
        <w:t xml:space="preserve">第一部分 </w:t>
      </w:r>
      <w:r>
        <w:rPr>
          <w:rFonts w:hint="eastAsia" w:ascii="黑体" w:hAnsi="黑体" w:eastAsia="黑体"/>
          <w:color w:val="000000" w:themeColor="text1"/>
          <w:sz w:val="32"/>
          <w:szCs w:val="32"/>
          <w:highlight w:val="none"/>
          <w:lang w:eastAsia="zh-CN"/>
          <w14:textFill>
            <w14:solidFill>
              <w14:schemeClr w14:val="tx1"/>
            </w14:solidFill>
          </w14:textFill>
        </w:rPr>
        <w:t>单位</w:t>
      </w:r>
      <w:r>
        <w:rPr>
          <w:rFonts w:hint="eastAsia" w:ascii="黑体" w:hAnsi="黑体" w:eastAsia="黑体"/>
          <w:color w:val="000000" w:themeColor="text1"/>
          <w:sz w:val="32"/>
          <w:szCs w:val="32"/>
          <w:highlight w:val="none"/>
          <w14:textFill>
            <w14:solidFill>
              <w14:schemeClr w14:val="tx1"/>
            </w14:solidFill>
          </w14:textFill>
        </w:rPr>
        <w:t>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color w:val="000000" w:themeColor="text1"/>
          <w:kern w:val="0"/>
          <w:sz w:val="32"/>
          <w:szCs w:val="32"/>
          <w:highlight w:val="none"/>
          <w14:textFill>
            <w14:solidFill>
              <w14:schemeClr w14:val="tx1"/>
            </w14:solidFill>
          </w14:textFill>
        </w:rPr>
      </w:pPr>
      <w:bookmarkStart w:id="2" w:name="_Toc30567"/>
      <w:bookmarkStart w:id="3" w:name="_Toc30738"/>
      <w:r>
        <w:rPr>
          <w:rFonts w:hint="eastAsia" w:ascii="黑体" w:hAnsi="黑体" w:eastAsia="黑体" w:cs="宋体"/>
          <w:bCs/>
          <w:color w:val="000000" w:themeColor="text1"/>
          <w:kern w:val="0"/>
          <w:sz w:val="32"/>
          <w:szCs w:val="32"/>
          <w:highlight w:val="none"/>
          <w14:textFill>
            <w14:solidFill>
              <w14:schemeClr w14:val="tx1"/>
            </w14:solidFill>
          </w14:textFill>
        </w:rPr>
        <w:t>一、主要职能</w:t>
      </w:r>
      <w:bookmarkEnd w:id="2"/>
      <w:bookmarkEnd w:id="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负责民政事业项目规划的评估、可行性研究、论证及规划项目实施的指导等工作</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000000" w:themeColor="text1"/>
          <w:kern w:val="0"/>
          <w:sz w:val="32"/>
          <w:szCs w:val="32"/>
          <w:highlight w:val="none"/>
          <w14:textFill>
            <w14:solidFill>
              <w14:schemeClr w14:val="tx1"/>
            </w14:solidFill>
          </w14:textFill>
        </w:rPr>
      </w:pPr>
      <w:bookmarkStart w:id="4" w:name="_Toc31238"/>
      <w:bookmarkStart w:id="5" w:name="_Toc2151"/>
      <w:r>
        <w:rPr>
          <w:rFonts w:hint="eastAsia" w:ascii="黑体" w:hAnsi="黑体" w:eastAsia="黑体" w:cs="宋体"/>
          <w:bCs/>
          <w:color w:val="000000" w:themeColor="text1"/>
          <w:kern w:val="0"/>
          <w:sz w:val="32"/>
          <w:szCs w:val="32"/>
          <w:highlight w:val="none"/>
          <w14:textFill>
            <w14:solidFill>
              <w14:schemeClr w14:val="tx1"/>
            </w14:solidFill>
          </w14:textFill>
        </w:rPr>
        <w:t>二、机构设置</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及</w:t>
      </w:r>
      <w:bookmarkEnd w:id="4"/>
      <w:r>
        <w:rPr>
          <w:rFonts w:hint="eastAsia" w:ascii="黑体" w:hAnsi="黑体" w:eastAsia="黑体" w:cs="宋体"/>
          <w:bCs/>
          <w:color w:val="000000" w:themeColor="text1"/>
          <w:kern w:val="0"/>
          <w:sz w:val="32"/>
          <w:szCs w:val="32"/>
          <w:highlight w:val="none"/>
          <w:lang w:eastAsia="zh-CN"/>
          <w14:textFill>
            <w14:solidFill>
              <w14:schemeClr w14:val="tx1"/>
            </w14:solidFill>
          </w14:textFill>
        </w:rPr>
        <w:t>人员</w:t>
      </w:r>
      <w:r>
        <w:rPr>
          <w:rFonts w:hint="eastAsia" w:ascii="黑体" w:hAnsi="黑体" w:eastAsia="黑体" w:cs="宋体"/>
          <w:bCs/>
          <w:color w:val="000000" w:themeColor="text1"/>
          <w:kern w:val="0"/>
          <w:sz w:val="32"/>
          <w:szCs w:val="32"/>
          <w:highlight w:val="none"/>
          <w14:textFill>
            <w14:solidFill>
              <w14:schemeClr w14:val="tx1"/>
            </w14:solidFill>
          </w14:textFill>
        </w:rPr>
        <w:t>情况</w:t>
      </w:r>
      <w:bookmarkEnd w:id="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新疆维吾尔自治区民政事业规划发展中心</w:t>
      </w:r>
      <w:r>
        <w:rPr>
          <w:rFonts w:hint="eastAsia" w:ascii="仿宋_GB2312" w:eastAsia="仿宋_GB2312"/>
          <w:color w:val="000000" w:themeColor="text1"/>
          <w:sz w:val="32"/>
          <w:szCs w:val="32"/>
          <w:highlight w:val="none"/>
          <w:lang w:eastAsia="zh-CN"/>
          <w14:textFill>
            <w14:solidFill>
              <w14:schemeClr w14:val="tx1"/>
            </w14:solidFill>
          </w14:textFill>
        </w:rPr>
        <w:t>2023年度，</w:t>
      </w:r>
      <w:r>
        <w:rPr>
          <w:rFonts w:hint="eastAsia" w:ascii="仿宋_GB2312" w:eastAsia="仿宋_GB2312"/>
          <w:color w:val="000000" w:themeColor="text1"/>
          <w:sz w:val="32"/>
          <w:szCs w:val="32"/>
          <w:highlight w:val="none"/>
          <w14:textFill>
            <w14:solidFill>
              <w14:schemeClr w14:val="tx1"/>
            </w14:solidFill>
          </w14:textFill>
        </w:rPr>
        <w:t>实有人数</w:t>
      </w:r>
      <w:r>
        <w:rPr>
          <w:rFonts w:hint="eastAsia" w:ascii="仿宋_GB2312" w:eastAsia="仿宋_GB2312"/>
          <w:color w:val="000000" w:themeColor="text1"/>
          <w:sz w:val="32"/>
          <w:szCs w:val="32"/>
          <w:highlight w:val="none"/>
          <w:lang w:val="zh-CN" w:eastAsia="zh-CN"/>
          <w14:textFill>
            <w14:solidFill>
              <w14:schemeClr w14:val="tx1"/>
            </w14:solidFill>
          </w14:textFill>
        </w:rPr>
        <w:t>6</w:t>
      </w:r>
      <w:r>
        <w:rPr>
          <w:rFonts w:hint="eastAsia" w:ascii="仿宋_GB2312" w:eastAsia="仿宋_GB2312"/>
          <w:color w:val="000000" w:themeColor="text1"/>
          <w:sz w:val="32"/>
          <w:szCs w:val="32"/>
          <w:highlight w:val="none"/>
          <w14:textFill>
            <w14:solidFill>
              <w14:schemeClr w14:val="tx1"/>
            </w14:solidFill>
          </w14:textFill>
        </w:rPr>
        <w:t>人，其中：在职人员</w:t>
      </w:r>
      <w:r>
        <w:rPr>
          <w:rFonts w:hint="eastAsia" w:ascii="仿宋_GB2312" w:eastAsia="仿宋_GB2312"/>
          <w:color w:val="000000" w:themeColor="text1"/>
          <w:sz w:val="32"/>
          <w:szCs w:val="32"/>
          <w:highlight w:val="none"/>
          <w:lang w:val="zh-CN" w:eastAsia="zh-CN"/>
          <w14:textFill>
            <w14:solidFill>
              <w14:schemeClr w14:val="tx1"/>
            </w14:solidFill>
          </w14:textFill>
        </w:rPr>
        <w:t>6</w:t>
      </w:r>
      <w:r>
        <w:rPr>
          <w:rFonts w:hint="eastAsia" w:ascii="仿宋_GB2312" w:eastAsia="仿宋_GB2312"/>
          <w:color w:val="000000" w:themeColor="text1"/>
          <w:sz w:val="32"/>
          <w:szCs w:val="32"/>
          <w:highlight w:val="none"/>
          <w14:textFill>
            <w14:solidFill>
              <w14:schemeClr w14:val="tx1"/>
            </w14:solidFill>
          </w14:textFill>
        </w:rPr>
        <w:t>人</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离休人员</w:t>
      </w:r>
      <w:r>
        <w:rPr>
          <w:rFonts w:hint="eastAsia" w:ascii="仿宋_GB2312" w:eastAsia="仿宋_GB2312"/>
          <w:color w:val="000000" w:themeColor="text1"/>
          <w:sz w:val="32"/>
          <w:szCs w:val="32"/>
          <w:highlight w:val="none"/>
          <w:lang w:val="zh-CN"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人，退休人员</w:t>
      </w:r>
      <w:r>
        <w:rPr>
          <w:rFonts w:hint="eastAsia" w:ascii="仿宋_GB2312" w:eastAsia="仿宋_GB2312"/>
          <w:color w:val="000000" w:themeColor="text1"/>
          <w:sz w:val="32"/>
          <w:szCs w:val="32"/>
          <w:highlight w:val="none"/>
          <w:lang w:val="zh-CN"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黑体" w:eastAsia="仿宋_GB2312" w:cs="宋体"/>
          <w:bCs/>
          <w:color w:val="000000" w:themeColor="text1"/>
          <w:kern w:val="0"/>
          <w:sz w:val="32"/>
          <w:szCs w:val="32"/>
          <w14:textFill>
            <w14:solidFill>
              <w14:schemeClr w14:val="tx1"/>
            </w14:solidFill>
          </w14:textFill>
        </w:rPr>
        <w:t>单位无下属预算单位，下设</w:t>
      </w:r>
      <w:r>
        <w:rPr>
          <w:rFonts w:hint="eastAsia" w:ascii="仿宋_GB2312" w:eastAsia="仿宋_GB2312"/>
          <w:color w:val="000000" w:themeColor="text1"/>
          <w:sz w:val="32"/>
          <w:szCs w:val="32"/>
          <w14:textFill>
            <w14:solidFill>
              <w14:schemeClr w14:val="tx1"/>
            </w14:solidFill>
          </w14:textFill>
        </w:rPr>
        <w:t>2</w:t>
      </w:r>
      <w:r>
        <w:rPr>
          <w:rFonts w:hint="eastAsia" w:ascii="仿宋_GB2312" w:hAnsi="黑体" w:eastAsia="仿宋_GB2312" w:cs="宋体"/>
          <w:bCs/>
          <w:color w:val="000000" w:themeColor="text1"/>
          <w:kern w:val="0"/>
          <w:sz w:val="32"/>
          <w:szCs w:val="32"/>
          <w14:textFill>
            <w14:solidFill>
              <w14:schemeClr w14:val="tx1"/>
            </w14:solidFill>
          </w14:textFill>
        </w:rPr>
        <w:t>个</w:t>
      </w:r>
      <w:r>
        <w:rPr>
          <w:rFonts w:hint="eastAsia" w:ascii="仿宋_GB2312" w:hAnsi="黑体" w:eastAsia="仿宋_GB2312" w:cs="宋体"/>
          <w:bCs/>
          <w:color w:val="000000" w:themeColor="text1"/>
          <w:kern w:val="0"/>
          <w:sz w:val="32"/>
          <w:szCs w:val="32"/>
          <w:lang w:eastAsia="zh-CN"/>
          <w14:textFill>
            <w14:solidFill>
              <w14:schemeClr w14:val="tx1"/>
            </w14:solidFill>
          </w14:textFill>
        </w:rPr>
        <w:t>科</w:t>
      </w:r>
      <w:r>
        <w:rPr>
          <w:rFonts w:hint="eastAsia" w:ascii="仿宋_GB2312" w:hAnsi="黑体" w:eastAsia="仿宋_GB2312" w:cs="宋体"/>
          <w:bCs/>
          <w:color w:val="000000" w:themeColor="text1"/>
          <w:kern w:val="0"/>
          <w:sz w:val="32"/>
          <w:szCs w:val="32"/>
          <w14:textFill>
            <w14:solidFill>
              <w14:schemeClr w14:val="tx1"/>
            </w14:solidFill>
          </w14:textFill>
        </w:rPr>
        <w:t>室，分别是：办公室、综合业务科</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sectPr>
          <w:footerReference r:id="rId3" w:type="default"/>
          <w:pgSz w:w="11906" w:h="16838"/>
          <w:pgMar w:top="2098" w:right="1531" w:bottom="1984" w:left="1531"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color w:val="000000" w:themeColor="text1"/>
          <w:sz w:val="32"/>
          <w:szCs w:val="32"/>
          <w:highlight w:val="none"/>
          <w14:textFill>
            <w14:solidFill>
              <w14:schemeClr w14:val="tx1"/>
            </w14:solidFill>
          </w14:textFill>
        </w:rPr>
      </w:pPr>
      <w:bookmarkStart w:id="6" w:name="_Toc3092"/>
      <w:bookmarkStart w:id="7" w:name="_Toc29374"/>
      <w:r>
        <w:rPr>
          <w:rFonts w:hint="eastAsia" w:ascii="黑体" w:hAnsi="黑体" w:eastAsia="黑体"/>
          <w:color w:val="000000" w:themeColor="text1"/>
          <w:sz w:val="32"/>
          <w:szCs w:val="32"/>
          <w:highlight w:val="none"/>
          <w14:textFill>
            <w14:solidFill>
              <w14:schemeClr w14:val="tx1"/>
            </w14:solidFill>
          </w14:textFill>
        </w:rPr>
        <w:t>第</w:t>
      </w:r>
      <w:r>
        <w:rPr>
          <w:rFonts w:hint="eastAsia" w:ascii="黑体" w:hAnsi="黑体" w:eastAsia="黑体"/>
          <w:color w:val="000000" w:themeColor="text1"/>
          <w:sz w:val="32"/>
          <w:szCs w:val="32"/>
          <w:highlight w:val="none"/>
          <w:lang w:val="en-US" w:eastAsia="zh-CN"/>
          <w14:textFill>
            <w14:solidFill>
              <w14:schemeClr w14:val="tx1"/>
            </w14:solidFill>
          </w14:textFill>
        </w:rPr>
        <w:t>二</w:t>
      </w:r>
      <w:r>
        <w:rPr>
          <w:rFonts w:hint="eastAsia" w:ascii="黑体" w:hAnsi="黑体" w:eastAsia="黑体"/>
          <w:color w:val="000000" w:themeColor="text1"/>
          <w:sz w:val="32"/>
          <w:szCs w:val="32"/>
          <w:highlight w:val="none"/>
          <w14:textFill>
            <w14:solidFill>
              <w14:schemeClr w14:val="tx1"/>
            </w14:solidFill>
          </w14:textFill>
        </w:rPr>
        <w:t>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000000" w:themeColor="text1"/>
          <w:kern w:val="0"/>
          <w:sz w:val="32"/>
          <w:szCs w:val="32"/>
          <w:highlight w:val="none"/>
          <w14:textFill>
            <w14:solidFill>
              <w14:schemeClr w14:val="tx1"/>
            </w14:solidFill>
          </w14:textFill>
        </w:rPr>
      </w:pPr>
      <w:bookmarkStart w:id="8" w:name="_Toc12566"/>
      <w:bookmarkStart w:id="9" w:name="_Toc25314"/>
      <w:r>
        <w:rPr>
          <w:rFonts w:hint="eastAsia" w:ascii="黑体" w:hAnsi="黑体" w:eastAsia="黑体" w:cs="宋体"/>
          <w:bCs/>
          <w:color w:val="000000" w:themeColor="text1"/>
          <w:kern w:val="0"/>
          <w:sz w:val="32"/>
          <w:szCs w:val="32"/>
          <w:highlight w:val="none"/>
          <w14:textFill>
            <w14:solidFill>
              <w14:schemeClr w14:val="tx1"/>
            </w14:solidFill>
          </w14:textFill>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_GB2312" w:eastAsia="仿宋_GB2312"/>
          <w:color w:val="000000" w:themeColor="text1"/>
          <w:spacing w:val="0"/>
          <w:sz w:val="32"/>
          <w:szCs w:val="32"/>
          <w:highlight w:val="none"/>
          <w:lang w:eastAsia="zh-CN"/>
          <w14:textFill>
            <w14:solidFill>
              <w14:schemeClr w14:val="tx1"/>
            </w14:solidFill>
          </w14:textFill>
        </w:rPr>
      </w:pPr>
      <w:r>
        <w:rPr>
          <w:rFonts w:hint="eastAsia" w:ascii="仿宋_GB2312" w:eastAsia="仿宋_GB2312"/>
          <w:b/>
          <w:bCs/>
          <w:color w:val="000000" w:themeColor="text1"/>
          <w:spacing w:val="0"/>
          <w:sz w:val="32"/>
          <w:szCs w:val="32"/>
          <w:highlight w:val="none"/>
          <w:lang w:eastAsia="zh-CN"/>
          <w14:textFill>
            <w14:solidFill>
              <w14:schemeClr w14:val="tx1"/>
            </w14:solidFill>
          </w14:textFill>
        </w:rPr>
        <w:t>2023年度</w:t>
      </w:r>
      <w:r>
        <w:rPr>
          <w:rFonts w:hint="eastAsia" w:ascii="仿宋_GB2312" w:eastAsia="仿宋_GB2312"/>
          <w:b/>
          <w:bCs/>
          <w:color w:val="000000" w:themeColor="text1"/>
          <w:spacing w:val="0"/>
          <w:sz w:val="32"/>
          <w:szCs w:val="32"/>
          <w:highlight w:val="none"/>
          <w:lang w:val="en-US" w:eastAsia="zh-CN"/>
          <w14:textFill>
            <w14:solidFill>
              <w14:schemeClr w14:val="tx1"/>
            </w14:solidFill>
          </w14:textFill>
        </w:rPr>
        <w:t>收入总计</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137.35万元</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其中：本年收入合计</w:t>
      </w:r>
      <w:r>
        <w:rPr>
          <w:rFonts w:hint="eastAsia" w:ascii="仿宋_GB2312" w:eastAsia="仿宋_GB2312"/>
          <w:color w:val="000000" w:themeColor="text1"/>
          <w:spacing w:val="0"/>
          <w:sz w:val="32"/>
          <w:szCs w:val="32"/>
          <w:highlight w:val="none"/>
          <w:lang w:eastAsia="zh-CN"/>
          <w14:textFill>
            <w14:solidFill>
              <w14:schemeClr w14:val="tx1"/>
            </w14:solidFill>
          </w14:textFill>
        </w:rPr>
        <w:t>137.35万元，使用非财政拨款结余0.00万元，年初结转和结余0.00万元。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_GB2312" w:eastAsia="仿宋_GB2312"/>
          <w:color w:val="000000" w:themeColor="text1"/>
          <w:spacing w:val="0"/>
          <w:sz w:val="32"/>
          <w:szCs w:val="32"/>
          <w:highlight w:val="none"/>
          <w:lang w:eastAsia="zh-CN"/>
          <w14:textFill>
            <w14:solidFill>
              <w14:schemeClr w14:val="tx1"/>
            </w14:solidFill>
          </w14:textFill>
        </w:rPr>
      </w:pPr>
      <w:r>
        <w:rPr>
          <w:rFonts w:hint="eastAsia" w:ascii="仿宋_GB2312" w:eastAsia="仿宋_GB2312"/>
          <w:b/>
          <w:bCs/>
          <w:color w:val="000000" w:themeColor="text1"/>
          <w:spacing w:val="0"/>
          <w:sz w:val="32"/>
          <w:szCs w:val="32"/>
          <w:highlight w:val="none"/>
          <w:lang w:val="en-US" w:eastAsia="zh-CN"/>
          <w14:textFill>
            <w14:solidFill>
              <w14:schemeClr w14:val="tx1"/>
            </w14:solidFill>
          </w14:textFill>
        </w:rPr>
        <w:t>2023</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年</w:t>
      </w:r>
      <w:r>
        <w:rPr>
          <w:rFonts w:hint="eastAsia" w:ascii="仿宋_GB2312" w:eastAsia="仿宋_GB2312"/>
          <w:b/>
          <w:bCs/>
          <w:color w:val="000000" w:themeColor="text1"/>
          <w:spacing w:val="0"/>
          <w:sz w:val="32"/>
          <w:szCs w:val="32"/>
          <w:highlight w:val="none"/>
          <w:lang w:val="en-US" w:eastAsia="zh-CN"/>
          <w14:textFill>
            <w14:solidFill>
              <w14:schemeClr w14:val="tx1"/>
            </w14:solidFill>
          </w14:textFill>
        </w:rPr>
        <w:t>度</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支出</w:t>
      </w:r>
      <w:r>
        <w:rPr>
          <w:rFonts w:hint="eastAsia" w:ascii="仿宋_GB2312" w:eastAsia="仿宋_GB2312"/>
          <w:b/>
          <w:bCs/>
          <w:color w:val="000000" w:themeColor="text1"/>
          <w:spacing w:val="0"/>
          <w:sz w:val="32"/>
          <w:szCs w:val="32"/>
          <w:highlight w:val="none"/>
          <w:lang w:val="en-US" w:eastAsia="zh-CN"/>
          <w14:textFill>
            <w14:solidFill>
              <w14:schemeClr w14:val="tx1"/>
            </w14:solidFill>
          </w14:textFill>
        </w:rPr>
        <w:t>总计</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137.35万元</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其中：本年支出合计</w:t>
      </w:r>
      <w:r>
        <w:rPr>
          <w:rFonts w:hint="eastAsia" w:ascii="仿宋_GB2312" w:eastAsia="仿宋_GB2312"/>
          <w:color w:val="000000" w:themeColor="text1"/>
          <w:spacing w:val="0"/>
          <w:sz w:val="32"/>
          <w:szCs w:val="32"/>
          <w:highlight w:val="none"/>
          <w:lang w:eastAsia="zh-CN"/>
          <w14:textFill>
            <w14:solidFill>
              <w14:schemeClr w14:val="tx1"/>
            </w14:solidFill>
          </w14:textFill>
        </w:rPr>
        <w:t>137.35万元，</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结余分配</w:t>
      </w:r>
      <w:r>
        <w:rPr>
          <w:rFonts w:hint="eastAsia" w:ascii="仿宋_GB2312" w:eastAsia="仿宋_GB2312"/>
          <w:color w:val="000000" w:themeColor="text1"/>
          <w:spacing w:val="0"/>
          <w:sz w:val="32"/>
          <w:szCs w:val="32"/>
          <w:highlight w:val="none"/>
          <w:lang w:eastAsia="zh-CN"/>
          <w14:textFill>
            <w14:solidFill>
              <w14:schemeClr w14:val="tx1"/>
            </w14:solidFill>
          </w14:textFill>
        </w:rPr>
        <w:t>0.00万元，年末结转和结余0.00万元。</w:t>
      </w:r>
    </w:p>
    <w:p>
      <w:pPr>
        <w:ind w:firstLine="642" w:firstLineChars="200"/>
        <w:rPr>
          <w:rFonts w:hint="eastAsia" w:ascii="仿宋_GB2312" w:eastAsia="仿宋_GB2312"/>
          <w:color w:val="000000" w:themeColor="text1"/>
          <w:spacing w:val="0"/>
          <w:sz w:val="32"/>
          <w:szCs w:val="32"/>
          <w:highlight w:val="none"/>
          <w:lang w:eastAsia="zh-CN"/>
          <w14:textFill>
            <w14:solidFill>
              <w14:schemeClr w14:val="tx1"/>
            </w14:solidFill>
          </w14:textFill>
        </w:rPr>
      </w:pPr>
      <w:r>
        <w:rPr>
          <w:rFonts w:hint="eastAsia" w:ascii="仿宋_GB2312" w:eastAsia="仿宋_GB2312"/>
          <w:b/>
          <w:bCs/>
          <w:color w:val="000000" w:themeColor="text1"/>
          <w:spacing w:val="0"/>
          <w:sz w:val="32"/>
          <w:szCs w:val="32"/>
          <w:highlight w:val="none"/>
          <w:lang w:val="en-US" w:eastAsia="zh-CN"/>
          <w14:textFill>
            <w14:solidFill>
              <w14:schemeClr w14:val="tx1"/>
            </w14:solidFill>
          </w14:textFill>
        </w:rPr>
        <w:t>收入支出总体与上年相比</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增加15.0</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4</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万元</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增长12.</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30</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w:t>
      </w:r>
      <w:r>
        <w:rPr>
          <w:rFonts w:hint="eastAsia" w:ascii="仿宋_GB2312" w:eastAsia="仿宋_GB2312"/>
          <w:color w:val="000000" w:themeColor="text1"/>
          <w:spacing w:val="0"/>
          <w:sz w:val="32"/>
          <w:szCs w:val="32"/>
          <w:highlight w:val="none"/>
          <w:lang w:eastAsia="zh-CN"/>
          <w14:textFill>
            <w14:solidFill>
              <w14:schemeClr w14:val="tx1"/>
            </w14:solidFill>
          </w14:textFill>
        </w:rPr>
        <w:t>，主要原因是：</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2023年在职人员住房公积金、</w:t>
      </w:r>
      <w:r>
        <w:rPr>
          <w:rFonts w:hint="eastAsia" w:ascii="仿宋_GB2312" w:eastAsia="仿宋_GB2312"/>
          <w:color w:val="000000" w:themeColor="text1"/>
          <w:spacing w:val="0"/>
          <w:sz w:val="32"/>
          <w:szCs w:val="32"/>
          <w:highlight w:val="none"/>
          <w:lang w:eastAsia="zh-CN"/>
          <w14:textFill>
            <w14:solidFill>
              <w14:schemeClr w14:val="tx1"/>
            </w14:solidFill>
          </w14:textFill>
        </w:rPr>
        <w:t>社保缴费基数增加，</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经费</w:t>
      </w:r>
      <w:r>
        <w:rPr>
          <w:rFonts w:hint="eastAsia" w:ascii="仿宋_GB2312" w:eastAsia="仿宋_GB2312"/>
          <w:color w:val="000000" w:themeColor="text1"/>
          <w:spacing w:val="0"/>
          <w:sz w:val="32"/>
          <w:szCs w:val="32"/>
          <w:highlight w:val="none"/>
          <w:lang w:eastAsia="zh-CN"/>
          <w14:textFill>
            <w14:solidFill>
              <w14:schemeClr w14:val="tx1"/>
            </w14:solidFill>
          </w14:textFill>
        </w:rPr>
        <w:t>增加。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000000" w:themeColor="text1"/>
          <w:kern w:val="0"/>
          <w:sz w:val="32"/>
          <w:szCs w:val="32"/>
          <w:highlight w:val="none"/>
          <w14:textFill>
            <w14:solidFill>
              <w14:schemeClr w14:val="tx1"/>
            </w14:solidFill>
          </w14:textFill>
        </w:rPr>
      </w:pPr>
      <w:bookmarkStart w:id="10" w:name="_Toc12142"/>
      <w:bookmarkStart w:id="11" w:name="_Toc1979"/>
      <w:r>
        <w:rPr>
          <w:rFonts w:hint="eastAsia" w:ascii="黑体" w:hAnsi="黑体" w:eastAsia="黑体" w:cs="宋体"/>
          <w:bCs/>
          <w:color w:val="000000" w:themeColor="text1"/>
          <w:kern w:val="0"/>
          <w:sz w:val="32"/>
          <w:szCs w:val="32"/>
          <w:highlight w:val="none"/>
          <w:lang w:eastAsia="zh-CN"/>
          <w14:textFill>
            <w14:solidFill>
              <w14:schemeClr w14:val="tx1"/>
            </w14:solidFill>
          </w14:textFill>
        </w:rPr>
        <w:t>二、</w:t>
      </w:r>
      <w:r>
        <w:rPr>
          <w:rFonts w:hint="eastAsia" w:ascii="黑体" w:hAnsi="黑体" w:eastAsia="黑体" w:cs="宋体"/>
          <w:bCs/>
          <w:color w:val="000000" w:themeColor="text1"/>
          <w:kern w:val="0"/>
          <w:sz w:val="32"/>
          <w:szCs w:val="32"/>
          <w:highlight w:val="none"/>
          <w14:textFill>
            <w14:solidFill>
              <w14:schemeClr w14:val="tx1"/>
            </w14:solidFill>
          </w14:textFill>
        </w:rPr>
        <w:t>收入</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决算</w:t>
      </w:r>
      <w:r>
        <w:rPr>
          <w:rFonts w:hint="eastAsia" w:ascii="黑体" w:hAnsi="黑体" w:eastAsia="黑体" w:cs="宋体"/>
          <w:bCs/>
          <w:color w:val="000000" w:themeColor="text1"/>
          <w:kern w:val="0"/>
          <w:sz w:val="32"/>
          <w:szCs w:val="32"/>
          <w:highlight w:val="none"/>
          <w14:textFill>
            <w14:solidFill>
              <w14:schemeClr w14:val="tx1"/>
            </w14:solidFill>
          </w14:textFill>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14:textFill>
            <w14:solidFill>
              <w14:schemeClr w14:val="tx1"/>
            </w14:solidFill>
          </w14:textFill>
        </w:rPr>
        <w:t>本年收入</w:t>
      </w:r>
      <w:r>
        <w:rPr>
          <w:rFonts w:hint="eastAsia" w:ascii="仿宋_GB2312" w:eastAsia="仿宋_GB2312"/>
          <w:b/>
          <w:bCs/>
          <w:color w:val="000000" w:themeColor="text1"/>
          <w:sz w:val="32"/>
          <w:szCs w:val="32"/>
          <w:highlight w:val="none"/>
          <w:lang w:eastAsia="zh-CN"/>
          <w14:textFill>
            <w14:solidFill>
              <w14:schemeClr w14:val="tx1"/>
            </w14:solidFill>
          </w14:textFill>
        </w:rPr>
        <w:t>137.35</w:t>
      </w:r>
      <w:r>
        <w:rPr>
          <w:rFonts w:hint="eastAsia" w:ascii="仿宋_GB2312" w:eastAsia="仿宋_GB2312"/>
          <w:b/>
          <w:bCs/>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14:textFill>
            <w14:solidFill>
              <w14:schemeClr w14:val="tx1"/>
            </w14:solidFill>
          </w14:textFill>
        </w:rPr>
        <w:t>，其中：财政拨款收入</w:t>
      </w:r>
      <w:r>
        <w:rPr>
          <w:rFonts w:hint="eastAsia" w:ascii="仿宋_GB2312" w:eastAsia="仿宋_GB2312"/>
          <w:color w:val="000000" w:themeColor="text1"/>
          <w:sz w:val="32"/>
          <w:szCs w:val="32"/>
          <w:highlight w:val="none"/>
          <w:lang w:val="zh-CN"/>
          <w14:textFill>
            <w14:solidFill>
              <w14:schemeClr w14:val="tx1"/>
            </w14:solidFill>
          </w14:textFill>
        </w:rPr>
        <w:t>137.35</w:t>
      </w:r>
      <w:r>
        <w:rPr>
          <w:rFonts w:hint="eastAsia" w:ascii="仿宋_GB2312" w:eastAsia="仿宋_GB2312"/>
          <w:color w:val="000000" w:themeColor="text1"/>
          <w:sz w:val="32"/>
          <w:szCs w:val="32"/>
          <w:highlight w:val="none"/>
          <w14:textFill>
            <w14:solidFill>
              <w14:schemeClr w14:val="tx1"/>
            </w14:solidFill>
          </w14:textFill>
        </w:rPr>
        <w:t>万元，占</w:t>
      </w:r>
      <w:r>
        <w:rPr>
          <w:rFonts w:hint="eastAsia" w:ascii="仿宋_GB2312" w:eastAsia="仿宋_GB2312"/>
          <w:color w:val="000000" w:themeColor="text1"/>
          <w:sz w:val="32"/>
          <w:szCs w:val="32"/>
          <w:highlight w:val="none"/>
          <w:lang w:val="zh-CN"/>
          <w14:textFill>
            <w14:solidFill>
              <w14:schemeClr w14:val="tx1"/>
            </w14:solidFill>
          </w14:textFill>
        </w:rPr>
        <w:t>100.00</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；上级补助收入</w:t>
      </w:r>
      <w:r>
        <w:rPr>
          <w:rFonts w:hint="eastAsia" w:ascii="仿宋_GB2312" w:eastAsia="仿宋_GB2312"/>
          <w:color w:val="000000" w:themeColor="text1"/>
          <w:sz w:val="32"/>
          <w:szCs w:val="32"/>
          <w:highlight w:val="none"/>
          <w:lang w:val="zh-CN"/>
          <w14:textFill>
            <w14:solidFill>
              <w14:schemeClr w14:val="tx1"/>
            </w14:solidFill>
          </w14:textFill>
        </w:rPr>
        <w:t>0.00</w:t>
      </w:r>
      <w:r>
        <w:rPr>
          <w:rFonts w:hint="eastAsia" w:ascii="仿宋_GB2312" w:eastAsia="仿宋_GB2312"/>
          <w:color w:val="000000" w:themeColor="text1"/>
          <w:sz w:val="32"/>
          <w:szCs w:val="32"/>
          <w:highlight w:val="none"/>
          <w14:textFill>
            <w14:solidFill>
              <w14:schemeClr w14:val="tx1"/>
            </w14:solidFill>
          </w14:textFill>
        </w:rPr>
        <w:t>万元，占</w:t>
      </w:r>
      <w:r>
        <w:rPr>
          <w:rFonts w:hint="eastAsia" w:ascii="仿宋_GB2312" w:eastAsia="仿宋_GB2312"/>
          <w:color w:val="000000" w:themeColor="text1"/>
          <w:sz w:val="32"/>
          <w:szCs w:val="32"/>
          <w:highlight w:val="none"/>
          <w:lang w:val="zh-CN"/>
          <w14:textFill>
            <w14:solidFill>
              <w14:schemeClr w14:val="tx1"/>
            </w14:solidFill>
          </w14:textFill>
        </w:rPr>
        <w:t>0.00</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；事业收入</w:t>
      </w:r>
      <w:r>
        <w:rPr>
          <w:rFonts w:hint="eastAsia" w:ascii="仿宋_GB2312" w:eastAsia="仿宋_GB2312"/>
          <w:color w:val="000000" w:themeColor="text1"/>
          <w:sz w:val="32"/>
          <w:szCs w:val="32"/>
          <w:highlight w:val="none"/>
          <w:lang w:val="zh-CN"/>
          <w14:textFill>
            <w14:solidFill>
              <w14:schemeClr w14:val="tx1"/>
            </w14:solidFill>
          </w14:textFill>
        </w:rPr>
        <w:t>0.00</w:t>
      </w:r>
      <w:r>
        <w:rPr>
          <w:rFonts w:hint="eastAsia" w:ascii="仿宋_GB2312" w:eastAsia="仿宋_GB2312"/>
          <w:color w:val="000000" w:themeColor="text1"/>
          <w:sz w:val="32"/>
          <w:szCs w:val="32"/>
          <w:highlight w:val="none"/>
          <w14:textFill>
            <w14:solidFill>
              <w14:schemeClr w14:val="tx1"/>
            </w14:solidFill>
          </w14:textFill>
        </w:rPr>
        <w:t>万元，占</w:t>
      </w:r>
      <w:r>
        <w:rPr>
          <w:rFonts w:hint="eastAsia" w:ascii="仿宋_GB2312" w:eastAsia="仿宋_GB2312"/>
          <w:color w:val="000000" w:themeColor="text1"/>
          <w:sz w:val="32"/>
          <w:szCs w:val="32"/>
          <w:highlight w:val="none"/>
          <w:lang w:val="zh-CN"/>
          <w14:textFill>
            <w14:solidFill>
              <w14:schemeClr w14:val="tx1"/>
            </w14:solidFill>
          </w14:textFill>
        </w:rPr>
        <w:t>0.00</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；经营收入</w:t>
      </w:r>
      <w:r>
        <w:rPr>
          <w:rFonts w:hint="eastAsia" w:ascii="仿宋_GB2312" w:eastAsia="仿宋_GB2312"/>
          <w:color w:val="000000" w:themeColor="text1"/>
          <w:sz w:val="32"/>
          <w:szCs w:val="32"/>
          <w:highlight w:val="none"/>
          <w:lang w:val="zh-CN"/>
          <w14:textFill>
            <w14:solidFill>
              <w14:schemeClr w14:val="tx1"/>
            </w14:solidFill>
          </w14:textFill>
        </w:rPr>
        <w:t>0.00</w:t>
      </w:r>
      <w:r>
        <w:rPr>
          <w:rFonts w:hint="eastAsia" w:ascii="仿宋_GB2312" w:eastAsia="仿宋_GB2312"/>
          <w:color w:val="000000" w:themeColor="text1"/>
          <w:sz w:val="32"/>
          <w:szCs w:val="32"/>
          <w:highlight w:val="none"/>
          <w14:textFill>
            <w14:solidFill>
              <w14:schemeClr w14:val="tx1"/>
            </w14:solidFill>
          </w14:textFill>
        </w:rPr>
        <w:t>万元，占</w:t>
      </w:r>
      <w:r>
        <w:rPr>
          <w:rFonts w:hint="eastAsia" w:ascii="仿宋_GB2312" w:eastAsia="仿宋_GB2312"/>
          <w:color w:val="000000" w:themeColor="text1"/>
          <w:sz w:val="32"/>
          <w:szCs w:val="32"/>
          <w:highlight w:val="none"/>
          <w:lang w:val="zh-CN"/>
          <w14:textFill>
            <w14:solidFill>
              <w14:schemeClr w14:val="tx1"/>
            </w14:solidFill>
          </w14:textFill>
        </w:rPr>
        <w:t>0.00</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附属单位上缴收入</w:t>
      </w:r>
      <w:r>
        <w:rPr>
          <w:rFonts w:hint="eastAsia" w:ascii="仿宋_GB2312" w:eastAsia="仿宋_GB2312"/>
          <w:color w:val="000000" w:themeColor="text1"/>
          <w:sz w:val="32"/>
          <w:szCs w:val="32"/>
          <w:highlight w:val="none"/>
          <w:lang w:val="zh-CN"/>
          <w14:textFill>
            <w14:solidFill>
              <w14:schemeClr w14:val="tx1"/>
            </w14:solidFill>
          </w14:textFill>
        </w:rPr>
        <w:t>0.00</w:t>
      </w:r>
      <w:r>
        <w:rPr>
          <w:rFonts w:hint="eastAsia" w:ascii="仿宋_GB2312" w:eastAsia="仿宋_GB2312"/>
          <w:color w:val="000000" w:themeColor="text1"/>
          <w:sz w:val="32"/>
          <w:szCs w:val="32"/>
          <w:highlight w:val="none"/>
          <w14:textFill>
            <w14:solidFill>
              <w14:schemeClr w14:val="tx1"/>
            </w14:solidFill>
          </w14:textFill>
        </w:rPr>
        <w:t>万元，占</w:t>
      </w:r>
      <w:r>
        <w:rPr>
          <w:rFonts w:hint="eastAsia" w:ascii="仿宋_GB2312" w:eastAsia="仿宋_GB2312"/>
          <w:color w:val="000000" w:themeColor="text1"/>
          <w:sz w:val="32"/>
          <w:szCs w:val="32"/>
          <w:highlight w:val="none"/>
          <w:lang w:val="zh-CN"/>
          <w14:textFill>
            <w14:solidFill>
              <w14:schemeClr w14:val="tx1"/>
            </w14:solidFill>
          </w14:textFill>
        </w:rPr>
        <w:t>0.00</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；其他收入</w:t>
      </w:r>
      <w:r>
        <w:rPr>
          <w:rFonts w:hint="eastAsia" w:ascii="仿宋_GB2312" w:eastAsia="仿宋_GB2312"/>
          <w:color w:val="000000" w:themeColor="text1"/>
          <w:sz w:val="32"/>
          <w:szCs w:val="32"/>
          <w:highlight w:val="none"/>
          <w:lang w:val="zh-CN"/>
          <w14:textFill>
            <w14:solidFill>
              <w14:schemeClr w14:val="tx1"/>
            </w14:solidFill>
          </w14:textFill>
        </w:rPr>
        <w:t>0.00</w:t>
      </w:r>
      <w:r>
        <w:rPr>
          <w:rFonts w:hint="eastAsia" w:ascii="仿宋_GB2312" w:eastAsia="仿宋_GB2312"/>
          <w:color w:val="000000" w:themeColor="text1"/>
          <w:sz w:val="32"/>
          <w:szCs w:val="32"/>
          <w:highlight w:val="none"/>
          <w14:textFill>
            <w14:solidFill>
              <w14:schemeClr w14:val="tx1"/>
            </w14:solidFill>
          </w14:textFill>
        </w:rPr>
        <w:t>万元，占</w:t>
      </w:r>
      <w:r>
        <w:rPr>
          <w:rFonts w:hint="eastAsia" w:ascii="仿宋_GB2312" w:eastAsia="仿宋_GB2312"/>
          <w:color w:val="000000" w:themeColor="text1"/>
          <w:sz w:val="32"/>
          <w:szCs w:val="32"/>
          <w:highlight w:val="none"/>
          <w:lang w:val="zh-CN"/>
          <w14:textFill>
            <w14:solidFill>
              <w14:schemeClr w14:val="tx1"/>
            </w14:solidFill>
          </w14:textFill>
        </w:rPr>
        <w:t>0.00</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bookmarkStart w:id="12" w:name="_Toc27961"/>
      <w:bookmarkStart w:id="13" w:name="_Toc13201"/>
      <w:r>
        <w:rPr>
          <w:rFonts w:hint="eastAsia" w:ascii="黑体" w:hAnsi="黑体" w:eastAsia="黑体" w:cs="宋体"/>
          <w:bCs/>
          <w:color w:val="000000" w:themeColor="text1"/>
          <w:kern w:val="0"/>
          <w:sz w:val="32"/>
          <w:szCs w:val="32"/>
          <w:highlight w:val="none"/>
          <w:lang w:eastAsia="zh-CN"/>
          <w14:textFill>
            <w14:solidFill>
              <w14:schemeClr w14:val="tx1"/>
            </w14:solidFill>
          </w14:textFill>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Times New Roman" w:hAnsi="Times New Roman" w:eastAsia="仿宋_GB2312" w:cs="仿宋_GB2312"/>
          <w:color w:val="000000" w:themeColor="text1"/>
          <w:sz w:val="30"/>
          <w:szCs w:val="30"/>
          <w:highlight w:val="none"/>
          <w:lang w:val="zh-CN"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zh-CN" w:eastAsia="zh-CN"/>
          <w14:textFill>
            <w14:solidFill>
              <w14:schemeClr w14:val="tx1"/>
            </w14:solidFill>
          </w14:textFill>
        </w:rPr>
        <w:t>本年支出137.35万元</w:t>
      </w:r>
      <w:r>
        <w:rPr>
          <w:rFonts w:hint="eastAsia" w:ascii="Times New Roman" w:hAnsi="Times New Roman" w:eastAsia="仿宋_GB2312" w:cs="仿宋_GB2312"/>
          <w:color w:val="000000" w:themeColor="text1"/>
          <w:sz w:val="32"/>
          <w:szCs w:val="32"/>
          <w:highlight w:val="none"/>
          <w:lang w:val="zh-CN" w:eastAsia="zh-CN"/>
          <w14:textFill>
            <w14:solidFill>
              <w14:schemeClr w14:val="tx1"/>
            </w14:solidFill>
          </w14:textFill>
        </w:rPr>
        <w:t>，其中：基本支出137.35万元，占100.00%；项目支出0.00万元，占0.00%；上缴上级支出0.00万元，占0.00%；经营支出0.00万元，占0.00%；对附属单位补助支出0.00万元，占0.00%。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bookmarkStart w:id="14" w:name="_Toc26564"/>
      <w:bookmarkStart w:id="15" w:name="_Toc4393"/>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eastAsia="仿宋_GB2312"/>
          <w:color w:val="000000" w:themeColor="text1"/>
          <w:spacing w:val="0"/>
          <w:sz w:val="32"/>
          <w:szCs w:val="32"/>
          <w:highlight w:val="none"/>
          <w:lang w:eastAsia="zh-CN"/>
          <w14:textFill>
            <w14:solidFill>
              <w14:schemeClr w14:val="tx1"/>
            </w14:solidFill>
          </w14:textFill>
        </w:rPr>
      </w:pPr>
      <w:r>
        <w:rPr>
          <w:rFonts w:hint="eastAsia" w:ascii="仿宋_GB2312" w:eastAsia="仿宋_GB2312"/>
          <w:b/>
          <w:bCs/>
          <w:color w:val="000000" w:themeColor="text1"/>
          <w:spacing w:val="0"/>
          <w:sz w:val="32"/>
          <w:szCs w:val="32"/>
          <w:highlight w:val="none"/>
          <w:lang w:eastAsia="zh-CN"/>
          <w14:textFill>
            <w14:solidFill>
              <w14:schemeClr w14:val="tx1"/>
            </w14:solidFill>
          </w14:textFill>
        </w:rPr>
        <w:t>2023年度财政拨款收入</w:t>
      </w:r>
      <w:r>
        <w:rPr>
          <w:rFonts w:hint="eastAsia" w:ascii="仿宋_GB2312" w:eastAsia="仿宋_GB2312"/>
          <w:b/>
          <w:bCs/>
          <w:color w:val="000000" w:themeColor="text1"/>
          <w:spacing w:val="0"/>
          <w:sz w:val="32"/>
          <w:szCs w:val="32"/>
          <w:highlight w:val="none"/>
          <w:lang w:val="en-US" w:eastAsia="zh-CN"/>
          <w14:textFill>
            <w14:solidFill>
              <w14:schemeClr w14:val="tx1"/>
            </w14:solidFill>
          </w14:textFill>
        </w:rPr>
        <w:t>总计</w:t>
      </w:r>
      <w:r>
        <w:rPr>
          <w:rFonts w:hint="eastAsia" w:ascii="仿宋_GB2312" w:eastAsia="仿宋_GB2312"/>
          <w:b/>
          <w:bCs/>
          <w:color w:val="000000" w:themeColor="text1"/>
          <w:spacing w:val="0"/>
          <w:sz w:val="32"/>
          <w:szCs w:val="32"/>
          <w:highlight w:val="none"/>
          <w:lang w:val="zh-CN" w:eastAsia="zh-CN"/>
          <w14:textFill>
            <w14:solidFill>
              <w14:schemeClr w14:val="tx1"/>
            </w14:solidFill>
          </w14:textFill>
        </w:rPr>
        <w:t>137.35</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万元</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其中：年初财政拨款结转和结余</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0.00</w:t>
      </w:r>
      <w:r>
        <w:rPr>
          <w:rFonts w:hint="eastAsia" w:ascii="仿宋_GB2312" w:eastAsia="仿宋_GB2312"/>
          <w:color w:val="000000" w:themeColor="text1"/>
          <w:spacing w:val="0"/>
          <w:sz w:val="32"/>
          <w:szCs w:val="32"/>
          <w:highlight w:val="none"/>
          <w:lang w:eastAsia="zh-CN"/>
          <w14:textFill>
            <w14:solidFill>
              <w14:schemeClr w14:val="tx1"/>
            </w14:solidFill>
          </w14:textFill>
        </w:rPr>
        <w:t>万元，</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本年财政拨款收入</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137.35</w:t>
      </w:r>
      <w:r>
        <w:rPr>
          <w:rFonts w:hint="eastAsia" w:ascii="仿宋_GB2312" w:eastAsia="仿宋_GB2312"/>
          <w:color w:val="000000" w:themeColor="text1"/>
          <w:spacing w:val="0"/>
          <w:sz w:val="32"/>
          <w:szCs w:val="32"/>
          <w:highlight w:val="none"/>
          <w:lang w:eastAsia="zh-CN"/>
          <w14:textFill>
            <w14:solidFill>
              <w14:schemeClr w14:val="tx1"/>
            </w14:solidFill>
          </w14:textFill>
        </w:rPr>
        <w:t>万元。</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财政拨款支出</w:t>
      </w:r>
      <w:r>
        <w:rPr>
          <w:rFonts w:hint="eastAsia" w:ascii="仿宋_GB2312" w:eastAsia="仿宋_GB2312"/>
          <w:b/>
          <w:bCs/>
          <w:color w:val="000000" w:themeColor="text1"/>
          <w:spacing w:val="0"/>
          <w:sz w:val="32"/>
          <w:szCs w:val="32"/>
          <w:highlight w:val="none"/>
          <w:lang w:val="en-US" w:eastAsia="zh-CN"/>
          <w14:textFill>
            <w14:solidFill>
              <w14:schemeClr w14:val="tx1"/>
            </w14:solidFill>
          </w14:textFill>
        </w:rPr>
        <w:t>总计</w:t>
      </w:r>
      <w:r>
        <w:rPr>
          <w:rFonts w:hint="eastAsia" w:ascii="仿宋_GB2312" w:eastAsia="仿宋_GB2312"/>
          <w:b/>
          <w:bCs/>
          <w:color w:val="000000" w:themeColor="text1"/>
          <w:spacing w:val="0"/>
          <w:sz w:val="32"/>
          <w:szCs w:val="32"/>
          <w:highlight w:val="none"/>
          <w:lang w:val="zh-CN" w:eastAsia="zh-CN"/>
          <w14:textFill>
            <w14:solidFill>
              <w14:schemeClr w14:val="tx1"/>
            </w14:solidFill>
          </w14:textFill>
        </w:rPr>
        <w:t>137.35</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万元</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其中：年末财政拨款结转和结余</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0.00</w:t>
      </w:r>
      <w:r>
        <w:rPr>
          <w:rFonts w:hint="eastAsia" w:ascii="仿宋_GB2312" w:eastAsia="仿宋_GB2312"/>
          <w:color w:val="000000" w:themeColor="text1"/>
          <w:spacing w:val="0"/>
          <w:sz w:val="32"/>
          <w:szCs w:val="32"/>
          <w:highlight w:val="none"/>
          <w:lang w:eastAsia="zh-CN"/>
          <w14:textFill>
            <w14:solidFill>
              <w14:schemeClr w14:val="tx1"/>
            </w14:solidFill>
          </w14:textFill>
        </w:rPr>
        <w:t>万元，</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本年财政拨款支出</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137.35</w:t>
      </w:r>
      <w:r>
        <w:rPr>
          <w:rFonts w:hint="eastAsia" w:ascii="仿宋_GB2312" w:eastAsia="仿宋_GB2312"/>
          <w:color w:val="000000" w:themeColor="text1"/>
          <w:spacing w:val="0"/>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eastAsia="仿宋_GB2312"/>
          <w:color w:val="000000" w:themeColor="text1"/>
          <w:spacing w:val="0"/>
          <w:sz w:val="32"/>
          <w:szCs w:val="32"/>
          <w:highlight w:val="none"/>
          <w:lang w:val="en-US" w:eastAsia="zh-CN"/>
          <w14:textFill>
            <w14:solidFill>
              <w14:schemeClr w14:val="tx1"/>
            </w14:solidFill>
          </w14:textFill>
        </w:rPr>
      </w:pPr>
      <w:r>
        <w:rPr>
          <w:rFonts w:hint="eastAsia" w:ascii="仿宋_GB2312" w:eastAsia="仿宋_GB2312"/>
          <w:b/>
          <w:bCs/>
          <w:color w:val="000000" w:themeColor="text1"/>
          <w:spacing w:val="0"/>
          <w:sz w:val="32"/>
          <w:szCs w:val="32"/>
          <w:highlight w:val="none"/>
          <w:lang w:eastAsia="zh-CN"/>
          <w14:textFill>
            <w14:solidFill>
              <w14:schemeClr w14:val="tx1"/>
            </w14:solidFill>
          </w14:textFill>
        </w:rPr>
        <w:t>财政拨款收入支出总体与上年相比</w:t>
      </w:r>
      <w:r>
        <w:rPr>
          <w:rFonts w:hint="eastAsia" w:ascii="仿宋_GB2312" w:eastAsia="仿宋_GB2312"/>
          <w:b/>
          <w:bCs/>
          <w:color w:val="000000" w:themeColor="text1"/>
          <w:spacing w:val="0"/>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lang w:val="zh-CN" w:eastAsia="zh-CN"/>
          <w14:textFill>
            <w14:solidFill>
              <w14:schemeClr w14:val="tx1"/>
            </w14:solidFill>
          </w14:textFill>
        </w:rPr>
        <w:t>增加15.0</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lang w:val="zh-CN" w:eastAsia="zh-CN"/>
          <w14:textFill>
            <w14:solidFill>
              <w14:schemeClr w14:val="tx1"/>
            </w14:solidFill>
          </w14:textFill>
        </w:rPr>
        <w:t>万元</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增长12.</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30</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w:t>
      </w:r>
      <w:r>
        <w:rPr>
          <w:rFonts w:hint="eastAsia" w:ascii="仿宋_GB2312" w:eastAsia="仿宋_GB2312"/>
          <w:color w:val="000000" w:themeColor="text1"/>
          <w:spacing w:val="0"/>
          <w:sz w:val="32"/>
          <w:szCs w:val="32"/>
          <w:highlight w:val="none"/>
          <w:lang w:eastAsia="zh-CN"/>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2023年</w:t>
      </w:r>
      <w:r>
        <w:rPr>
          <w:rFonts w:hint="eastAsia" w:ascii="仿宋_GB2312" w:eastAsia="仿宋_GB2312"/>
          <w:color w:val="000000" w:themeColor="text1"/>
          <w:sz w:val="32"/>
          <w:szCs w:val="32"/>
          <w:lang w:eastAsia="zh-CN"/>
          <w14:textFill>
            <w14:solidFill>
              <w14:schemeClr w14:val="tx1"/>
            </w14:solidFill>
          </w14:textFill>
        </w:rPr>
        <w:t>在职</w:t>
      </w:r>
      <w:r>
        <w:rPr>
          <w:rFonts w:hint="eastAsia" w:ascii="仿宋_GB2312" w:eastAsia="仿宋_GB2312"/>
          <w:color w:val="000000" w:themeColor="text1"/>
          <w:sz w:val="32"/>
          <w:szCs w:val="32"/>
          <w14:textFill>
            <w14:solidFill>
              <w14:schemeClr w14:val="tx1"/>
            </w14:solidFill>
          </w14:textFill>
        </w:rPr>
        <w:t>人员</w:t>
      </w:r>
      <w:r>
        <w:rPr>
          <w:rFonts w:hint="eastAsia" w:ascii="仿宋_GB2312" w:eastAsia="仿宋_GB2312"/>
          <w:color w:val="000000" w:themeColor="text1"/>
          <w:sz w:val="32"/>
          <w:szCs w:val="32"/>
          <w:lang w:eastAsia="zh-CN"/>
          <w14:textFill>
            <w14:solidFill>
              <w14:schemeClr w14:val="tx1"/>
            </w14:solidFill>
          </w14:textFill>
        </w:rPr>
        <w:t>社保等缴费基数增加，收入支出增加</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与年初预算相比</w:t>
      </w:r>
      <w:r>
        <w:rPr>
          <w:rFonts w:hint="eastAsia" w:ascii="仿宋_GB2312" w:eastAsia="仿宋_GB2312"/>
          <w:color w:val="000000" w:themeColor="text1"/>
          <w:spacing w:val="0"/>
          <w:sz w:val="32"/>
          <w:szCs w:val="32"/>
          <w:highlight w:val="none"/>
          <w:lang w:eastAsia="zh-CN"/>
          <w14:textFill>
            <w14:solidFill>
              <w14:schemeClr w14:val="tx1"/>
            </w14:solidFill>
          </w14:textFill>
        </w:rPr>
        <w:t>，年初预算数</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122.12</w:t>
      </w:r>
      <w:r>
        <w:rPr>
          <w:rFonts w:hint="eastAsia" w:ascii="仿宋_GB2312" w:eastAsia="仿宋_GB2312"/>
          <w:color w:val="000000" w:themeColor="text1"/>
          <w:spacing w:val="0"/>
          <w:sz w:val="32"/>
          <w:szCs w:val="32"/>
          <w:highlight w:val="none"/>
          <w:lang w:eastAsia="zh-CN"/>
          <w14:textFill>
            <w14:solidFill>
              <w14:schemeClr w14:val="tx1"/>
            </w14:solidFill>
          </w14:textFill>
        </w:rPr>
        <w:t>万元，决算数</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137.35</w:t>
      </w:r>
      <w:r>
        <w:rPr>
          <w:rFonts w:hint="eastAsia" w:ascii="仿宋_GB2312" w:eastAsia="仿宋_GB2312"/>
          <w:color w:val="000000" w:themeColor="text1"/>
          <w:spacing w:val="0"/>
          <w:sz w:val="32"/>
          <w:szCs w:val="32"/>
          <w:highlight w:val="none"/>
          <w:lang w:eastAsia="zh-CN"/>
          <w14:textFill>
            <w14:solidFill>
              <w14:schemeClr w14:val="tx1"/>
            </w14:solidFill>
          </w14:textFill>
        </w:rPr>
        <w:t>万元，预决算差异率12.47%，主要原因是：</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2023年在职人员住房公积金、</w:t>
      </w:r>
      <w:r>
        <w:rPr>
          <w:rFonts w:hint="eastAsia" w:ascii="仿宋_GB2312" w:eastAsia="仿宋_GB2312"/>
          <w:color w:val="000000" w:themeColor="text1"/>
          <w:spacing w:val="0"/>
          <w:sz w:val="32"/>
          <w:szCs w:val="32"/>
          <w:highlight w:val="none"/>
          <w:lang w:eastAsia="zh-CN"/>
          <w14:textFill>
            <w14:solidFill>
              <w14:schemeClr w14:val="tx1"/>
            </w14:solidFill>
          </w14:textFill>
        </w:rPr>
        <w:t>社保缴费基数增加，</w:t>
      </w:r>
      <w:r>
        <w:rPr>
          <w:rFonts w:hint="eastAsia" w:ascii="仿宋_GB2312" w:eastAsia="仿宋_GB2312"/>
          <w:color w:val="000000" w:themeColor="text1"/>
          <w:sz w:val="32"/>
          <w:szCs w:val="32"/>
          <w14:textFill>
            <w14:solidFill>
              <w14:schemeClr w14:val="tx1"/>
            </w14:solidFill>
          </w14:textFill>
        </w:rPr>
        <w:t>决算数比年初预算数增加</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bookmarkStart w:id="16" w:name="_Toc13833"/>
      <w:bookmarkStart w:id="17" w:name="_Toc20360"/>
      <w:r>
        <w:rPr>
          <w:rFonts w:hint="eastAsia" w:ascii="黑体" w:hAnsi="黑体" w:eastAsia="黑体" w:cs="宋体"/>
          <w:bCs/>
          <w:color w:val="000000" w:themeColor="text1"/>
          <w:kern w:val="0"/>
          <w:sz w:val="32"/>
          <w:szCs w:val="32"/>
          <w:highlight w:val="none"/>
          <w:lang w:eastAsia="zh-CN"/>
          <w14:textFill>
            <w14:solidFill>
              <w14:schemeClr w14:val="tx1"/>
            </w14:solidFill>
          </w14:textFill>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仿宋_GB2312" w:eastAsia="仿宋_GB2312"/>
          <w:color w:val="000000" w:themeColor="text1"/>
          <w:spacing w:val="0"/>
          <w:sz w:val="32"/>
          <w:szCs w:val="32"/>
          <w:highlight w:val="none"/>
          <w:lang w:val="en-US" w:eastAsia="zh-CN"/>
          <w14:textFill>
            <w14:solidFill>
              <w14:schemeClr w14:val="tx1"/>
            </w14:solidFill>
          </w14:textFill>
        </w:rPr>
      </w:pPr>
      <w:r>
        <w:rPr>
          <w:rFonts w:hint="eastAsia" w:ascii="仿宋_GB2312" w:eastAsia="仿宋_GB2312"/>
          <w:b/>
          <w:bCs/>
          <w:color w:val="000000" w:themeColor="text1"/>
          <w:spacing w:val="0"/>
          <w:sz w:val="32"/>
          <w:szCs w:val="32"/>
          <w:highlight w:val="none"/>
          <w:lang w:eastAsia="zh-CN"/>
          <w14:textFill>
            <w14:solidFill>
              <w14:schemeClr w14:val="tx1"/>
            </w14:solidFill>
          </w14:textFill>
        </w:rPr>
        <w:t>2023年度一般公共预算财政拨款支出137.35万元</w:t>
      </w:r>
      <w:r>
        <w:rPr>
          <w:rFonts w:hint="eastAsia" w:ascii="仿宋_GB2312" w:eastAsia="仿宋_GB2312"/>
          <w:color w:val="000000" w:themeColor="text1"/>
          <w:spacing w:val="0"/>
          <w:sz w:val="32"/>
          <w:szCs w:val="32"/>
          <w:highlight w:val="none"/>
          <w:lang w:eastAsia="zh-CN"/>
          <w14:textFill>
            <w14:solidFill>
              <w14:schemeClr w14:val="tx1"/>
            </w14:solidFill>
          </w14:textFill>
        </w:rPr>
        <w:t>，占本年支出合计的</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100.00%</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与上年相比</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增加15.0</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4</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万元</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增长12.</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30</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w:t>
      </w:r>
      <w:r>
        <w:rPr>
          <w:rFonts w:hint="eastAsia" w:ascii="仿宋_GB2312" w:eastAsia="仿宋_GB2312"/>
          <w:color w:val="000000" w:themeColor="text1"/>
          <w:spacing w:val="0"/>
          <w:sz w:val="32"/>
          <w:szCs w:val="32"/>
          <w:highlight w:val="none"/>
          <w:lang w:eastAsia="zh-CN"/>
          <w14:textFill>
            <w14:solidFill>
              <w14:schemeClr w14:val="tx1"/>
            </w14:solidFill>
          </w14:textFill>
        </w:rPr>
        <w:t>主要原因是：</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2023年在职人员住房公积金、</w:t>
      </w:r>
      <w:r>
        <w:rPr>
          <w:rFonts w:hint="eastAsia" w:ascii="仿宋_GB2312" w:eastAsia="仿宋_GB2312"/>
          <w:color w:val="000000" w:themeColor="text1"/>
          <w:spacing w:val="0"/>
          <w:sz w:val="32"/>
          <w:szCs w:val="32"/>
          <w:highlight w:val="none"/>
          <w:lang w:eastAsia="zh-CN"/>
          <w14:textFill>
            <w14:solidFill>
              <w14:schemeClr w14:val="tx1"/>
            </w14:solidFill>
          </w14:textFill>
        </w:rPr>
        <w:t>社保缴费基数增加，</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经费</w:t>
      </w:r>
      <w:r>
        <w:rPr>
          <w:rFonts w:hint="eastAsia" w:ascii="仿宋_GB2312" w:eastAsia="仿宋_GB2312"/>
          <w:color w:val="000000" w:themeColor="text1"/>
          <w:spacing w:val="0"/>
          <w:sz w:val="32"/>
          <w:szCs w:val="32"/>
          <w:highlight w:val="none"/>
          <w:lang w:eastAsia="zh-CN"/>
          <w14:textFill>
            <w14:solidFill>
              <w14:schemeClr w14:val="tx1"/>
            </w14:solidFill>
          </w14:textFill>
        </w:rPr>
        <w:t>增加。</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与年初预算相比</w:t>
      </w:r>
      <w:r>
        <w:rPr>
          <w:rFonts w:hint="eastAsia" w:ascii="仿宋_GB2312" w:eastAsia="仿宋_GB2312"/>
          <w:color w:val="000000" w:themeColor="text1"/>
          <w:spacing w:val="0"/>
          <w:sz w:val="32"/>
          <w:szCs w:val="32"/>
          <w:highlight w:val="none"/>
          <w:lang w:eastAsia="zh-CN"/>
          <w14:textFill>
            <w14:solidFill>
              <w14:schemeClr w14:val="tx1"/>
            </w14:solidFill>
          </w14:textFill>
        </w:rPr>
        <w:t>，年初预算数</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122.12</w:t>
      </w:r>
      <w:r>
        <w:rPr>
          <w:rFonts w:hint="eastAsia" w:ascii="仿宋_GB2312" w:eastAsia="仿宋_GB2312"/>
          <w:color w:val="000000" w:themeColor="text1"/>
          <w:spacing w:val="0"/>
          <w:sz w:val="32"/>
          <w:szCs w:val="32"/>
          <w:highlight w:val="none"/>
          <w:lang w:eastAsia="zh-CN"/>
          <w14:textFill>
            <w14:solidFill>
              <w14:schemeClr w14:val="tx1"/>
            </w14:solidFill>
          </w14:textFill>
        </w:rPr>
        <w:t>万元，决算数</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137.35</w:t>
      </w:r>
      <w:r>
        <w:rPr>
          <w:rFonts w:hint="eastAsia" w:ascii="仿宋_GB2312" w:eastAsia="仿宋_GB2312"/>
          <w:color w:val="000000" w:themeColor="text1"/>
          <w:spacing w:val="0"/>
          <w:sz w:val="32"/>
          <w:szCs w:val="32"/>
          <w:highlight w:val="none"/>
          <w:lang w:eastAsia="zh-CN"/>
          <w14:textFill>
            <w14:solidFill>
              <w14:schemeClr w14:val="tx1"/>
            </w14:solidFill>
          </w14:textFill>
        </w:rPr>
        <w:t>万元，预决算差异率</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12.47%</w:t>
      </w:r>
      <w:r>
        <w:rPr>
          <w:rFonts w:hint="eastAsia" w:ascii="仿宋_GB2312" w:eastAsia="仿宋_GB2312"/>
          <w:color w:val="000000" w:themeColor="text1"/>
          <w:spacing w:val="0"/>
          <w:sz w:val="32"/>
          <w:szCs w:val="32"/>
          <w:highlight w:val="none"/>
          <w:lang w:eastAsia="zh-CN"/>
          <w14:textFill>
            <w14:solidFill>
              <w14:schemeClr w14:val="tx1"/>
            </w14:solidFill>
          </w14:textFill>
        </w:rPr>
        <w:t>，主要原因是：</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2023年在职人员住房公积金、</w:t>
      </w:r>
      <w:r>
        <w:rPr>
          <w:rFonts w:hint="eastAsia" w:ascii="仿宋_GB2312" w:eastAsia="仿宋_GB2312"/>
          <w:color w:val="000000" w:themeColor="text1"/>
          <w:spacing w:val="0"/>
          <w:sz w:val="32"/>
          <w:szCs w:val="32"/>
          <w:highlight w:val="none"/>
          <w:lang w:eastAsia="zh-CN"/>
          <w14:textFill>
            <w14:solidFill>
              <w14:schemeClr w14:val="tx1"/>
            </w14:solidFill>
          </w14:textFill>
        </w:rPr>
        <w:t>社保缴费基数增加，</w:t>
      </w:r>
      <w:r>
        <w:rPr>
          <w:rFonts w:hint="eastAsia" w:ascii="仿宋_GB2312" w:eastAsia="仿宋_GB2312"/>
          <w:color w:val="000000" w:themeColor="text1"/>
          <w:sz w:val="32"/>
          <w:szCs w:val="32"/>
          <w14:textFill>
            <w14:solidFill>
              <w14:schemeClr w14:val="tx1"/>
            </w14:solidFill>
          </w14:textFill>
        </w:rPr>
        <w:t>决算数比年初预算数增加</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一般公共预算</w:t>
      </w:r>
      <w:r>
        <w:rPr>
          <w:rFonts w:hint="eastAsia" w:ascii="黑体" w:hAnsi="黑体" w:eastAsia="黑体"/>
          <w:color w:val="000000" w:themeColor="text1"/>
          <w:sz w:val="32"/>
          <w:szCs w:val="32"/>
          <w:highlight w:val="none"/>
          <w:lang w:val="en-US" w:eastAsia="zh-CN"/>
          <w14:textFill>
            <w14:solidFill>
              <w14:schemeClr w14:val="tx1"/>
            </w14:solidFill>
          </w14:textFill>
        </w:rPr>
        <w:t>财政拨款支出决算</w:t>
      </w:r>
      <w:r>
        <w:rPr>
          <w:rFonts w:hint="eastAsia" w:ascii="黑体" w:hAnsi="黑体" w:eastAsia="黑体"/>
          <w:color w:val="000000" w:themeColor="text1"/>
          <w:sz w:val="32"/>
          <w:szCs w:val="32"/>
          <w:highlight w:val="none"/>
          <w:lang w:eastAsia="zh-CN"/>
          <w14:textFill>
            <w14:solidFill>
              <w14:schemeClr w14:val="tx1"/>
            </w14:solidFill>
          </w14:textFill>
        </w:rPr>
        <w:t>结构情况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color w:val="000000" w:themeColor="text1"/>
          <w:spacing w:val="0"/>
          <w:kern w:val="2"/>
          <w:sz w:val="32"/>
          <w:szCs w:val="32"/>
          <w:highlight w:val="none"/>
          <w:lang w:val="zh-CN" w:eastAsia="zh-CN" w:bidi="ar-SA"/>
          <w14:textFill>
            <w14:solidFill>
              <w14:schemeClr w14:val="tx1"/>
            </w14:solidFill>
          </w14:textFill>
        </w:rPr>
      </w:pPr>
      <w:r>
        <w:rPr>
          <w:rFonts w:hint="eastAsia" w:ascii="仿宋_GB2312" w:eastAsia="仿宋_GB2312" w:cs="Times New Roman"/>
          <w:color w:val="000000" w:themeColor="text1"/>
          <w:spacing w:val="0"/>
          <w:kern w:val="2"/>
          <w:sz w:val="32"/>
          <w:szCs w:val="32"/>
          <w:lang w:val="en-US" w:eastAsia="zh-CN" w:bidi="ar-SA"/>
          <w14:textFill>
            <w14:solidFill>
              <w14:schemeClr w14:val="tx1"/>
            </w14:solidFill>
          </w14:textFill>
        </w:rPr>
        <w:t>1</w:t>
      </w:r>
      <w:r>
        <w:rPr>
          <w:rFonts w:hint="default" w:ascii="仿宋_GB2312" w:hAnsi="Times New Roman" w:eastAsia="仿宋_GB2312" w:cs="Times New Roman"/>
          <w:color w:val="000000" w:themeColor="text1"/>
          <w:spacing w:val="0"/>
          <w:kern w:val="2"/>
          <w:sz w:val="32"/>
          <w:szCs w:val="32"/>
          <w:lang w:val="zh-CN" w:eastAsia="zh-CN" w:bidi="ar-SA"/>
          <w14:textFill>
            <w14:solidFill>
              <w14:schemeClr w14:val="tx1"/>
            </w14:solidFill>
          </w14:textFill>
        </w:rPr>
        <w:t>.</w:t>
      </w:r>
      <w:r>
        <w:rPr>
          <w:rFonts w:hint="default" w:ascii="仿宋_GB2312" w:hAnsi="Times New Roman" w:eastAsia="仿宋_GB2312" w:cs="Times New Roman"/>
          <w:color w:val="000000" w:themeColor="text1"/>
          <w:spacing w:val="0"/>
          <w:kern w:val="2"/>
          <w:sz w:val="32"/>
          <w:szCs w:val="32"/>
          <w:highlight w:val="none"/>
          <w:lang w:val="zh-CN" w:eastAsia="zh-CN" w:bidi="ar-SA"/>
          <w14:textFill>
            <w14:solidFill>
              <w14:schemeClr w14:val="tx1"/>
            </w14:solidFill>
          </w14:textFill>
        </w:rPr>
        <w:t>社会保障和就业支出（类）</w:t>
      </w:r>
      <w:r>
        <w:rPr>
          <w:rFonts w:hint="eastAsia" w:ascii="仿宋_GB2312" w:hAnsi="Times New Roman" w:eastAsia="仿宋_GB2312" w:cs="Times New Roman"/>
          <w:color w:val="000000" w:themeColor="text1"/>
          <w:spacing w:val="0"/>
          <w:kern w:val="2"/>
          <w:sz w:val="32"/>
          <w:szCs w:val="32"/>
          <w:highlight w:val="none"/>
          <w:lang w:val="zh-CN" w:eastAsia="zh-CN" w:bidi="ar-SA"/>
          <w14:textFill>
            <w14:solidFill>
              <w14:schemeClr w14:val="tx1"/>
            </w14:solidFill>
          </w14:textFill>
        </w:rPr>
        <w:t>116.75</w:t>
      </w:r>
      <w:r>
        <w:rPr>
          <w:rFonts w:hint="default" w:ascii="仿宋_GB2312" w:hAnsi="Times New Roman" w:eastAsia="仿宋_GB2312" w:cs="Times New Roman"/>
          <w:color w:val="000000" w:themeColor="text1"/>
          <w:spacing w:val="0"/>
          <w:kern w:val="2"/>
          <w:sz w:val="32"/>
          <w:szCs w:val="32"/>
          <w:highlight w:val="none"/>
          <w:lang w:val="zh-CN" w:eastAsia="zh-CN" w:bidi="ar-SA"/>
          <w14:textFill>
            <w14:solidFill>
              <w14:schemeClr w14:val="tx1"/>
            </w14:solidFill>
          </w14:textFill>
        </w:rPr>
        <w:t>万元，占</w:t>
      </w:r>
      <w:r>
        <w:rPr>
          <w:rFonts w:hint="eastAsia" w:ascii="仿宋_GB2312" w:hAnsi="Times New Roman" w:eastAsia="仿宋_GB2312" w:cs="Times New Roman"/>
          <w:color w:val="000000" w:themeColor="text1"/>
          <w:spacing w:val="0"/>
          <w:kern w:val="2"/>
          <w:sz w:val="32"/>
          <w:szCs w:val="32"/>
          <w:highlight w:val="none"/>
          <w:lang w:val="zh-CN" w:eastAsia="zh-CN" w:bidi="ar-SA"/>
          <w14:textFill>
            <w14:solidFill>
              <w14:schemeClr w14:val="tx1"/>
            </w14:solidFill>
          </w14:textFill>
        </w:rPr>
        <w:t>85.00</w:t>
      </w:r>
      <w:r>
        <w:rPr>
          <w:rFonts w:hint="default" w:ascii="仿宋_GB2312" w:hAnsi="Times New Roman" w:eastAsia="仿宋_GB2312" w:cs="Times New Roman"/>
          <w:color w:val="000000" w:themeColor="text1"/>
          <w:spacing w:val="0"/>
          <w:kern w:val="2"/>
          <w:sz w:val="32"/>
          <w:szCs w:val="32"/>
          <w:highlight w:val="none"/>
          <w:lang w:val="zh-CN" w:eastAsia="zh-CN" w:bidi="ar-SA"/>
          <w14:textFill>
            <w14:solidFill>
              <w14:schemeClr w14:val="tx1"/>
            </w14:solidFill>
          </w14:textFill>
        </w:rPr>
        <w:t>%</w:t>
      </w:r>
      <w:r>
        <w:rPr>
          <w:rFonts w:hint="eastAsia" w:ascii="仿宋_GB2312" w:eastAsia="仿宋_GB2312" w:cs="Times New Roman"/>
          <w:color w:val="000000" w:themeColor="text1"/>
          <w:spacing w:val="0"/>
          <w:kern w:val="2"/>
          <w:sz w:val="32"/>
          <w:szCs w:val="32"/>
          <w:highlight w:val="none"/>
          <w:lang w:val="zh-CN" w:eastAsia="zh-CN" w:bidi="ar-SA"/>
          <w14:textFill>
            <w14:solidFill>
              <w14:schemeClr w14:val="tx1"/>
            </w14:solidFill>
          </w14:textFill>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color w:val="000000" w:themeColor="text1"/>
          <w:spacing w:val="0"/>
          <w:kern w:val="2"/>
          <w:sz w:val="32"/>
          <w:szCs w:val="32"/>
          <w:lang w:val="zh-CN" w:eastAsia="zh-CN" w:bidi="ar-SA"/>
          <w14:textFill>
            <w14:solidFill>
              <w14:schemeClr w14:val="tx1"/>
            </w14:solidFill>
          </w14:textFill>
        </w:rPr>
      </w:pPr>
      <w:r>
        <w:rPr>
          <w:rFonts w:hint="eastAsia" w:ascii="仿宋_GB2312" w:eastAsia="仿宋_GB2312" w:cs="Times New Roman"/>
          <w:color w:val="000000" w:themeColor="text1"/>
          <w:spacing w:val="0"/>
          <w:kern w:val="2"/>
          <w:sz w:val="32"/>
          <w:szCs w:val="32"/>
          <w:lang w:val="en-US" w:eastAsia="zh-CN" w:bidi="ar-SA"/>
          <w14:textFill>
            <w14:solidFill>
              <w14:schemeClr w14:val="tx1"/>
            </w14:solidFill>
          </w14:textFill>
        </w:rPr>
        <w:t>2</w:t>
      </w:r>
      <w:r>
        <w:rPr>
          <w:rFonts w:hint="default" w:ascii="仿宋_GB2312" w:hAnsi="Times New Roman" w:eastAsia="仿宋_GB2312" w:cs="Times New Roman"/>
          <w:color w:val="000000" w:themeColor="text1"/>
          <w:spacing w:val="0"/>
          <w:kern w:val="2"/>
          <w:sz w:val="32"/>
          <w:szCs w:val="32"/>
          <w:lang w:val="zh-CN" w:eastAsia="zh-CN" w:bidi="ar-SA"/>
          <w14:textFill>
            <w14:solidFill>
              <w14:schemeClr w14:val="tx1"/>
            </w14:solidFill>
          </w14:textFill>
        </w:rPr>
        <w:t>.</w:t>
      </w:r>
      <w:r>
        <w:rPr>
          <w:rFonts w:hint="default" w:ascii="仿宋_GB2312" w:hAnsi="Times New Roman" w:eastAsia="仿宋_GB2312" w:cs="Times New Roman"/>
          <w:color w:val="000000" w:themeColor="text1"/>
          <w:spacing w:val="0"/>
          <w:kern w:val="2"/>
          <w:sz w:val="32"/>
          <w:szCs w:val="32"/>
          <w:highlight w:val="none"/>
          <w:lang w:val="zh-CN" w:eastAsia="zh-CN" w:bidi="ar-SA"/>
          <w14:textFill>
            <w14:solidFill>
              <w14:schemeClr w14:val="tx1"/>
            </w14:solidFill>
          </w14:textFill>
        </w:rPr>
        <w:t>卫生健康支出（类）</w:t>
      </w:r>
      <w:r>
        <w:rPr>
          <w:rFonts w:hint="eastAsia" w:ascii="仿宋_GB2312" w:hAnsi="Times New Roman" w:eastAsia="仿宋_GB2312" w:cs="Times New Roman"/>
          <w:color w:val="000000" w:themeColor="text1"/>
          <w:spacing w:val="0"/>
          <w:kern w:val="2"/>
          <w:sz w:val="32"/>
          <w:szCs w:val="32"/>
          <w:highlight w:val="none"/>
          <w:lang w:val="zh-CN" w:eastAsia="zh-CN" w:bidi="ar-SA"/>
          <w14:textFill>
            <w14:solidFill>
              <w14:schemeClr w14:val="tx1"/>
            </w14:solidFill>
          </w14:textFill>
        </w:rPr>
        <w:t>11.27</w:t>
      </w:r>
      <w:r>
        <w:rPr>
          <w:rFonts w:hint="default" w:ascii="仿宋_GB2312" w:hAnsi="Times New Roman" w:eastAsia="仿宋_GB2312" w:cs="Times New Roman"/>
          <w:color w:val="000000" w:themeColor="text1"/>
          <w:spacing w:val="0"/>
          <w:kern w:val="2"/>
          <w:sz w:val="32"/>
          <w:szCs w:val="32"/>
          <w:highlight w:val="none"/>
          <w:lang w:val="zh-CN" w:eastAsia="zh-CN" w:bidi="ar-SA"/>
          <w14:textFill>
            <w14:solidFill>
              <w14:schemeClr w14:val="tx1"/>
            </w14:solidFill>
          </w14:textFill>
        </w:rPr>
        <w:t>万元，占</w:t>
      </w:r>
      <w:r>
        <w:rPr>
          <w:rFonts w:hint="eastAsia" w:ascii="仿宋_GB2312" w:hAnsi="Times New Roman" w:eastAsia="仿宋_GB2312" w:cs="Times New Roman"/>
          <w:color w:val="000000" w:themeColor="text1"/>
          <w:spacing w:val="0"/>
          <w:kern w:val="2"/>
          <w:sz w:val="32"/>
          <w:szCs w:val="32"/>
          <w:highlight w:val="none"/>
          <w:lang w:val="zh-CN" w:eastAsia="zh-CN" w:bidi="ar-SA"/>
          <w14:textFill>
            <w14:solidFill>
              <w14:schemeClr w14:val="tx1"/>
            </w14:solidFill>
          </w14:textFill>
        </w:rPr>
        <w:t>8.21</w:t>
      </w:r>
      <w:r>
        <w:rPr>
          <w:rFonts w:hint="default" w:ascii="仿宋_GB2312" w:hAnsi="Times New Roman" w:eastAsia="仿宋_GB2312" w:cs="Times New Roman"/>
          <w:color w:val="000000" w:themeColor="text1"/>
          <w:spacing w:val="0"/>
          <w:kern w:val="2"/>
          <w:sz w:val="32"/>
          <w:szCs w:val="32"/>
          <w:highlight w:val="none"/>
          <w:lang w:val="zh-CN" w:eastAsia="zh-CN" w:bidi="ar-SA"/>
          <w14:textFill>
            <w14:solidFill>
              <w14:schemeClr w14:val="tx1"/>
            </w14:solidFill>
          </w14:textFill>
        </w:rPr>
        <w:t>%</w:t>
      </w:r>
      <w:r>
        <w:rPr>
          <w:rFonts w:hint="eastAsia" w:ascii="仿宋_GB2312" w:eastAsia="仿宋_GB2312" w:cs="Times New Roman"/>
          <w:color w:val="000000" w:themeColor="text1"/>
          <w:spacing w:val="0"/>
          <w:kern w:val="2"/>
          <w:sz w:val="32"/>
          <w:szCs w:val="32"/>
          <w:highlight w:val="none"/>
          <w:lang w:val="zh-CN" w:eastAsia="zh-CN" w:bidi="ar-SA"/>
          <w14:textFill>
            <w14:solidFill>
              <w14:schemeClr w14:val="tx1"/>
            </w14:solidFill>
          </w14:textFill>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仿宋_GB2312" w:eastAsia="仿宋_GB2312" w:cs="Times New Roman"/>
          <w:color w:val="000000" w:themeColor="text1"/>
          <w:spacing w:val="0"/>
          <w:kern w:val="2"/>
          <w:sz w:val="32"/>
          <w:szCs w:val="32"/>
          <w:lang w:val="en-US" w:eastAsia="zh-CN" w:bidi="ar-SA"/>
          <w14:textFill>
            <w14:solidFill>
              <w14:schemeClr w14:val="tx1"/>
            </w14:solidFill>
          </w14:textFill>
        </w:rPr>
        <w:t>3</w:t>
      </w:r>
      <w:r>
        <w:rPr>
          <w:rFonts w:hint="default" w:ascii="仿宋_GB2312" w:hAnsi="Times New Roman" w:eastAsia="仿宋_GB2312" w:cs="Times New Roman"/>
          <w:color w:val="000000" w:themeColor="text1"/>
          <w:spacing w:val="0"/>
          <w:kern w:val="2"/>
          <w:sz w:val="32"/>
          <w:szCs w:val="32"/>
          <w:lang w:val="zh-CN" w:eastAsia="zh-CN" w:bidi="ar-SA"/>
          <w14:textFill>
            <w14:solidFill>
              <w14:schemeClr w14:val="tx1"/>
            </w14:solidFill>
          </w14:textFill>
        </w:rPr>
        <w:t>.</w:t>
      </w:r>
      <w:r>
        <w:rPr>
          <w:rFonts w:hint="default" w:ascii="仿宋_GB2312" w:hAnsi="Times New Roman" w:eastAsia="仿宋_GB2312" w:cs="Times New Roman"/>
          <w:color w:val="000000" w:themeColor="text1"/>
          <w:spacing w:val="0"/>
          <w:kern w:val="2"/>
          <w:sz w:val="32"/>
          <w:szCs w:val="32"/>
          <w:highlight w:val="none"/>
          <w:lang w:val="zh-CN" w:eastAsia="zh-CN" w:bidi="ar-SA"/>
          <w14:textFill>
            <w14:solidFill>
              <w14:schemeClr w14:val="tx1"/>
            </w14:solidFill>
          </w14:textFill>
        </w:rPr>
        <w:t>住房保障支出（类）</w:t>
      </w:r>
      <w:r>
        <w:rPr>
          <w:rFonts w:hint="eastAsia" w:ascii="仿宋_GB2312" w:hAnsi="Times New Roman" w:eastAsia="仿宋_GB2312" w:cs="Times New Roman"/>
          <w:color w:val="000000" w:themeColor="text1"/>
          <w:spacing w:val="0"/>
          <w:kern w:val="2"/>
          <w:sz w:val="32"/>
          <w:szCs w:val="32"/>
          <w:highlight w:val="none"/>
          <w:lang w:val="zh-CN" w:eastAsia="zh-CN" w:bidi="ar-SA"/>
          <w14:textFill>
            <w14:solidFill>
              <w14:schemeClr w14:val="tx1"/>
            </w14:solidFill>
          </w14:textFill>
        </w:rPr>
        <w:t>9.33</w:t>
      </w:r>
      <w:r>
        <w:rPr>
          <w:rFonts w:hint="default" w:ascii="仿宋_GB2312" w:hAnsi="Times New Roman" w:eastAsia="仿宋_GB2312" w:cs="Times New Roman"/>
          <w:color w:val="000000" w:themeColor="text1"/>
          <w:spacing w:val="0"/>
          <w:kern w:val="2"/>
          <w:sz w:val="32"/>
          <w:szCs w:val="32"/>
          <w:highlight w:val="none"/>
          <w:lang w:val="zh-CN" w:eastAsia="zh-CN" w:bidi="ar-SA"/>
          <w14:textFill>
            <w14:solidFill>
              <w14:schemeClr w14:val="tx1"/>
            </w14:solidFill>
          </w14:textFill>
        </w:rPr>
        <w:t>万元，占</w:t>
      </w:r>
      <w:r>
        <w:rPr>
          <w:rFonts w:hint="eastAsia" w:ascii="仿宋_GB2312" w:hAnsi="Times New Roman" w:eastAsia="仿宋_GB2312" w:cs="Times New Roman"/>
          <w:color w:val="000000" w:themeColor="text1"/>
          <w:spacing w:val="0"/>
          <w:kern w:val="2"/>
          <w:sz w:val="32"/>
          <w:szCs w:val="32"/>
          <w:highlight w:val="none"/>
          <w:lang w:val="zh-CN" w:eastAsia="zh-CN" w:bidi="ar-SA"/>
          <w14:textFill>
            <w14:solidFill>
              <w14:schemeClr w14:val="tx1"/>
            </w14:solidFill>
          </w14:textFill>
        </w:rPr>
        <w:t>6.79</w:t>
      </w:r>
      <w:r>
        <w:rPr>
          <w:rFonts w:hint="default" w:ascii="仿宋_GB2312" w:hAnsi="Times New Roman" w:eastAsia="仿宋_GB2312" w:cs="Times New Roman"/>
          <w:color w:val="000000" w:themeColor="text1"/>
          <w:spacing w:val="0"/>
          <w:kern w:val="2"/>
          <w:sz w:val="32"/>
          <w:szCs w:val="32"/>
          <w:highlight w:val="none"/>
          <w:lang w:val="zh-CN" w:eastAsia="zh-CN" w:bidi="ar-SA"/>
          <w14:textFill>
            <w14:solidFill>
              <w14:schemeClr w14:val="tx1"/>
            </w14:solidFill>
          </w14:textFill>
        </w:rPr>
        <w:t>%</w:t>
      </w:r>
      <w:r>
        <w:rPr>
          <w:rFonts w:hint="eastAsia" w:ascii="仿宋_GB2312" w:eastAsia="仿宋_GB2312" w:cs="Times New Roman"/>
          <w:color w:val="000000" w:themeColor="text1"/>
          <w:spacing w:val="0"/>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（三）一般公共预算财政拨款支出决算具体情况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pP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1</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.社会保障和就业支出（类）民政管理事务（款）其他民政管理事务支出（项）:支出决算数为104.31</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，比上年决算</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增加</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10.90</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增长</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11.67%，主要原因是：2023年</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人员职级调整</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，支出增加</w:t>
      </w:r>
      <w:r>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2</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.社会保障和就业支出（类）行政事业单位养老支出（款）机关事业单位基本养老保险缴费支出（项）:支出决算数为12.44</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，比上年决算</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增加</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2.6</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5万元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增长</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7.07</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2023年</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机关事业单位基本养老保险</w:t>
      </w:r>
      <w:r>
        <w:rPr>
          <w:rFonts w:hint="eastAsia" w:ascii="仿宋_GB2312" w:eastAsia="仿宋_GB2312"/>
          <w:color w:val="000000" w:themeColor="text1"/>
          <w:sz w:val="32"/>
          <w:szCs w:val="32"/>
          <w:lang w:eastAsia="zh-CN"/>
          <w14:textFill>
            <w14:solidFill>
              <w14:schemeClr w14:val="tx1"/>
            </w14:solidFill>
          </w14:textFill>
        </w:rPr>
        <w:t>缴费基数增加，支出增加</w:t>
      </w:r>
      <w:r>
        <w:rPr>
          <w:rFonts w:hint="eastAsia" w:eastAsia="仿宋_GB2312" w:cs="Times New Roman"/>
          <w:color w:val="000000" w:themeColor="text1"/>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pP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.卫生健康支出（类）行政事业单位医疗（款）事业单位医疗（项）:支出决算数为5.83</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，比上年决算</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增加</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0.52</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增长</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9.7</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9</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2023年</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事业单位医疗</w:t>
      </w:r>
      <w:r>
        <w:rPr>
          <w:rFonts w:hint="eastAsia" w:ascii="仿宋_GB2312" w:eastAsia="仿宋_GB2312"/>
          <w:color w:val="000000" w:themeColor="text1"/>
          <w:sz w:val="32"/>
          <w:szCs w:val="32"/>
          <w:lang w:eastAsia="zh-CN"/>
          <w14:textFill>
            <w14:solidFill>
              <w14:schemeClr w14:val="tx1"/>
            </w14:solidFill>
          </w14:textFill>
        </w:rPr>
        <w:t>缴费基数增加，支出增加</w:t>
      </w:r>
      <w:r>
        <w:rPr>
          <w:rFonts w:hint="eastAsia" w:eastAsia="仿宋_GB2312" w:cs="Times New Roman"/>
          <w:color w:val="000000" w:themeColor="text1"/>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pP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4</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.卫生健康支出（类）行政事业单位医疗（款）公务员医疗补助（项）:支出决算数为5.44</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，比上年决算</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增加</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1.31</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增长</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31.</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72</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2023年</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公务员医疗补助</w:t>
      </w:r>
      <w:r>
        <w:rPr>
          <w:rFonts w:hint="eastAsia" w:ascii="仿宋_GB2312" w:eastAsia="仿宋_GB2312"/>
          <w:color w:val="000000" w:themeColor="text1"/>
          <w:sz w:val="32"/>
          <w:szCs w:val="32"/>
          <w:lang w:eastAsia="zh-CN"/>
          <w14:textFill>
            <w14:solidFill>
              <w14:schemeClr w14:val="tx1"/>
            </w14:solidFill>
          </w14:textFill>
        </w:rPr>
        <w:t>缴费基数增加，支出增加</w:t>
      </w:r>
      <w:r>
        <w:rPr>
          <w:rFonts w:hint="eastAsia" w:eastAsia="仿宋_GB2312" w:cs="Times New Roman"/>
          <w:color w:val="000000" w:themeColor="text1"/>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pP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5</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.住房保障支出（类）住房改革支出（款）住房公积金（项）:支出决算数为9.33</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，比上年决算</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增加</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1.98</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增长</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26.9</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4</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2023年</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住房公积金</w:t>
      </w:r>
      <w:r>
        <w:rPr>
          <w:rFonts w:hint="eastAsia" w:ascii="仿宋_GB2312" w:eastAsia="仿宋_GB2312"/>
          <w:color w:val="000000" w:themeColor="text1"/>
          <w:sz w:val="32"/>
          <w:szCs w:val="32"/>
          <w:lang w:eastAsia="zh-CN"/>
          <w14:textFill>
            <w14:solidFill>
              <w14:schemeClr w14:val="tx1"/>
            </w14:solidFill>
          </w14:textFill>
        </w:rPr>
        <w:t>缴费基数增加，导致支出增加</w:t>
      </w:r>
      <w:r>
        <w:rPr>
          <w:rFonts w:hint="eastAsia" w:eastAsia="仿宋_GB2312" w:cs="Times New Roman"/>
          <w:color w:val="000000" w:themeColor="text1"/>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6.社会保障和就业支出（类）行政事业单位养老支出（款）事业单位离退休（项）:支出决算数为0.00</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，比上年决算</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减少</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1.77</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下降</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100%，主要原因是：</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预算科目调整，</w:t>
      </w:r>
      <w:r>
        <w:rPr>
          <w:rFonts w:hint="eastAsia" w:ascii="仿宋_GB2312" w:eastAsia="仿宋_GB2312"/>
          <w:color w:val="000000" w:themeColor="text1"/>
          <w:sz w:val="32"/>
          <w:szCs w:val="32"/>
          <w:lang w:val="en-US" w:eastAsia="zh-CN"/>
          <w14:textFill>
            <w14:solidFill>
              <w14:schemeClr w14:val="tx1"/>
            </w14:solidFill>
          </w14:textFill>
        </w:rPr>
        <w:t>2023年没有</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事业单位离退休</w:t>
      </w:r>
      <w:r>
        <w:rPr>
          <w:rFonts w:hint="eastAsia" w:ascii="仿宋_GB2312" w:eastAsia="仿宋_GB2312"/>
          <w:color w:val="000000" w:themeColor="text1"/>
          <w:sz w:val="32"/>
          <w:szCs w:val="32"/>
          <w:lang w:val="en-US" w:eastAsia="zh-CN"/>
          <w14:textFill>
            <w14:solidFill>
              <w14:schemeClr w14:val="tx1"/>
            </w14:solidFill>
          </w14:textFill>
        </w:rPr>
        <w:t>支出</w:t>
      </w:r>
      <w:r>
        <w:rPr>
          <w:rFonts w:hint="eastAsia" w:eastAsia="仿宋_GB2312" w:cs="Times New Roman"/>
          <w:color w:val="000000" w:themeColor="text1"/>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7.社会保障和就业支出（类）行政事业单位养老支出（款）机关事业单位职业年金缴费支出（项）:支出决算数为0.00</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，比上年决算</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减少</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0.54</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下降</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100%，主要原因是：</w:t>
      </w:r>
      <w:r>
        <w:rPr>
          <w:rFonts w:hint="default" w:ascii="仿宋_GB2312" w:eastAsia="仿宋_GB2312"/>
          <w:color w:val="000000" w:themeColor="text1"/>
          <w:sz w:val="32"/>
          <w:szCs w:val="32"/>
          <w:lang w:val="en-US"/>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eastAsia="zh-CN"/>
          <w14:textFill>
            <w14:solidFill>
              <w14:schemeClr w14:val="tx1"/>
            </w14:solidFill>
          </w14:textFill>
        </w:rPr>
        <w:t>单位无辞职、退休等人员，无</w:t>
      </w:r>
      <w:r>
        <w:rPr>
          <w:rFonts w:hint="eastAsia" w:ascii="仿宋_GB2312" w:eastAsia="仿宋_GB2312"/>
          <w:color w:val="000000" w:themeColor="text1"/>
          <w:sz w:val="32"/>
          <w:szCs w:val="32"/>
          <w14:textFill>
            <w14:solidFill>
              <w14:schemeClr w14:val="tx1"/>
            </w14:solidFill>
          </w14:textFill>
        </w:rPr>
        <w:t>机关事业单位职业年金缴费支出</w:t>
      </w:r>
      <w:r>
        <w:rPr>
          <w:rFonts w:hint="eastAsia" w:eastAsia="仿宋_GB2312" w:cs="Times New Roman"/>
          <w:color w:val="000000" w:themeColor="text1"/>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六、一般公共预算财政拨款基本支出决算情况说明</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pacing w:val="0"/>
          <w:sz w:val="32"/>
          <w:szCs w:val="32"/>
          <w:highlight w:val="none"/>
          <w:lang w:eastAsia="zh-CN"/>
          <w14:textFill>
            <w14:solidFill>
              <w14:schemeClr w14:val="tx1"/>
            </w14:solidFill>
          </w14:textFill>
        </w:rPr>
        <w:t>2023年度</w:t>
      </w:r>
      <w:r>
        <w:rPr>
          <w:rFonts w:hint="eastAsia" w:ascii="仿宋_GB2312" w:eastAsia="仿宋_GB2312"/>
          <w:color w:val="000000" w:themeColor="text1"/>
          <w:sz w:val="32"/>
          <w:szCs w:val="32"/>
          <w:highlight w:val="none"/>
          <w14:textFill>
            <w14:solidFill>
              <w14:schemeClr w14:val="tx1"/>
            </w14:solidFill>
          </w14:textFill>
        </w:rPr>
        <w:t>一般公共预算财政拨款基本支出</w:t>
      </w:r>
      <w:r>
        <w:rPr>
          <w:rFonts w:hint="eastAsia" w:ascii="仿宋_GB2312" w:eastAsia="仿宋_GB2312"/>
          <w:color w:val="000000" w:themeColor="text1"/>
          <w:sz w:val="32"/>
          <w:szCs w:val="32"/>
          <w:highlight w:val="none"/>
          <w:lang w:eastAsia="zh-CN"/>
          <w14:textFill>
            <w14:solidFill>
              <w14:schemeClr w14:val="tx1"/>
            </w14:solidFill>
          </w14:textFill>
        </w:rPr>
        <w:t>137.35</w:t>
      </w:r>
      <w:r>
        <w:rPr>
          <w:rFonts w:hint="eastAsia" w:ascii="仿宋_GB2312" w:eastAsia="仿宋_GB2312"/>
          <w:color w:val="000000" w:themeColor="text1"/>
          <w:sz w:val="32"/>
          <w:szCs w:val="32"/>
          <w:highlight w:val="none"/>
          <w14:textFill>
            <w14:solidFill>
              <w14:schemeClr w14:val="tx1"/>
            </w14:solidFill>
          </w14:textFill>
        </w:rPr>
        <w:t>万元，其中：</w:t>
      </w:r>
      <w:r>
        <w:rPr>
          <w:rFonts w:hint="eastAsia" w:ascii="仿宋_GB2312" w:eastAsia="仿宋_GB2312"/>
          <w:b/>
          <w:bCs/>
          <w:color w:val="000000" w:themeColor="text1"/>
          <w:sz w:val="32"/>
          <w:szCs w:val="32"/>
          <w:highlight w:val="none"/>
          <w14:textFill>
            <w14:solidFill>
              <w14:schemeClr w14:val="tx1"/>
            </w14:solidFill>
          </w14:textFill>
        </w:rPr>
        <w:t>人员经费</w:t>
      </w:r>
      <w:r>
        <w:rPr>
          <w:rFonts w:hint="eastAsia" w:ascii="仿宋_GB2312" w:eastAsia="仿宋_GB2312"/>
          <w:b/>
          <w:bCs/>
          <w:color w:val="000000" w:themeColor="text1"/>
          <w:sz w:val="32"/>
          <w:szCs w:val="32"/>
          <w:highlight w:val="none"/>
          <w:lang w:eastAsia="zh-CN"/>
          <w14:textFill>
            <w14:solidFill>
              <w14:schemeClr w14:val="tx1"/>
            </w14:solidFill>
          </w14:textFill>
        </w:rPr>
        <w:t>131.35</w:t>
      </w:r>
      <w:r>
        <w:rPr>
          <w:rFonts w:hint="eastAsia" w:ascii="仿宋_GB2312" w:eastAsia="仿宋_GB2312"/>
          <w:b/>
          <w:bCs/>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14:textFill>
            <w14:solidFill>
              <w14:schemeClr w14:val="tx1"/>
            </w14:solidFill>
          </w14:textFill>
        </w:rPr>
        <w:t>，包括：</w:t>
      </w:r>
      <w:r>
        <w:rPr>
          <w:rFonts w:hint="eastAsia" w:ascii="仿宋_GB2312" w:eastAsia="仿宋_GB2312"/>
          <w:color w:val="000000" w:themeColor="text1"/>
          <w:sz w:val="32"/>
          <w:szCs w:val="32"/>
          <w:highlight w:val="none"/>
          <w:lang w:val="en-US" w:eastAsia="zh-CN"/>
          <w14:textFill>
            <w14:solidFill>
              <w14:schemeClr w14:val="tx1"/>
            </w14:solidFill>
          </w14:textFill>
        </w:rPr>
        <w:t>基本工资、津贴补贴、奖金、绩效工资、机关事业单位基本养老保险缴费、职工基本医疗保险缴费、公务员医疗补助缴费、其他社会保障缴费、住房公积金、其他工资福利支出。</w:t>
      </w:r>
    </w:p>
    <w:p>
      <w:pPr>
        <w:keepNext w:val="0"/>
        <w:keepLines w:val="0"/>
        <w:pageBreakBefore w:val="0"/>
        <w:widowControl w:val="0"/>
        <w:kinsoku/>
        <w:wordWrap/>
        <w:overflowPunct/>
        <w:topLinePunct w:val="0"/>
        <w:bidi w:val="0"/>
        <w:adjustRightInd/>
        <w:snapToGrid/>
        <w:spacing w:line="240" w:lineRule="auto"/>
        <w:ind w:firstLine="642" w:firstLineChars="200"/>
        <w:jc w:val="left"/>
        <w:textAlignment w:val="auto"/>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pPr>
      <w:r>
        <w:rPr>
          <w:rFonts w:hint="eastAsia" w:ascii="仿宋_GB2312" w:eastAsia="仿宋_GB2312"/>
          <w:b/>
          <w:bCs/>
          <w:color w:val="000000" w:themeColor="text1"/>
          <w:sz w:val="32"/>
          <w:szCs w:val="32"/>
          <w:highlight w:val="none"/>
          <w14:textFill>
            <w14:solidFill>
              <w14:schemeClr w14:val="tx1"/>
            </w14:solidFill>
          </w14:textFill>
        </w:rPr>
        <w:t>公用经费</w:t>
      </w:r>
      <w:r>
        <w:rPr>
          <w:rFonts w:hint="eastAsia" w:ascii="仿宋_GB2312" w:eastAsia="仿宋_GB2312"/>
          <w:b/>
          <w:bCs/>
          <w:color w:val="000000" w:themeColor="text1"/>
          <w:sz w:val="32"/>
          <w:szCs w:val="32"/>
          <w:highlight w:val="none"/>
          <w:lang w:eastAsia="zh-CN"/>
          <w14:textFill>
            <w14:solidFill>
              <w14:schemeClr w14:val="tx1"/>
            </w14:solidFill>
          </w14:textFill>
        </w:rPr>
        <w:t>6.00</w:t>
      </w:r>
      <w:r>
        <w:rPr>
          <w:rFonts w:hint="eastAsia" w:ascii="仿宋_GB2312" w:eastAsia="仿宋_GB2312"/>
          <w:b/>
          <w:bCs/>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14:textFill>
            <w14:solidFill>
              <w14:schemeClr w14:val="tx1"/>
            </w14:solidFill>
          </w14:textFill>
        </w:rPr>
        <w:t>，包括：</w:t>
      </w:r>
      <w:r>
        <w:rPr>
          <w:rFonts w:hint="eastAsia" w:ascii="仿宋_GB2312" w:eastAsia="仿宋_GB2312"/>
          <w:color w:val="000000" w:themeColor="text1"/>
          <w:sz w:val="32"/>
          <w:szCs w:val="32"/>
          <w:highlight w:val="none"/>
          <w:lang w:val="en-US" w:eastAsia="zh-CN"/>
          <w14:textFill>
            <w14:solidFill>
              <w14:schemeClr w14:val="tx1"/>
            </w14:solidFill>
          </w14:textFill>
        </w:rPr>
        <w:t>办公费、邮电费、差旅费、工会经费、福利费。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r>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t>七、</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财政拨款</w:t>
      </w:r>
      <w:r>
        <w:rPr>
          <w:rFonts w:hint="eastAsia" w:ascii="黑体" w:hAnsi="黑体" w:eastAsia="黑体" w:cs="宋体"/>
          <w:bCs/>
          <w:color w:val="000000" w:themeColor="text1"/>
          <w:kern w:val="0"/>
          <w:sz w:val="32"/>
          <w:szCs w:val="32"/>
          <w:highlight w:val="none"/>
          <w14:textFill>
            <w14:solidFill>
              <w14:schemeClr w14:val="tx1"/>
            </w14:solidFill>
          </w14:textFill>
        </w:rPr>
        <w:t>“三公”经费支出</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决算</w:t>
      </w:r>
      <w:r>
        <w:rPr>
          <w:rFonts w:hint="eastAsia" w:ascii="黑体" w:hAnsi="黑体" w:eastAsia="黑体" w:cs="宋体"/>
          <w:bCs/>
          <w:color w:val="000000" w:themeColor="text1"/>
          <w:kern w:val="0"/>
          <w:sz w:val="32"/>
          <w:szCs w:val="32"/>
          <w:highlight w:val="none"/>
          <w14:textFill>
            <w14:solidFill>
              <w14:schemeClr w14:val="tx1"/>
            </w14:solidFill>
          </w14:textFill>
        </w:rPr>
        <w:t>情况</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说明</w:t>
      </w:r>
    </w:p>
    <w:p>
      <w:pPr>
        <w:keepNext w:val="0"/>
        <w:keepLines w:val="0"/>
        <w:pageBreakBefore w:val="0"/>
        <w:widowControl w:val="0"/>
        <w:kinsoku/>
        <w:wordWrap/>
        <w:overflowPunct/>
        <w:topLinePunct w:val="0"/>
        <w:bidi w:val="0"/>
        <w:adjustRightInd/>
        <w:snapToGrid/>
        <w:spacing w:line="240" w:lineRule="auto"/>
        <w:ind w:firstLine="642" w:firstLineChars="200"/>
        <w:jc w:val="both"/>
        <w:textAlignment w:val="auto"/>
        <w:rPr>
          <w:rFonts w:hint="eastAsia" w:ascii="仿宋_GB2312" w:eastAsia="仿宋_GB2312"/>
          <w:color w:val="000000" w:themeColor="text1"/>
          <w:sz w:val="32"/>
          <w:szCs w:val="32"/>
          <w:highlight w:val="none"/>
          <w:lang w:val="zh-CN" w:eastAsia="zh-CN"/>
          <w14:textFill>
            <w14:solidFill>
              <w14:schemeClr w14:val="tx1"/>
            </w14:solidFill>
          </w14:textFill>
        </w:rPr>
      </w:pPr>
      <w:r>
        <w:rPr>
          <w:rFonts w:hint="eastAsia" w:ascii="仿宋_GB2312" w:eastAsia="仿宋_GB2312"/>
          <w:b/>
          <w:bCs/>
          <w:color w:val="000000" w:themeColor="text1"/>
          <w:sz w:val="32"/>
          <w:szCs w:val="32"/>
          <w:highlight w:val="none"/>
          <w:lang w:val="zh-CN" w:eastAsia="zh-CN"/>
          <w14:textFill>
            <w14:solidFill>
              <w14:schemeClr w14:val="tx1"/>
            </w14:solidFill>
          </w14:textFill>
        </w:rPr>
        <w:t>2023年度</w:t>
      </w:r>
      <w:r>
        <w:rPr>
          <w:rFonts w:hint="eastAsia" w:ascii="仿宋_GB2312" w:eastAsia="仿宋_GB2312"/>
          <w:b/>
          <w:bCs/>
          <w:color w:val="000000" w:themeColor="text1"/>
          <w:sz w:val="32"/>
          <w:szCs w:val="32"/>
          <w:highlight w:val="none"/>
          <w:lang w:val="en-US" w:eastAsia="zh-CN"/>
          <w14:textFill>
            <w14:solidFill>
              <w14:schemeClr w14:val="tx1"/>
            </w14:solidFill>
          </w14:textFill>
        </w:rPr>
        <w:t>财政拨款</w:t>
      </w:r>
      <w:r>
        <w:rPr>
          <w:rFonts w:hint="eastAsia" w:ascii="仿宋_GB2312" w:eastAsia="仿宋_GB2312"/>
          <w:b/>
          <w:bCs/>
          <w:color w:val="000000" w:themeColor="text1"/>
          <w:sz w:val="32"/>
          <w:szCs w:val="32"/>
          <w:highlight w:val="none"/>
          <w:lang w:val="zh-CN" w:eastAsia="zh-CN"/>
          <w14:textFill>
            <w14:solidFill>
              <w14:schemeClr w14:val="tx1"/>
            </w14:solidFill>
          </w14:textFill>
        </w:rPr>
        <w:t>“三公”经费支出决算0.00万元</w:t>
      </w:r>
      <w:r>
        <w:rPr>
          <w:rFonts w:hint="eastAsia" w:ascii="仿宋_GB2312" w:eastAsia="仿宋_GB2312"/>
          <w:color w:val="000000" w:themeColor="text1"/>
          <w:sz w:val="32"/>
          <w:szCs w:val="32"/>
          <w:highlight w:val="none"/>
          <w:lang w:val="zh-CN"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比上年</w:t>
      </w:r>
      <w:r>
        <w:rPr>
          <w:rFonts w:hint="eastAsia" w:ascii="仿宋_GB2312" w:eastAsia="仿宋_GB2312"/>
          <w:color w:val="000000" w:themeColor="text1"/>
          <w:sz w:val="32"/>
          <w:szCs w:val="32"/>
          <w:highlight w:val="none"/>
          <w:lang w:val="zh-CN" w:eastAsia="zh-CN"/>
          <w14:textFill>
            <w14:solidFill>
              <w14:schemeClr w14:val="tx1"/>
            </w14:solidFill>
          </w14:textFill>
        </w:rPr>
        <w:t>增加0.00万元，增长0.00%，主要原因是：</w:t>
      </w:r>
      <w:r>
        <w:rPr>
          <w:rFonts w:hint="eastAsia" w:ascii="仿宋_GB2312" w:eastAsia="仿宋_GB2312"/>
          <w:color w:val="000000" w:themeColor="text1"/>
          <w:sz w:val="32"/>
          <w:szCs w:val="32"/>
          <w:lang w:val="zh-CN"/>
          <w14:textFill>
            <w14:solidFill>
              <w14:schemeClr w14:val="tx1"/>
            </w14:solidFill>
          </w14:textFill>
        </w:rPr>
        <w:t>严格执行中央八项规定，厉行节约，</w:t>
      </w:r>
      <w:r>
        <w:rPr>
          <w:rFonts w:hint="eastAsia" w:ascii="仿宋_GB2312" w:eastAsia="仿宋_GB2312"/>
          <w:color w:val="000000" w:themeColor="text1"/>
          <w:sz w:val="32"/>
          <w:szCs w:val="32"/>
          <w:lang w:val="zh-CN" w:eastAsia="zh-CN"/>
          <w14:textFill>
            <w14:solidFill>
              <w14:schemeClr w14:val="tx1"/>
            </w14:solidFill>
          </w14:textFill>
        </w:rPr>
        <w:t>本年与上年费用一致</w:t>
      </w:r>
      <w:r>
        <w:rPr>
          <w:rFonts w:hint="eastAsia" w:ascii="仿宋_GB2312" w:eastAsia="仿宋_GB2312"/>
          <w:color w:val="000000" w:themeColor="text1"/>
          <w:sz w:val="32"/>
          <w:szCs w:val="32"/>
          <w:highlight w:val="none"/>
          <w:lang w:val="zh-CN" w:eastAsia="zh-CN"/>
          <w14:textFill>
            <w14:solidFill>
              <w14:schemeClr w14:val="tx1"/>
            </w14:solidFill>
          </w14:textFill>
        </w:rPr>
        <w:t>。其中：因公出国（境）费支出0.00万元，占0.00%，比上年增加0.00万元，增长0.00%，主要原因是：</w:t>
      </w:r>
      <w:r>
        <w:rPr>
          <w:rFonts w:hint="eastAsia" w:ascii="仿宋_GB2312" w:eastAsia="仿宋_GB2312"/>
          <w:color w:val="000000" w:themeColor="text1"/>
          <w:sz w:val="32"/>
          <w:szCs w:val="32"/>
          <w:lang w:val="en-US" w:eastAsia="zh-CN"/>
          <w14:textFill>
            <w14:solidFill>
              <w14:schemeClr w14:val="tx1"/>
            </w14:solidFill>
          </w14:textFill>
        </w:rPr>
        <w:t>2023年</w:t>
      </w:r>
      <w:r>
        <w:rPr>
          <w:rFonts w:ascii="仿宋_GB2312" w:eastAsia="仿宋_GB2312"/>
          <w:color w:val="000000" w:themeColor="text1"/>
          <w:sz w:val="32"/>
          <w:szCs w:val="32"/>
          <w14:textFill>
            <w14:solidFill>
              <w14:schemeClr w14:val="tx1"/>
            </w14:solidFill>
          </w14:textFill>
        </w:rPr>
        <w:t>无因公出国（境）</w:t>
      </w:r>
      <w:r>
        <w:rPr>
          <w:rFonts w:hint="eastAsia" w:ascii="仿宋_GB2312" w:eastAsia="仿宋_GB2312"/>
          <w:color w:val="000000" w:themeColor="text1"/>
          <w:sz w:val="32"/>
          <w:szCs w:val="32"/>
          <w:highlight w:val="none"/>
          <w:lang w:val="zh-CN" w:eastAsia="zh-CN"/>
          <w14:textFill>
            <w14:solidFill>
              <w14:schemeClr w14:val="tx1"/>
            </w14:solidFill>
          </w14:textFill>
        </w:rPr>
        <w:t>费；公务用车购置及运行维护费支出0.00万元，占0.00%，比上年增加0.00万元，增长0.00%，主要原因是：</w:t>
      </w:r>
      <w:r>
        <w:rPr>
          <w:rFonts w:hint="eastAsia" w:ascii="仿宋_GB2312" w:eastAsia="仿宋_GB2312"/>
          <w:color w:val="000000" w:themeColor="text1"/>
          <w:sz w:val="32"/>
          <w:szCs w:val="32"/>
          <w:lang w:val="en-US" w:eastAsia="zh-CN"/>
          <w14:textFill>
            <w14:solidFill>
              <w14:schemeClr w14:val="tx1"/>
            </w14:solidFill>
          </w14:textFill>
        </w:rPr>
        <w:t>2023年</w:t>
      </w:r>
      <w:r>
        <w:rPr>
          <w:rFonts w:ascii="仿宋_GB2312" w:eastAsia="仿宋_GB2312"/>
          <w:color w:val="000000" w:themeColor="text1"/>
          <w:sz w:val="32"/>
          <w:szCs w:val="32"/>
          <w14:textFill>
            <w14:solidFill>
              <w14:schemeClr w14:val="tx1"/>
            </w14:solidFill>
          </w14:textFill>
        </w:rPr>
        <w:t>无公务用车购置及运行维护</w:t>
      </w:r>
      <w:r>
        <w:rPr>
          <w:rFonts w:hint="eastAsia" w:ascii="仿宋_GB2312" w:eastAsia="仿宋_GB2312"/>
          <w:color w:val="000000" w:themeColor="text1"/>
          <w:sz w:val="32"/>
          <w:szCs w:val="32"/>
          <w:highlight w:val="none"/>
          <w:lang w:val="zh-CN" w:eastAsia="zh-CN"/>
          <w14:textFill>
            <w14:solidFill>
              <w14:schemeClr w14:val="tx1"/>
            </w14:solidFill>
          </w14:textFill>
        </w:rPr>
        <w:t>费；公务接待费支出0.00万元，占0.00%，比上年增加0.00万元，增长0.00%，主要原因是：</w:t>
      </w:r>
      <w:r>
        <w:rPr>
          <w:rFonts w:hint="eastAsia" w:ascii="仿宋_GB2312" w:eastAsia="仿宋_GB2312"/>
          <w:color w:val="000000" w:themeColor="text1"/>
          <w:sz w:val="32"/>
          <w:szCs w:val="32"/>
          <w:lang w:val="en-US" w:eastAsia="zh-CN"/>
          <w14:textFill>
            <w14:solidFill>
              <w14:schemeClr w14:val="tx1"/>
            </w14:solidFill>
          </w14:textFill>
        </w:rPr>
        <w:t>2023年</w:t>
      </w:r>
      <w:r>
        <w:rPr>
          <w:rFonts w:ascii="仿宋_GB2312" w:eastAsia="仿宋_GB2312"/>
          <w:color w:val="000000" w:themeColor="text1"/>
          <w:sz w:val="32"/>
          <w:szCs w:val="32"/>
          <w14:textFill>
            <w14:solidFill>
              <w14:schemeClr w14:val="tx1"/>
            </w14:solidFill>
          </w14:textFill>
        </w:rPr>
        <w:t>无公务接待</w:t>
      </w:r>
      <w:r>
        <w:rPr>
          <w:rFonts w:hint="eastAsia" w:ascii="仿宋_GB2312" w:eastAsia="仿宋_GB2312"/>
          <w:color w:val="000000" w:themeColor="text1"/>
          <w:sz w:val="32"/>
          <w:szCs w:val="32"/>
          <w:highlight w:val="none"/>
          <w:lang w:val="zh-CN" w:eastAsia="zh-CN"/>
          <w14:textFill>
            <w14:solidFill>
              <w14:schemeClr w14:val="tx1"/>
            </w14:solidFill>
          </w14:textFill>
        </w:rPr>
        <w:t>费。</w:t>
      </w:r>
    </w:p>
    <w:p>
      <w:pPr>
        <w:keepNext w:val="0"/>
        <w:keepLines w:val="0"/>
        <w:pageBreakBefore w:val="0"/>
        <w:widowControl w:val="0"/>
        <w:kinsoku/>
        <w:wordWrap/>
        <w:overflowPunct/>
        <w:topLinePunct w:val="0"/>
        <w:bidi w:val="0"/>
        <w:adjustRightInd/>
        <w:snapToGrid/>
        <w:spacing w:line="240" w:lineRule="auto"/>
        <w:ind w:firstLine="642" w:firstLineChars="200"/>
        <w:jc w:val="left"/>
        <w:textAlignment w:val="auto"/>
        <w:rPr>
          <w:rFonts w:hint="eastAsia" w:ascii="仿宋_GB2312" w:eastAsia="仿宋_GB2312"/>
          <w:b/>
          <w:bCs/>
          <w:color w:val="000000" w:themeColor="text1"/>
          <w:sz w:val="32"/>
          <w:szCs w:val="32"/>
          <w:highlight w:val="none"/>
          <w:lang w:val="zh-CN" w:eastAsia="zh-CN"/>
          <w14:textFill>
            <w14:solidFill>
              <w14:schemeClr w14:val="tx1"/>
            </w14:solidFill>
          </w14:textFill>
        </w:rPr>
      </w:pPr>
      <w:r>
        <w:rPr>
          <w:rFonts w:hint="eastAsia" w:ascii="仿宋_GB2312" w:eastAsia="仿宋_GB2312"/>
          <w:b/>
          <w:bCs/>
          <w:color w:val="000000" w:themeColor="text1"/>
          <w:sz w:val="32"/>
          <w:szCs w:val="32"/>
          <w:highlight w:val="none"/>
          <w:lang w:val="zh-CN" w:eastAsia="zh-CN"/>
          <w14:textFill>
            <w14:solidFill>
              <w14:schemeClr w14:val="tx1"/>
            </w14:solidFill>
          </w14:textFill>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zh-CN" w:eastAsia="zh-CN"/>
          <w14:textFill>
            <w14:solidFill>
              <w14:schemeClr w14:val="tx1"/>
            </w14:solidFill>
          </w14:textFill>
        </w:rPr>
        <w:t>因公出国（境）费支出0.00万元，开支内容包括我单位</w:t>
      </w:r>
      <w:r>
        <w:rPr>
          <w:rFonts w:hint="eastAsia" w:ascii="仿宋_GB2312" w:eastAsia="仿宋_GB2312"/>
          <w:color w:val="000000" w:themeColor="text1"/>
          <w:sz w:val="32"/>
          <w:szCs w:val="32"/>
          <w:lang w:val="en-US" w:eastAsia="zh-CN"/>
          <w14:textFill>
            <w14:solidFill>
              <w14:schemeClr w14:val="tx1"/>
            </w14:solidFill>
          </w14:textFill>
        </w:rPr>
        <w:t>无</w:t>
      </w:r>
      <w:r>
        <w:rPr>
          <w:rFonts w:hint="eastAsia" w:ascii="仿宋_GB2312" w:eastAsia="仿宋_GB2312"/>
          <w:color w:val="000000" w:themeColor="text1"/>
          <w:sz w:val="32"/>
          <w:szCs w:val="32"/>
          <w:lang w:val="zh-CN" w:eastAsia="zh-CN"/>
          <w14:textFill>
            <w14:solidFill>
              <w14:schemeClr w14:val="tx1"/>
            </w14:solidFill>
          </w14:textFill>
        </w:rPr>
        <w:t>因公出国（境）费。单位全年安排的因公出国（境）团组</w:t>
      </w:r>
      <w:r>
        <w:rPr>
          <w:rFonts w:hint="eastAsia" w:ascii="仿宋_GB2312" w:eastAsia="仿宋_GB2312"/>
          <w:color w:val="000000" w:themeColor="text1"/>
          <w:sz w:val="32"/>
          <w:szCs w:val="32"/>
          <w:lang w:val="en-US" w:eastAsia="zh-CN"/>
          <w14:textFill>
            <w14:solidFill>
              <w14:schemeClr w14:val="tx1"/>
            </w14:solidFill>
          </w14:textFill>
        </w:rPr>
        <w:t>0个，</w:t>
      </w:r>
      <w:r>
        <w:rPr>
          <w:rFonts w:hint="eastAsia" w:ascii="仿宋_GB2312" w:eastAsia="仿宋_GB2312"/>
          <w:color w:val="000000" w:themeColor="text1"/>
          <w:sz w:val="32"/>
          <w:szCs w:val="32"/>
          <w:lang w:val="zh-CN" w:eastAsia="zh-CN"/>
          <w14:textFill>
            <w14:solidFill>
              <w14:schemeClr w14:val="tx1"/>
            </w14:solidFill>
          </w14:textFill>
        </w:rPr>
        <w:t>因公出国（境）</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lang w:val="zh-CN" w:eastAsia="zh-CN"/>
          <w14:textFill>
            <w14:solidFill>
              <w14:schemeClr w14:val="tx1"/>
            </w14:solidFill>
          </w14:textFill>
        </w:rPr>
        <w:t>人次</w:t>
      </w:r>
      <w:r>
        <w:rPr>
          <w:rFonts w:hint="eastAsia" w:ascii="仿宋_GB2312"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zh-CN" w:eastAsia="zh-CN"/>
          <w14:textFill>
            <w14:solidFill>
              <w14:schemeClr w14:val="tx1"/>
            </w14:solidFill>
          </w14:textFill>
        </w:rPr>
        <w:t>公务用车购置及运行维护费0.00万元，其中：公务用车购置费0.00万元，公务用车运行维护费0.00万元。公务用车运行维护费开支内容包括我单位无公务用车运行维护。公务用车购置数0辆，公务用车保有量0辆。国有资产占用情况</w:t>
      </w:r>
      <w:r>
        <w:rPr>
          <w:rFonts w:hint="eastAsia" w:ascii="仿宋_GB2312" w:eastAsia="仿宋_GB2312"/>
          <w:color w:val="000000" w:themeColor="text1"/>
          <w:sz w:val="32"/>
          <w:szCs w:val="32"/>
          <w:highlight w:val="none"/>
          <w:lang w:val="en-US" w:eastAsia="zh-CN"/>
          <w14:textFill>
            <w14:solidFill>
              <w14:schemeClr w14:val="tx1"/>
            </w14:solidFill>
          </w14:textFill>
        </w:rPr>
        <w:t>中固定资产车辆</w:t>
      </w:r>
      <w:r>
        <w:rPr>
          <w:rFonts w:hint="eastAsia" w:ascii="仿宋_GB2312" w:eastAsia="仿宋_GB2312"/>
          <w:color w:val="000000" w:themeColor="text1"/>
          <w:sz w:val="32"/>
          <w:szCs w:val="32"/>
          <w:highlight w:val="none"/>
          <w:lang w:val="zh-CN" w:eastAsia="zh-CN"/>
          <w14:textFill>
            <w14:solidFill>
              <w14:schemeClr w14:val="tx1"/>
            </w14:solidFill>
          </w14:textFill>
        </w:rPr>
        <w:t>0辆，</w:t>
      </w:r>
      <w:r>
        <w:rPr>
          <w:rFonts w:hint="eastAsia" w:ascii="仿宋_GB2312" w:eastAsia="仿宋_GB2312"/>
          <w:color w:val="000000" w:themeColor="text1"/>
          <w:sz w:val="32"/>
          <w:szCs w:val="32"/>
          <w:highlight w:val="none"/>
          <w:lang w:val="en-US" w:eastAsia="zh-CN"/>
          <w14:textFill>
            <w14:solidFill>
              <w14:schemeClr w14:val="tx1"/>
            </w14:solidFill>
          </w14:textFill>
        </w:rPr>
        <w:t>与</w:t>
      </w:r>
      <w:r>
        <w:rPr>
          <w:rFonts w:hint="eastAsia" w:ascii="仿宋_GB2312" w:eastAsia="仿宋_GB2312"/>
          <w:color w:val="000000" w:themeColor="text1"/>
          <w:sz w:val="32"/>
          <w:szCs w:val="32"/>
          <w:highlight w:val="none"/>
          <w:lang w:val="zh-CN" w:eastAsia="zh-CN"/>
          <w14:textFill>
            <w14:solidFill>
              <w14:schemeClr w14:val="tx1"/>
            </w14:solidFill>
          </w14:textFill>
        </w:rPr>
        <w:t>公务用车</w:t>
      </w:r>
      <w:r>
        <w:rPr>
          <w:rFonts w:hint="eastAsia" w:ascii="仿宋_GB2312" w:eastAsia="仿宋_GB2312"/>
          <w:color w:val="000000" w:themeColor="text1"/>
          <w:sz w:val="32"/>
          <w:szCs w:val="32"/>
          <w:highlight w:val="none"/>
          <w:lang w:val="en-US" w:eastAsia="zh-CN"/>
          <w14:textFill>
            <w14:solidFill>
              <w14:schemeClr w14:val="tx1"/>
            </w14:solidFill>
          </w14:textFill>
        </w:rPr>
        <w:t>保有量差异</w:t>
      </w:r>
      <w:r>
        <w:rPr>
          <w:rFonts w:hint="eastAsia" w:ascii="仿宋_GB2312" w:eastAsia="仿宋_GB2312"/>
          <w:color w:val="000000" w:themeColor="text1"/>
          <w:sz w:val="32"/>
          <w:szCs w:val="32"/>
          <w:highlight w:val="none"/>
          <w:lang w:val="zh-CN" w:eastAsia="zh-CN"/>
          <w14:textFill>
            <w14:solidFill>
              <w14:schemeClr w14:val="tx1"/>
            </w14:solidFill>
          </w14:textFill>
        </w:rPr>
        <w:t>原因是：公务用车保有量与</w:t>
      </w:r>
      <w:r>
        <w:rPr>
          <w:rFonts w:hint="eastAsia" w:ascii="仿宋_GB2312" w:eastAsia="仿宋_GB2312"/>
          <w:color w:val="000000" w:themeColor="text1"/>
          <w:sz w:val="32"/>
          <w:szCs w:val="32"/>
          <w:highlight w:val="none"/>
          <w:lang w:val="en-US" w:eastAsia="zh-CN"/>
          <w14:textFill>
            <w14:solidFill>
              <w14:schemeClr w14:val="tx1"/>
            </w14:solidFill>
          </w14:textFill>
        </w:rPr>
        <w:t>固定资产车辆数据一致，</w:t>
      </w:r>
      <w:r>
        <w:rPr>
          <w:rFonts w:hint="eastAsia" w:ascii="仿宋_GB2312" w:eastAsia="仿宋_GB2312"/>
          <w:color w:val="000000" w:themeColor="text1"/>
          <w:sz w:val="32"/>
          <w:szCs w:val="32"/>
          <w:highlight w:val="none"/>
          <w:lang w:val="zh-CN" w:eastAsia="zh-CN"/>
          <w14:textFill>
            <w14:solidFill>
              <w14:schemeClr w14:val="tx1"/>
            </w14:solidFill>
          </w14:textFill>
        </w:rPr>
        <w:t>不存在差异。</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color w:val="000000" w:themeColor="text1"/>
          <w:sz w:val="32"/>
          <w:szCs w:val="32"/>
          <w:highlight w:val="none"/>
          <w:lang w:val="zh-CN" w:eastAsia="zh-CN"/>
          <w14:textFill>
            <w14:solidFill>
              <w14:schemeClr w14:val="tx1"/>
            </w14:solidFill>
          </w14:textFill>
        </w:rPr>
      </w:pPr>
      <w:r>
        <w:rPr>
          <w:rFonts w:hint="eastAsia" w:ascii="仿宋_GB2312" w:eastAsia="仿宋_GB2312"/>
          <w:color w:val="000000" w:themeColor="text1"/>
          <w:sz w:val="32"/>
          <w:szCs w:val="32"/>
          <w:highlight w:val="none"/>
          <w:lang w:val="zh-CN" w:eastAsia="zh-CN"/>
          <w14:textFill>
            <w14:solidFill>
              <w14:schemeClr w14:val="tx1"/>
            </w14:solidFill>
          </w14:textFill>
        </w:rPr>
        <w:t>公务接待费0.00万元，</w:t>
      </w:r>
      <w:r>
        <w:rPr>
          <w:rFonts w:hint="eastAsia" w:ascii="仿宋_GB2312" w:eastAsia="仿宋_GB2312"/>
          <w:color w:val="000000" w:themeColor="text1"/>
          <w:sz w:val="32"/>
          <w:szCs w:val="32"/>
          <w:lang w:val="zh-CN" w:eastAsia="zh-CN"/>
          <w14:textFill>
            <w14:solidFill>
              <w14:schemeClr w14:val="tx1"/>
            </w14:solidFill>
          </w14:textFill>
        </w:rPr>
        <w:t>开支内容包括我单位</w:t>
      </w:r>
      <w:r>
        <w:rPr>
          <w:rFonts w:hint="eastAsia" w:ascii="仿宋_GB2312" w:eastAsia="仿宋_GB2312"/>
          <w:color w:val="000000" w:themeColor="text1"/>
          <w:sz w:val="32"/>
          <w:szCs w:val="32"/>
          <w:lang w:val="en-US" w:eastAsia="zh-CN"/>
          <w14:textFill>
            <w14:solidFill>
              <w14:schemeClr w14:val="tx1"/>
            </w14:solidFill>
          </w14:textFill>
        </w:rPr>
        <w:t>无</w:t>
      </w:r>
      <w:r>
        <w:rPr>
          <w:rFonts w:hint="eastAsia" w:ascii="仿宋_GB2312" w:eastAsia="仿宋_GB2312"/>
          <w:color w:val="000000" w:themeColor="text1"/>
          <w:sz w:val="32"/>
          <w:szCs w:val="32"/>
          <w:highlight w:val="none"/>
          <w:lang w:val="zh-CN" w:eastAsia="zh-CN"/>
          <w14:textFill>
            <w14:solidFill>
              <w14:schemeClr w14:val="tx1"/>
            </w14:solidFill>
          </w14:textFill>
        </w:rPr>
        <w:t>公务接待</w:t>
      </w:r>
      <w:r>
        <w:rPr>
          <w:rFonts w:hint="eastAsia" w:ascii="仿宋_GB2312" w:eastAsia="仿宋_GB2312"/>
          <w:color w:val="000000" w:themeColor="text1"/>
          <w:sz w:val="32"/>
          <w:szCs w:val="32"/>
          <w:lang w:val="zh-CN" w:eastAsia="zh-CN"/>
          <w14:textFill>
            <w14:solidFill>
              <w14:schemeClr w14:val="tx1"/>
            </w14:solidFill>
          </w14:textFill>
        </w:rPr>
        <w:t>。单位全年安排的国内</w:t>
      </w:r>
      <w:r>
        <w:rPr>
          <w:rFonts w:hint="eastAsia" w:ascii="仿宋_GB2312" w:eastAsia="仿宋_GB2312"/>
          <w:color w:val="000000" w:themeColor="text1"/>
          <w:sz w:val="32"/>
          <w:szCs w:val="32"/>
          <w:highlight w:val="none"/>
          <w:lang w:val="zh-CN" w:eastAsia="zh-CN"/>
          <w14:textFill>
            <w14:solidFill>
              <w14:schemeClr w14:val="tx1"/>
            </w14:solidFill>
          </w14:textFill>
        </w:rPr>
        <w:t>公务接待</w:t>
      </w:r>
      <w:r>
        <w:rPr>
          <w:rFonts w:hint="eastAsia" w:ascii="仿宋_GB2312" w:eastAsia="仿宋_GB2312"/>
          <w:color w:val="000000" w:themeColor="text1"/>
          <w:sz w:val="32"/>
          <w:szCs w:val="32"/>
          <w:lang w:val="en-US" w:eastAsia="zh-CN"/>
          <w14:textFill>
            <w14:solidFill>
              <w14:schemeClr w14:val="tx1"/>
            </w14:solidFill>
          </w14:textFill>
        </w:rPr>
        <w:t>0批次，0</w:t>
      </w:r>
      <w:r>
        <w:rPr>
          <w:rFonts w:hint="eastAsia" w:ascii="仿宋_GB2312" w:eastAsia="仿宋_GB2312"/>
          <w:color w:val="000000" w:themeColor="text1"/>
          <w:sz w:val="32"/>
          <w:szCs w:val="32"/>
          <w:lang w:val="zh-CN" w:eastAsia="zh-CN"/>
          <w14:textFill>
            <w14:solidFill>
              <w14:schemeClr w14:val="tx1"/>
            </w14:solidFill>
          </w14:textFill>
        </w:rPr>
        <w:t>人次</w:t>
      </w:r>
      <w:r>
        <w:rPr>
          <w:rFonts w:hint="eastAsia" w:ascii="仿宋_GB2312"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240" w:lineRule="auto"/>
        <w:ind w:firstLine="642" w:firstLineChars="200"/>
        <w:jc w:val="both"/>
        <w:textAlignment w:val="auto"/>
        <w:rPr>
          <w:rFonts w:hint="eastAsia" w:ascii="仿宋_GB2312" w:eastAsia="仿宋_GB2312"/>
          <w:color w:val="000000" w:themeColor="text1"/>
          <w:sz w:val="32"/>
          <w:szCs w:val="32"/>
          <w:highlight w:val="none"/>
          <w:lang w:val="zh-CN" w:eastAsia="zh-CN"/>
          <w14:textFill>
            <w14:solidFill>
              <w14:schemeClr w14:val="tx1"/>
            </w14:solidFill>
          </w14:textFill>
        </w:rPr>
      </w:pPr>
      <w:r>
        <w:rPr>
          <w:rFonts w:hint="eastAsia" w:ascii="仿宋_GB2312" w:eastAsia="仿宋_GB2312"/>
          <w:b/>
          <w:bCs/>
          <w:color w:val="000000" w:themeColor="text1"/>
          <w:sz w:val="32"/>
          <w:szCs w:val="32"/>
          <w:highlight w:val="none"/>
          <w:lang w:val="zh-CN" w:eastAsia="zh-CN"/>
          <w14:textFill>
            <w14:solidFill>
              <w14:schemeClr w14:val="tx1"/>
            </w14:solidFill>
          </w14:textFill>
        </w:rPr>
        <w:t>与</w:t>
      </w:r>
      <w:r>
        <w:rPr>
          <w:rFonts w:hint="eastAsia" w:ascii="仿宋_GB2312" w:eastAsia="仿宋_GB2312"/>
          <w:b/>
          <w:bCs/>
          <w:color w:val="000000" w:themeColor="text1"/>
          <w:sz w:val="32"/>
          <w:szCs w:val="32"/>
          <w:highlight w:val="none"/>
          <w:lang w:val="en-US" w:eastAsia="zh-CN"/>
          <w14:textFill>
            <w14:solidFill>
              <w14:schemeClr w14:val="tx1"/>
            </w14:solidFill>
          </w14:textFill>
        </w:rPr>
        <w:t>全年</w:t>
      </w:r>
      <w:r>
        <w:rPr>
          <w:rFonts w:hint="eastAsia" w:ascii="仿宋_GB2312" w:eastAsia="仿宋_GB2312"/>
          <w:b/>
          <w:bCs/>
          <w:color w:val="000000" w:themeColor="text1"/>
          <w:sz w:val="32"/>
          <w:szCs w:val="32"/>
          <w:highlight w:val="none"/>
          <w:lang w:val="zh-CN" w:eastAsia="zh-CN"/>
          <w14:textFill>
            <w14:solidFill>
              <w14:schemeClr w14:val="tx1"/>
            </w14:solidFill>
          </w14:textFill>
        </w:rPr>
        <w:t>预算相比</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highlight w:val="none"/>
          <w:lang w:val="zh-CN" w:eastAsia="zh-CN"/>
          <w14:textFill>
            <w14:solidFill>
              <w14:schemeClr w14:val="tx1"/>
            </w14:solidFill>
          </w14:textFill>
        </w:rPr>
        <w:t>财政拨款“三公”经费支出</w:t>
      </w:r>
      <w:r>
        <w:rPr>
          <w:rFonts w:hint="eastAsia" w:ascii="仿宋_GB2312" w:eastAsia="仿宋_GB2312"/>
          <w:color w:val="000000" w:themeColor="text1"/>
          <w:sz w:val="32"/>
          <w:szCs w:val="32"/>
          <w:highlight w:val="none"/>
          <w:lang w:val="en-US" w:eastAsia="zh-CN"/>
          <w14:textFill>
            <w14:solidFill>
              <w14:schemeClr w14:val="tx1"/>
            </w14:solidFill>
          </w14:textFill>
        </w:rPr>
        <w:t>全年</w:t>
      </w:r>
      <w:r>
        <w:rPr>
          <w:rFonts w:hint="eastAsia" w:ascii="仿宋_GB2312" w:eastAsia="仿宋_GB2312"/>
          <w:color w:val="000000" w:themeColor="text1"/>
          <w:sz w:val="32"/>
          <w:szCs w:val="32"/>
          <w:highlight w:val="none"/>
          <w:lang w:val="zh-CN" w:eastAsia="zh-CN"/>
          <w14:textFill>
            <w14:solidFill>
              <w14:schemeClr w14:val="tx1"/>
            </w14:solidFill>
          </w14:textFill>
        </w:rPr>
        <w:t>预算数0.00万元，决算数0.00万元，预决算差异率0.00%，主要原因是：</w:t>
      </w:r>
      <w:r>
        <w:rPr>
          <w:rFonts w:hint="eastAsia" w:ascii="仿宋_GB2312" w:eastAsia="仿宋_GB2312"/>
          <w:color w:val="000000" w:themeColor="text1"/>
          <w:sz w:val="32"/>
          <w:szCs w:val="32"/>
          <w:lang w:val="zh-CN"/>
          <w14:textFill>
            <w14:solidFill>
              <w14:schemeClr w14:val="tx1"/>
            </w14:solidFill>
          </w14:textFill>
        </w:rPr>
        <w:t>厉行节约，严格按照预算安排执行</w:t>
      </w:r>
      <w:r>
        <w:rPr>
          <w:rFonts w:hint="eastAsia" w:ascii="仿宋_GB2312" w:eastAsia="仿宋_GB2312"/>
          <w:color w:val="000000" w:themeColor="text1"/>
          <w:sz w:val="32"/>
          <w:szCs w:val="32"/>
          <w:highlight w:val="none"/>
          <w:lang w:val="zh-CN" w:eastAsia="zh-CN"/>
          <w14:textFill>
            <w14:solidFill>
              <w14:schemeClr w14:val="tx1"/>
            </w14:solidFill>
          </w14:textFill>
        </w:rPr>
        <w:t>。其中：因公出国（境）费</w:t>
      </w:r>
      <w:r>
        <w:rPr>
          <w:rFonts w:hint="eastAsia" w:ascii="仿宋_GB2312" w:eastAsia="仿宋_GB2312"/>
          <w:color w:val="000000" w:themeColor="text1"/>
          <w:sz w:val="32"/>
          <w:szCs w:val="32"/>
          <w:highlight w:val="none"/>
          <w:lang w:val="en-US" w:eastAsia="zh-CN"/>
          <w14:textFill>
            <w14:solidFill>
              <w14:schemeClr w14:val="tx1"/>
            </w14:solidFill>
          </w14:textFill>
        </w:rPr>
        <w:t>全年预算数</w:t>
      </w:r>
      <w:r>
        <w:rPr>
          <w:rFonts w:hint="eastAsia" w:ascii="仿宋_GB2312" w:eastAsia="仿宋_GB2312"/>
          <w:color w:val="000000" w:themeColor="text1"/>
          <w:sz w:val="32"/>
          <w:szCs w:val="32"/>
          <w:highlight w:val="none"/>
          <w:lang w:val="zh-CN" w:eastAsia="zh-CN"/>
          <w14:textFill>
            <w14:solidFill>
              <w14:schemeClr w14:val="tx1"/>
            </w14:solidFill>
          </w14:textFill>
        </w:rPr>
        <w:t>0.00万元，决算数0.00万元，预决算差异率0.00%，主要原因是：</w:t>
      </w:r>
      <w:r>
        <w:rPr>
          <w:rFonts w:hint="eastAsia" w:ascii="仿宋_GB2312" w:eastAsia="仿宋_GB2312"/>
          <w:color w:val="000000" w:themeColor="text1"/>
          <w:sz w:val="32"/>
          <w:szCs w:val="32"/>
          <w:lang w:val="en-US" w:eastAsia="zh-CN"/>
          <w14:textFill>
            <w14:solidFill>
              <w14:schemeClr w14:val="tx1"/>
            </w14:solidFill>
          </w14:textFill>
        </w:rPr>
        <w:t>2023年无</w:t>
      </w:r>
      <w:r>
        <w:rPr>
          <w:rFonts w:hint="eastAsia" w:ascii="仿宋_GB2312" w:eastAsia="仿宋_GB2312"/>
          <w:color w:val="000000" w:themeColor="text1"/>
          <w:sz w:val="32"/>
          <w:szCs w:val="32"/>
          <w14:textFill>
            <w14:solidFill>
              <w14:schemeClr w14:val="tx1"/>
            </w14:solidFill>
          </w14:textFill>
        </w:rPr>
        <w:t>财政拨款因公出国（境）费</w:t>
      </w:r>
      <w:r>
        <w:rPr>
          <w:rFonts w:hint="eastAsia" w:ascii="仿宋_GB2312" w:eastAsia="仿宋_GB2312"/>
          <w:color w:val="000000" w:themeColor="text1"/>
          <w:sz w:val="32"/>
          <w:szCs w:val="32"/>
          <w:highlight w:val="none"/>
          <w:lang w:val="zh-CN" w:eastAsia="zh-CN"/>
          <w14:textFill>
            <w14:solidFill>
              <w14:schemeClr w14:val="tx1"/>
            </w14:solidFill>
          </w14:textFill>
        </w:rPr>
        <w:t>；公务用车购置费</w:t>
      </w:r>
      <w:r>
        <w:rPr>
          <w:rFonts w:hint="eastAsia" w:ascii="仿宋_GB2312" w:eastAsia="仿宋_GB2312"/>
          <w:color w:val="000000" w:themeColor="text1"/>
          <w:sz w:val="32"/>
          <w:szCs w:val="32"/>
          <w:highlight w:val="none"/>
          <w:lang w:val="en-US" w:eastAsia="zh-CN"/>
          <w14:textFill>
            <w14:solidFill>
              <w14:schemeClr w14:val="tx1"/>
            </w14:solidFill>
          </w14:textFill>
        </w:rPr>
        <w:t>全年</w:t>
      </w:r>
      <w:r>
        <w:rPr>
          <w:rFonts w:hint="eastAsia" w:ascii="仿宋_GB2312" w:eastAsia="仿宋_GB2312"/>
          <w:color w:val="000000" w:themeColor="text1"/>
          <w:sz w:val="32"/>
          <w:szCs w:val="32"/>
          <w:highlight w:val="none"/>
          <w:lang w:val="zh-CN" w:eastAsia="zh-CN"/>
          <w14:textFill>
            <w14:solidFill>
              <w14:schemeClr w14:val="tx1"/>
            </w14:solidFill>
          </w14:textFill>
        </w:rPr>
        <w:t>预算数0.00万元，决算数0.00万元，预决算差异率0.00%，主要原因是：</w:t>
      </w:r>
      <w:r>
        <w:rPr>
          <w:rFonts w:hint="eastAsia" w:ascii="仿宋_GB2312" w:eastAsia="仿宋_GB2312"/>
          <w:color w:val="000000" w:themeColor="text1"/>
          <w:sz w:val="32"/>
          <w:szCs w:val="32"/>
          <w:lang w:val="en-US" w:eastAsia="zh-CN"/>
          <w14:textFill>
            <w14:solidFill>
              <w14:schemeClr w14:val="tx1"/>
            </w14:solidFill>
          </w14:textFill>
        </w:rPr>
        <w:t>2023年无</w:t>
      </w:r>
      <w:r>
        <w:rPr>
          <w:rFonts w:hint="eastAsia" w:ascii="仿宋_GB2312" w:eastAsia="仿宋_GB2312"/>
          <w:color w:val="000000" w:themeColor="text1"/>
          <w:sz w:val="32"/>
          <w:szCs w:val="32"/>
          <w14:textFill>
            <w14:solidFill>
              <w14:schemeClr w14:val="tx1"/>
            </w14:solidFill>
          </w14:textFill>
        </w:rPr>
        <w:t>财政拨款公务用车购置费</w:t>
      </w:r>
      <w:r>
        <w:rPr>
          <w:rFonts w:hint="eastAsia" w:ascii="仿宋_GB2312" w:eastAsia="仿宋_GB2312"/>
          <w:color w:val="000000" w:themeColor="text1"/>
          <w:sz w:val="32"/>
          <w:szCs w:val="32"/>
          <w:highlight w:val="none"/>
          <w:lang w:val="zh-CN" w:eastAsia="zh-CN"/>
          <w14:textFill>
            <w14:solidFill>
              <w14:schemeClr w14:val="tx1"/>
            </w14:solidFill>
          </w14:textFill>
        </w:rPr>
        <w:t>；公务用车运行费</w:t>
      </w:r>
      <w:r>
        <w:rPr>
          <w:rFonts w:hint="eastAsia" w:ascii="仿宋_GB2312" w:eastAsia="仿宋_GB2312"/>
          <w:color w:val="000000" w:themeColor="text1"/>
          <w:sz w:val="32"/>
          <w:szCs w:val="32"/>
          <w:highlight w:val="none"/>
          <w:lang w:val="en-US" w:eastAsia="zh-CN"/>
          <w14:textFill>
            <w14:solidFill>
              <w14:schemeClr w14:val="tx1"/>
            </w14:solidFill>
          </w14:textFill>
        </w:rPr>
        <w:t>全年</w:t>
      </w:r>
      <w:r>
        <w:rPr>
          <w:rFonts w:hint="eastAsia" w:ascii="仿宋_GB2312" w:eastAsia="仿宋_GB2312"/>
          <w:color w:val="000000" w:themeColor="text1"/>
          <w:sz w:val="32"/>
          <w:szCs w:val="32"/>
          <w:highlight w:val="none"/>
          <w:lang w:val="zh-CN" w:eastAsia="zh-CN"/>
          <w14:textFill>
            <w14:solidFill>
              <w14:schemeClr w14:val="tx1"/>
            </w14:solidFill>
          </w14:textFill>
        </w:rPr>
        <w:t>预算数0.00万元，决算数0.00万元，预决算差异率0.00%，主要原因是：</w:t>
      </w:r>
      <w:r>
        <w:rPr>
          <w:rFonts w:hint="eastAsia" w:ascii="仿宋_GB2312" w:eastAsia="仿宋_GB2312"/>
          <w:color w:val="000000" w:themeColor="text1"/>
          <w:sz w:val="32"/>
          <w:szCs w:val="32"/>
          <w:lang w:val="en-US" w:eastAsia="zh-CN"/>
          <w14:textFill>
            <w14:solidFill>
              <w14:schemeClr w14:val="tx1"/>
            </w14:solidFill>
          </w14:textFill>
        </w:rPr>
        <w:t>2023年无</w:t>
      </w:r>
      <w:r>
        <w:rPr>
          <w:rFonts w:hint="eastAsia" w:ascii="仿宋_GB2312" w:eastAsia="仿宋_GB2312"/>
          <w:color w:val="000000" w:themeColor="text1"/>
          <w:sz w:val="32"/>
          <w:szCs w:val="32"/>
          <w14:textFill>
            <w14:solidFill>
              <w14:schemeClr w14:val="tx1"/>
            </w14:solidFill>
          </w14:textFill>
        </w:rPr>
        <w:t>财政拨款公务用车运行维护费</w:t>
      </w:r>
      <w:r>
        <w:rPr>
          <w:rFonts w:hint="eastAsia" w:ascii="仿宋_GB2312" w:eastAsia="仿宋_GB2312"/>
          <w:color w:val="000000" w:themeColor="text1"/>
          <w:sz w:val="32"/>
          <w:szCs w:val="32"/>
          <w:highlight w:val="none"/>
          <w:lang w:val="zh-CN" w:eastAsia="zh-CN"/>
          <w14:textFill>
            <w14:solidFill>
              <w14:schemeClr w14:val="tx1"/>
            </w14:solidFill>
          </w14:textFill>
        </w:rPr>
        <w:t>；公务接待费</w:t>
      </w:r>
      <w:r>
        <w:rPr>
          <w:rFonts w:hint="eastAsia" w:ascii="仿宋_GB2312" w:eastAsia="仿宋_GB2312"/>
          <w:color w:val="000000" w:themeColor="text1"/>
          <w:sz w:val="32"/>
          <w:szCs w:val="32"/>
          <w:highlight w:val="none"/>
          <w:lang w:val="en-US" w:eastAsia="zh-CN"/>
          <w14:textFill>
            <w14:solidFill>
              <w14:schemeClr w14:val="tx1"/>
            </w14:solidFill>
          </w14:textFill>
        </w:rPr>
        <w:t>全年</w:t>
      </w:r>
      <w:r>
        <w:rPr>
          <w:rFonts w:hint="eastAsia" w:ascii="仿宋_GB2312" w:eastAsia="仿宋_GB2312"/>
          <w:color w:val="000000" w:themeColor="text1"/>
          <w:sz w:val="32"/>
          <w:szCs w:val="32"/>
          <w:highlight w:val="none"/>
          <w:lang w:val="zh-CN" w:eastAsia="zh-CN"/>
          <w14:textFill>
            <w14:solidFill>
              <w14:schemeClr w14:val="tx1"/>
            </w14:solidFill>
          </w14:textFill>
        </w:rPr>
        <w:t>预算数0.00万元，决算数0.00万元，预决算差异率0.00%，主要原因是：</w:t>
      </w:r>
      <w:r>
        <w:rPr>
          <w:rFonts w:hint="eastAsia" w:ascii="仿宋_GB2312" w:eastAsia="仿宋_GB2312"/>
          <w:color w:val="000000" w:themeColor="text1"/>
          <w:sz w:val="32"/>
          <w:szCs w:val="32"/>
          <w:lang w:val="en-US" w:eastAsia="zh-CN"/>
          <w14:textFill>
            <w14:solidFill>
              <w14:schemeClr w14:val="tx1"/>
            </w14:solidFill>
          </w14:textFill>
        </w:rPr>
        <w:t>2023年无</w:t>
      </w:r>
      <w:r>
        <w:rPr>
          <w:rFonts w:hint="eastAsia" w:ascii="仿宋_GB2312" w:eastAsia="仿宋_GB2312"/>
          <w:color w:val="000000" w:themeColor="text1"/>
          <w:sz w:val="32"/>
          <w:szCs w:val="32"/>
          <w14:textFill>
            <w14:solidFill>
              <w14:schemeClr w14:val="tx1"/>
            </w14:solidFill>
          </w14:textFill>
        </w:rPr>
        <w:t>财政拨款公务接待费</w:t>
      </w:r>
      <w:r>
        <w:rPr>
          <w:rFonts w:hint="eastAsia" w:ascii="仿宋_GB2312" w:eastAsia="仿宋_GB2312"/>
          <w:color w:val="000000" w:themeColor="text1"/>
          <w:sz w:val="32"/>
          <w:szCs w:val="32"/>
          <w:highlight w:val="none"/>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仿宋_GB2312" w:eastAsia="仿宋_GB2312"/>
          <w:color w:val="000000" w:themeColor="text1"/>
          <w:sz w:val="32"/>
          <w:szCs w:val="32"/>
          <w:highlight w:val="none"/>
          <w:lang w:eastAsia="zh-CN"/>
          <w14:textFill>
            <w14:solidFill>
              <w14:schemeClr w14:val="tx1"/>
            </w14:solidFill>
          </w14:textFill>
        </w:rPr>
      </w:pPr>
      <w:bookmarkStart w:id="18" w:name="_Toc7927"/>
      <w:bookmarkStart w:id="19" w:name="_Toc5810"/>
      <w:r>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t>八</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、政府性基金预算财政拨款收入支出决算情况说明</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我</w:t>
      </w:r>
      <w:r>
        <w:rPr>
          <w:rFonts w:hint="eastAsia" w:ascii="仿宋_GB2312" w:eastAsia="仿宋_GB2312"/>
          <w:color w:val="000000" w:themeColor="text1"/>
          <w:sz w:val="32"/>
          <w:szCs w:val="32"/>
          <w:highlight w:val="none"/>
          <w:lang w:val="en-US" w:eastAsia="zh-CN"/>
          <w14:textFill>
            <w14:solidFill>
              <w14:schemeClr w14:val="tx1"/>
            </w14:solidFill>
          </w14:textFill>
        </w:rPr>
        <w:t>单位</w:t>
      </w:r>
      <w:r>
        <w:rPr>
          <w:rFonts w:hint="eastAsia" w:ascii="仿宋_GB2312" w:eastAsia="仿宋_GB2312"/>
          <w:color w:val="000000" w:themeColor="text1"/>
          <w:sz w:val="32"/>
          <w:szCs w:val="32"/>
          <w:highlight w:val="none"/>
          <w:lang w:eastAsia="zh-CN"/>
          <w14:textFill>
            <w14:solidFill>
              <w14:schemeClr w14:val="tx1"/>
            </w14:solidFill>
          </w14:textFill>
        </w:rPr>
        <w:t>本年度无政府性基金预算财政拨款收入、支出</w:t>
      </w:r>
      <w:r>
        <w:rPr>
          <w:rFonts w:hint="eastAsia" w:ascii="仿宋_GB2312" w:eastAsia="仿宋_GB2312"/>
          <w:color w:val="000000" w:themeColor="text1"/>
          <w:sz w:val="32"/>
          <w:szCs w:val="32"/>
          <w:highlight w:val="none"/>
          <w:lang w:val="en-US" w:eastAsia="zh-CN"/>
          <w14:textFill>
            <w14:solidFill>
              <w14:schemeClr w14:val="tx1"/>
            </w14:solidFill>
          </w14:textFill>
        </w:rPr>
        <w:t>及结转和结余</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t>九</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我</w:t>
      </w:r>
      <w:r>
        <w:rPr>
          <w:rFonts w:hint="eastAsia" w:ascii="仿宋_GB2312" w:eastAsia="仿宋_GB2312"/>
          <w:color w:val="000000" w:themeColor="text1"/>
          <w:sz w:val="32"/>
          <w:szCs w:val="32"/>
          <w:highlight w:val="none"/>
          <w:lang w:val="en-US" w:eastAsia="zh-CN"/>
          <w14:textFill>
            <w14:solidFill>
              <w14:schemeClr w14:val="tx1"/>
            </w14:solidFill>
          </w14:textFill>
        </w:rPr>
        <w:t>单位</w:t>
      </w:r>
      <w:r>
        <w:rPr>
          <w:rFonts w:hint="eastAsia" w:ascii="仿宋_GB2312" w:eastAsia="仿宋_GB2312"/>
          <w:color w:val="000000" w:themeColor="text1"/>
          <w:sz w:val="32"/>
          <w:szCs w:val="32"/>
          <w:highlight w:val="none"/>
          <w:lang w:eastAsia="zh-CN"/>
          <w14:textFill>
            <w14:solidFill>
              <w14:schemeClr w14:val="tx1"/>
            </w14:solidFill>
          </w14:textFill>
        </w:rPr>
        <w:t>本年度无国有资本经营预算财政拨款收入、支出</w:t>
      </w:r>
      <w:r>
        <w:rPr>
          <w:rFonts w:hint="eastAsia" w:ascii="仿宋_GB2312" w:eastAsia="仿宋_GB2312"/>
          <w:color w:val="000000" w:themeColor="text1"/>
          <w:sz w:val="32"/>
          <w:szCs w:val="32"/>
          <w:highlight w:val="none"/>
          <w:lang w:val="en-US" w:eastAsia="zh-CN"/>
          <w14:textFill>
            <w14:solidFill>
              <w14:schemeClr w14:val="tx1"/>
            </w14:solidFill>
          </w14:textFill>
        </w:rPr>
        <w:t>及结转和结余</w:t>
      </w:r>
      <w:r>
        <w:rPr>
          <w:rFonts w:hint="eastAsia" w:ascii="仿宋_GB2312" w:eastAsia="仿宋_GB2312"/>
          <w:color w:val="000000" w:themeColor="text1"/>
          <w:sz w:val="32"/>
          <w:szCs w:val="32"/>
          <w:highlight w:val="none"/>
          <w:lang w:eastAsia="zh-CN"/>
          <w14:textFill>
            <w14:solidFill>
              <w14:schemeClr w14:val="tx1"/>
            </w14:solidFill>
          </w14:textFill>
        </w:rPr>
        <w:t>，国有资本经营</w:t>
      </w:r>
      <w:r>
        <w:rPr>
          <w:rFonts w:hint="eastAsia" w:ascii="仿宋_GB2312" w:eastAsia="仿宋_GB2312"/>
          <w:color w:val="000000" w:themeColor="text1"/>
          <w:sz w:val="32"/>
          <w:szCs w:val="32"/>
          <w:highlight w:val="none"/>
          <w14:textFill>
            <w14:solidFill>
              <w14:schemeClr w14:val="tx1"/>
            </w14:solidFill>
          </w14:textFill>
        </w:rPr>
        <w:t>预算财政拨款收入支出决算表为空表。</w:t>
      </w:r>
      <w:bookmarkStart w:id="20" w:name="_Toc1235"/>
      <w:bookmarkStart w:id="21" w:name="_Toc731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十</w:t>
      </w:r>
      <w:r>
        <w:rPr>
          <w:rFonts w:hint="eastAsia" w:ascii="黑体" w:hAnsi="黑体" w:eastAsia="黑体" w:cs="宋体"/>
          <w:bCs/>
          <w:color w:val="000000" w:themeColor="text1"/>
          <w:kern w:val="0"/>
          <w:sz w:val="32"/>
          <w:szCs w:val="32"/>
          <w:highlight w:val="none"/>
          <w14:textFill>
            <w14:solidFill>
              <w14:schemeClr w14:val="tx1"/>
            </w14:solidFill>
          </w14:textFill>
        </w:rPr>
        <w:t>、其他重要事项的情况</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说明</w:t>
      </w:r>
      <w:bookmarkEnd w:id="20"/>
      <w:bookmarkEnd w:id="2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000000" w:themeColor="text1"/>
          <w:sz w:val="32"/>
          <w:szCs w:val="32"/>
          <w:highlight w:val="none"/>
          <w14:textFill>
            <w14:solidFill>
              <w14:schemeClr w14:val="tx1"/>
            </w14:solidFill>
          </w14:textFill>
        </w:rPr>
      </w:pPr>
      <w:bookmarkStart w:id="22" w:name="_Toc13105"/>
      <w:bookmarkStart w:id="23" w:name="_Toc14519"/>
      <w:r>
        <w:rPr>
          <w:rFonts w:hint="eastAsia" w:ascii="黑体" w:hAnsi="黑体" w:eastAsia="黑体"/>
          <w:color w:val="000000" w:themeColor="text1"/>
          <w:sz w:val="32"/>
          <w:szCs w:val="32"/>
          <w:highlight w:val="none"/>
          <w:lang w:eastAsia="zh-CN"/>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机关运行经费支出情况</w:t>
      </w:r>
      <w:bookmarkEnd w:id="22"/>
      <w:bookmarkEnd w:id="23"/>
    </w:p>
    <w:p>
      <w:pPr>
        <w:ind w:firstLine="640" w:firstLineChars="200"/>
        <w:jc w:val="both"/>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pPr>
      <w:bookmarkStart w:id="24" w:name="_Toc26704"/>
      <w:bookmarkStart w:id="25" w:name="_Toc227"/>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2023年度</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新疆维吾尔自治区民政事业规划发展中心</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（事业单位）公用经费支出6.00万元，比上年增加3.44万元，增长134.</w:t>
      </w:r>
      <w:r>
        <w:rPr>
          <w:rFonts w:hint="eastAsia" w:eastAsia="仿宋_GB2312" w:cs="Times New Roman"/>
          <w:color w:val="000000" w:themeColor="text1"/>
          <w:sz w:val="32"/>
          <w:szCs w:val="32"/>
          <w:highlight w:val="none"/>
          <w:lang w:val="en-US" w:eastAsia="zh-CN"/>
          <w14:textFill>
            <w14:solidFill>
              <w14:schemeClr w14:val="tx1"/>
            </w14:solidFill>
          </w14:textFill>
        </w:rPr>
        <w:t>38</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%，主要原因是：</w:t>
      </w:r>
      <w:r>
        <w:rPr>
          <w:rFonts w:hint="eastAsia" w:eastAsia="仿宋_GB2312" w:cs="Times New Roman"/>
          <w:color w:val="000000" w:themeColor="text1"/>
          <w:sz w:val="32"/>
          <w:szCs w:val="32"/>
          <w:highlight w:val="none"/>
          <w:lang w:val="en-US" w:eastAsia="zh-CN"/>
          <w14:textFill>
            <w14:solidFill>
              <w14:schemeClr w14:val="tx1"/>
            </w14:solidFill>
          </w14:textFill>
        </w:rPr>
        <w:t>2023年恢复常态化管理后，单位日常运转正常开支，</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公用经费支出</w:t>
      </w:r>
      <w:r>
        <w:rPr>
          <w:rFonts w:hint="eastAsia" w:eastAsia="仿宋_GB2312" w:cs="Times New Roman"/>
          <w:color w:val="000000" w:themeColor="text1"/>
          <w:sz w:val="32"/>
          <w:szCs w:val="32"/>
          <w:highlight w:val="none"/>
          <w:lang w:val="zh-CN" w:eastAsia="zh-CN"/>
          <w14:textFill>
            <w14:solidFill>
              <w14:schemeClr w14:val="tx1"/>
            </w14:solidFill>
          </w14:textFill>
        </w:rPr>
        <w:t>增加</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黑体" w:cs="Times New Roman"/>
          <w:color w:val="000000" w:themeColor="text1"/>
          <w:sz w:val="32"/>
          <w:szCs w:val="30"/>
          <w:highlight w:val="none"/>
          <w:lang w:val="zh-CN" w:eastAsia="zh-CN"/>
          <w14:textFill>
            <w14:solidFill>
              <w14:schemeClr w14:val="tx1"/>
            </w14:solidFill>
          </w14:textFill>
        </w:rPr>
      </w:pPr>
      <w:r>
        <w:rPr>
          <w:rFonts w:hint="eastAsia" w:ascii="Times New Roman" w:hAnsi="Times New Roman" w:eastAsia="黑体" w:cs="Times New Roman"/>
          <w:color w:val="000000" w:themeColor="text1"/>
          <w:sz w:val="32"/>
          <w:szCs w:val="30"/>
          <w:highlight w:val="none"/>
          <w:lang w:val="zh-CN" w:eastAsia="zh-CN"/>
          <w14:textFill>
            <w14:solidFill>
              <w14:schemeClr w14:val="tx1"/>
            </w14:solidFill>
          </w14:textFill>
        </w:rPr>
        <w:t>（二）政府采购情况</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2023年度</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政府采购支出总额</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1.75万元</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其中：政府采购货物支出1.75万元、政府采购工程支出0.00万元、政府采购服务支出0.00万元。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授予中小企业合同金额1.75万元，占政府采购支出总额的100.00</w:t>
      </w:r>
      <w:r>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，其中：授予小微企业合同金额1.75万元，占政府采购支出总额的100.00</w:t>
      </w:r>
      <w:r>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黑体" w:cs="Times New Roman"/>
          <w:color w:val="000000" w:themeColor="text1"/>
          <w:sz w:val="32"/>
          <w:szCs w:val="30"/>
          <w:highlight w:val="none"/>
          <w:lang w:val="zh-CN" w:eastAsia="zh-CN"/>
          <w14:textFill>
            <w14:solidFill>
              <w14:schemeClr w14:val="tx1"/>
            </w14:solidFill>
          </w14:textFill>
        </w:rPr>
      </w:pPr>
      <w:bookmarkStart w:id="26" w:name="_Toc4591"/>
      <w:bookmarkStart w:id="27" w:name="_Toc8391"/>
      <w:r>
        <w:rPr>
          <w:rFonts w:hint="eastAsia" w:ascii="Times New Roman" w:hAnsi="Times New Roman" w:eastAsia="黑体" w:cs="Times New Roman"/>
          <w:color w:val="000000" w:themeColor="text1"/>
          <w:sz w:val="32"/>
          <w:szCs w:val="30"/>
          <w:highlight w:val="none"/>
          <w:lang w:val="zh-CN" w:eastAsia="zh-CN"/>
          <w14:textFill>
            <w14:solidFill>
              <w14:schemeClr w14:val="tx1"/>
            </w14:solidFill>
          </w14:textFill>
        </w:rPr>
        <w:t>（三）国有资产占用情况说明</w:t>
      </w:r>
      <w:bookmarkEnd w:id="26"/>
      <w:bookmarkEnd w:id="2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截至2023</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12月31日</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固定资产原值</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8.42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万元，房</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屋0.0平方米，价值0.00万元。车辆0辆，价值0.00万元，其中：副部（省）级及以上领导用车0辆、主要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负责人</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用车0辆、机要通信用车0辆、应急保障用车0辆、执法执勤用车0辆、特种专业技术用车0辆、离退休干部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服务</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用车0辆、其他用车0辆，其他用车主要是：</w:t>
      </w:r>
      <w:r>
        <w:rPr>
          <w:rFonts w:hint="eastAsia" w:ascii="仿宋_GB2312" w:eastAsia="仿宋_GB2312"/>
          <w:color w:val="000000" w:themeColor="text1"/>
          <w:sz w:val="32"/>
          <w:szCs w:val="32"/>
          <w14:textFill>
            <w14:solidFill>
              <w14:schemeClr w14:val="tx1"/>
            </w14:solidFill>
          </w14:textFill>
        </w:rPr>
        <w:t>我单位无其他用车</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；单价100万元（含）以上设备（不含车辆）0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台（</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套）。</w:t>
      </w:r>
      <w:bookmarkStart w:id="48" w:name="_GoBack"/>
      <w:bookmarkEnd w:id="4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bookmarkStart w:id="28" w:name="_Toc11283"/>
      <w:bookmarkStart w:id="29" w:name="_Toc435"/>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十</w:t>
      </w:r>
      <w:r>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t>一</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、预算绩效的情况说明</w:t>
      </w:r>
      <w:bookmarkEnd w:id="28"/>
      <w:bookmarkEnd w:id="2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根据预算绩效管理要求，我</w:t>
      </w:r>
      <w:r>
        <w:rPr>
          <w:rFonts w:hint="eastAsia" w:ascii="仿宋_GB2312" w:eastAsia="仿宋_GB2312"/>
          <w:color w:val="000000" w:themeColor="text1"/>
          <w:sz w:val="32"/>
          <w:szCs w:val="32"/>
          <w:highlight w:val="none"/>
          <w:lang w:val="en-US" w:eastAsia="zh-CN"/>
          <w14:textFill>
            <w14:solidFill>
              <w14:schemeClr w14:val="tx1"/>
            </w14:solidFill>
          </w14:textFill>
        </w:rPr>
        <w:t>单位</w:t>
      </w:r>
      <w:r>
        <w:rPr>
          <w:rFonts w:hint="eastAsia" w:ascii="仿宋_GB2312" w:eastAsia="仿宋_GB2312"/>
          <w:color w:val="000000" w:themeColor="text1"/>
          <w:sz w:val="32"/>
          <w:szCs w:val="32"/>
          <w:highlight w:val="none"/>
          <w:lang w:eastAsia="zh-CN"/>
          <w14:textFill>
            <w14:solidFill>
              <w14:schemeClr w14:val="tx1"/>
            </w14:solidFill>
          </w14:textFill>
        </w:rPr>
        <w:t>2023年度预算绩效管理整体</w:t>
      </w:r>
      <w:r>
        <w:rPr>
          <w:rFonts w:hint="eastAsia" w:ascii="仿宋_GB2312" w:eastAsia="仿宋_GB2312"/>
          <w:color w:val="000000" w:themeColor="text1"/>
          <w:sz w:val="32"/>
          <w:szCs w:val="32"/>
          <w:highlight w:val="none"/>
          <w:lang w:val="en-US" w:eastAsia="zh-CN"/>
          <w14:textFill>
            <w14:solidFill>
              <w14:schemeClr w14:val="tx1"/>
            </w14:solidFill>
          </w14:textFill>
        </w:rPr>
        <w:t>支出</w:t>
      </w:r>
      <w:r>
        <w:rPr>
          <w:rFonts w:hint="eastAsia" w:ascii="仿宋_GB2312" w:eastAsia="仿宋_GB2312"/>
          <w:color w:val="000000" w:themeColor="text1"/>
          <w:sz w:val="32"/>
          <w:szCs w:val="32"/>
          <w:highlight w:val="none"/>
          <w:lang w:eastAsia="zh-CN"/>
          <w14:textFill>
            <w14:solidFill>
              <w14:schemeClr w14:val="tx1"/>
            </w14:solidFill>
          </w14:textFill>
        </w:rPr>
        <w:t>绩效自评表</w:t>
      </w:r>
      <w:r>
        <w:rPr>
          <w:rFonts w:hint="eastAsia" w:ascii="仿宋_GB2312" w:eastAsia="仿宋_GB2312"/>
          <w:color w:val="000000" w:themeColor="text1"/>
          <w:sz w:val="32"/>
          <w:szCs w:val="32"/>
          <w:highlight w:val="none"/>
          <w:lang w:val="en-US" w:eastAsia="zh-CN"/>
          <w14:textFill>
            <w14:solidFill>
              <w14:schemeClr w14:val="tx1"/>
            </w14:solidFill>
          </w14:textFill>
        </w:rPr>
        <w:t>0个，全年预算总额0</w:t>
      </w:r>
      <w:r>
        <w:rPr>
          <w:rFonts w:hint="eastAsia" w:ascii="仿宋_GB2312" w:eastAsia="仿宋_GB2312"/>
          <w:color w:val="000000" w:themeColor="text1"/>
          <w:sz w:val="32"/>
          <w:szCs w:val="32"/>
          <w:highlight w:val="none"/>
          <w:lang w:eastAsia="zh-CN"/>
          <w14:textFill>
            <w14:solidFill>
              <w14:schemeClr w14:val="tx1"/>
            </w14:solidFill>
          </w14:textFill>
        </w:rPr>
        <w:t>万元，</w:t>
      </w:r>
      <w:r>
        <w:rPr>
          <w:rFonts w:hint="eastAsia" w:ascii="仿宋_GB2312" w:eastAsia="仿宋_GB2312"/>
          <w:color w:val="000000" w:themeColor="text1"/>
          <w:sz w:val="32"/>
          <w:szCs w:val="32"/>
          <w:highlight w:val="none"/>
          <w:lang w:val="en-US" w:eastAsia="zh-CN"/>
          <w14:textFill>
            <w14:solidFill>
              <w14:schemeClr w14:val="tx1"/>
            </w14:solidFill>
          </w14:textFill>
        </w:rPr>
        <w:t>实际执行总额0</w:t>
      </w:r>
      <w:r>
        <w:rPr>
          <w:rFonts w:hint="eastAsia" w:ascii="仿宋_GB2312" w:eastAsia="仿宋_GB2312"/>
          <w:color w:val="000000" w:themeColor="text1"/>
          <w:sz w:val="32"/>
          <w:szCs w:val="32"/>
          <w:highlight w:val="none"/>
          <w:lang w:eastAsia="zh-CN"/>
          <w14:textFill>
            <w14:solidFill>
              <w14:schemeClr w14:val="tx1"/>
            </w14:solidFill>
          </w14:textFill>
        </w:rPr>
        <w:t>万元，我单位</w:t>
      </w:r>
      <w:r>
        <w:rPr>
          <w:rFonts w:hint="eastAsia" w:ascii="仿宋_GB2312" w:eastAsia="仿宋_GB2312"/>
          <w:color w:val="000000" w:themeColor="text1"/>
          <w:sz w:val="32"/>
          <w:szCs w:val="32"/>
          <w:highlight w:val="none"/>
          <w:lang w:val="en-US" w:eastAsia="zh-CN"/>
          <w14:textFill>
            <w14:solidFill>
              <w14:schemeClr w14:val="tx1"/>
            </w14:solidFill>
          </w14:textFill>
        </w:rPr>
        <w:t>2023年度预算绩效管理整体支出绩效自评表由主管部门编报并公开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预算绩效评价项目</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lang w:eastAsia="zh-CN"/>
          <w14:textFill>
            <w14:solidFill>
              <w14:schemeClr w14:val="tx1"/>
            </w14:solidFill>
          </w14:textFill>
        </w:rPr>
        <w:t>个，</w:t>
      </w:r>
      <w:r>
        <w:rPr>
          <w:rFonts w:hint="eastAsia" w:ascii="仿宋_GB2312" w:eastAsia="仿宋_GB2312"/>
          <w:color w:val="000000" w:themeColor="text1"/>
          <w:sz w:val="32"/>
          <w:szCs w:val="32"/>
          <w:highlight w:val="none"/>
          <w:lang w:val="en-US" w:eastAsia="zh-CN"/>
          <w14:textFill>
            <w14:solidFill>
              <w14:schemeClr w14:val="tx1"/>
            </w14:solidFill>
          </w14:textFill>
        </w:rPr>
        <w:t>全年预算数0.00</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全年执行数0.00</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十</w:t>
      </w:r>
      <w:r>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t>二</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、其他需说明的事项</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黑体" w:hAnsi="黑体" w:eastAsia="黑体"/>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本单位无其他需说明事项</w:t>
      </w:r>
      <w:bookmarkStart w:id="30" w:name="_Toc24143"/>
      <w:bookmarkStart w:id="31" w:name="_Toc3250"/>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第</w:t>
      </w:r>
      <w:r>
        <w:rPr>
          <w:rFonts w:hint="eastAsia" w:ascii="黑体" w:hAnsi="黑体" w:eastAsia="黑体"/>
          <w:color w:val="000000" w:themeColor="text1"/>
          <w:sz w:val="32"/>
          <w:szCs w:val="32"/>
          <w:highlight w:val="none"/>
          <w:lang w:val="en-US" w:eastAsia="zh-CN"/>
          <w14:textFill>
            <w14:solidFill>
              <w14:schemeClr w14:val="tx1"/>
            </w14:solidFill>
          </w14:textFill>
        </w:rPr>
        <w:t>三</w:t>
      </w:r>
      <w:r>
        <w:rPr>
          <w:rFonts w:hint="eastAsia" w:ascii="黑体" w:hAnsi="黑体" w:eastAsia="黑体"/>
          <w:color w:val="000000" w:themeColor="text1"/>
          <w:sz w:val="32"/>
          <w:szCs w:val="32"/>
          <w:highlight w:val="none"/>
          <w14:textFill>
            <w14:solidFill>
              <w14:schemeClr w14:val="tx1"/>
            </w14:solidFill>
          </w14:textFill>
        </w:rPr>
        <w:t>部分 专业名词解释</w:t>
      </w:r>
      <w:bookmarkEnd w:id="30"/>
      <w:bookmarkEnd w:id="31"/>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一、</w:t>
      </w:r>
      <w:r>
        <w:rPr>
          <w:rFonts w:hint="eastAsia" w:ascii="仿宋_GB2312" w:eastAsia="仿宋_GB2312"/>
          <w:b/>
          <w:bCs/>
          <w:color w:val="000000" w:themeColor="text1"/>
          <w:sz w:val="32"/>
          <w:szCs w:val="32"/>
          <w:highlight w:val="none"/>
          <w14:textFill>
            <w14:solidFill>
              <w14:schemeClr w14:val="tx1"/>
            </w14:solidFill>
          </w14:textFill>
        </w:rPr>
        <w:t>财政拨款收入：</w:t>
      </w:r>
      <w:r>
        <w:rPr>
          <w:rFonts w:hint="eastAsia" w:ascii="仿宋_GB2312" w:eastAsia="仿宋_GB2312"/>
          <w:color w:val="000000" w:themeColor="text1"/>
          <w:sz w:val="32"/>
          <w:szCs w:val="32"/>
          <w:highlight w:val="none"/>
          <w14:textFill>
            <w14:solidFill>
              <w14:schemeClr w14:val="tx1"/>
            </w14:solidFill>
          </w14:textFill>
        </w:rPr>
        <w:t>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二、</w:t>
      </w:r>
      <w:r>
        <w:rPr>
          <w:rFonts w:hint="eastAsia" w:ascii="仿宋_GB2312" w:eastAsia="仿宋_GB2312"/>
          <w:b/>
          <w:bCs/>
          <w:color w:val="000000" w:themeColor="text1"/>
          <w:sz w:val="32"/>
          <w:szCs w:val="32"/>
          <w:highlight w:val="none"/>
          <w14:textFill>
            <w14:solidFill>
              <w14:schemeClr w14:val="tx1"/>
            </w14:solidFill>
          </w14:textFill>
        </w:rPr>
        <w:t>上级补助收入：</w:t>
      </w:r>
      <w:r>
        <w:rPr>
          <w:rFonts w:hint="eastAsia" w:ascii="仿宋_GB2312" w:eastAsia="仿宋_GB2312"/>
          <w:color w:val="000000" w:themeColor="text1"/>
          <w:sz w:val="32"/>
          <w:szCs w:val="32"/>
          <w:highlight w:val="none"/>
          <w14:textFill>
            <w14:solidFill>
              <w14:schemeClr w14:val="tx1"/>
            </w14:solidFill>
          </w14:textFill>
        </w:rPr>
        <w:t>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三、</w:t>
      </w:r>
      <w:r>
        <w:rPr>
          <w:rFonts w:hint="eastAsia" w:ascii="仿宋_GB2312" w:eastAsia="仿宋_GB2312"/>
          <w:b/>
          <w:bCs/>
          <w:color w:val="000000" w:themeColor="text1"/>
          <w:sz w:val="32"/>
          <w:szCs w:val="32"/>
          <w:highlight w:val="none"/>
          <w14:textFill>
            <w14:solidFill>
              <w14:schemeClr w14:val="tx1"/>
            </w14:solidFill>
          </w14:textFill>
        </w:rPr>
        <w:t>事业收入：</w:t>
      </w:r>
      <w:r>
        <w:rPr>
          <w:rFonts w:hint="eastAsia" w:ascii="仿宋_GB2312" w:eastAsia="仿宋_GB2312"/>
          <w:color w:val="000000" w:themeColor="text1"/>
          <w:sz w:val="32"/>
          <w:szCs w:val="32"/>
          <w:highlight w:val="none"/>
          <w14:textFill>
            <w14:solidFill>
              <w14:schemeClr w14:val="tx1"/>
            </w14:solidFill>
          </w14:textFill>
        </w:rPr>
        <w:t>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四、</w:t>
      </w:r>
      <w:r>
        <w:rPr>
          <w:rFonts w:hint="eastAsia" w:ascii="仿宋_GB2312" w:eastAsia="仿宋_GB2312"/>
          <w:b/>
          <w:bCs/>
          <w:color w:val="000000" w:themeColor="text1"/>
          <w:sz w:val="32"/>
          <w:szCs w:val="32"/>
          <w:highlight w:val="none"/>
          <w14:textFill>
            <w14:solidFill>
              <w14:schemeClr w14:val="tx1"/>
            </w14:solidFill>
          </w14:textFill>
        </w:rPr>
        <w:t>经营收入：</w:t>
      </w:r>
      <w:r>
        <w:rPr>
          <w:rFonts w:hint="eastAsia" w:ascii="仿宋_GB2312" w:eastAsia="仿宋_GB2312"/>
          <w:color w:val="000000" w:themeColor="text1"/>
          <w:sz w:val="32"/>
          <w:szCs w:val="32"/>
          <w:highlight w:val="none"/>
          <w14:textFill>
            <w14:solidFill>
              <w14:schemeClr w14:val="tx1"/>
            </w14:solidFill>
          </w14:textFill>
        </w:rPr>
        <w:t>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五、</w:t>
      </w:r>
      <w:r>
        <w:rPr>
          <w:rFonts w:hint="eastAsia" w:ascii="仿宋_GB2312" w:eastAsia="仿宋_GB2312"/>
          <w:b/>
          <w:bCs/>
          <w:color w:val="000000" w:themeColor="text1"/>
          <w:sz w:val="32"/>
          <w:szCs w:val="32"/>
          <w:highlight w:val="none"/>
          <w14:textFill>
            <w14:solidFill>
              <w14:schemeClr w14:val="tx1"/>
            </w14:solidFill>
          </w14:textFill>
        </w:rPr>
        <w:t>附属单位上缴收入：</w:t>
      </w:r>
      <w:r>
        <w:rPr>
          <w:rFonts w:hint="eastAsia" w:ascii="仿宋_GB2312" w:eastAsia="仿宋_GB2312"/>
          <w:color w:val="000000" w:themeColor="text1"/>
          <w:sz w:val="32"/>
          <w:szCs w:val="32"/>
          <w:highlight w:val="none"/>
          <w14:textFill>
            <w14:solidFill>
              <w14:schemeClr w14:val="tx1"/>
            </w14:solidFill>
          </w14:textFill>
        </w:rPr>
        <w:t>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六、</w:t>
      </w:r>
      <w:r>
        <w:rPr>
          <w:rFonts w:hint="eastAsia" w:ascii="仿宋_GB2312" w:eastAsia="仿宋_GB2312"/>
          <w:b/>
          <w:bCs/>
          <w:color w:val="000000" w:themeColor="text1"/>
          <w:sz w:val="32"/>
          <w:szCs w:val="32"/>
          <w:highlight w:val="none"/>
          <w14:textFill>
            <w14:solidFill>
              <w14:schemeClr w14:val="tx1"/>
            </w14:solidFill>
          </w14:textFill>
        </w:rPr>
        <w:t>其他收入：</w:t>
      </w:r>
      <w:r>
        <w:rPr>
          <w:rFonts w:hint="eastAsia" w:ascii="仿宋_GB2312" w:eastAsia="仿宋_GB2312"/>
          <w:color w:val="000000" w:themeColor="text1"/>
          <w:sz w:val="32"/>
          <w:szCs w:val="32"/>
          <w:highlight w:val="none"/>
          <w14:textFill>
            <w14:solidFill>
              <w14:schemeClr w14:val="tx1"/>
            </w14:solidFill>
          </w14:textFill>
        </w:rPr>
        <w:t>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七、</w:t>
      </w:r>
      <w:r>
        <w:rPr>
          <w:rFonts w:hint="eastAsia" w:ascii="仿宋_GB2312" w:eastAsia="仿宋_GB2312"/>
          <w:b/>
          <w:bCs/>
          <w:color w:val="000000" w:themeColor="text1"/>
          <w:sz w:val="32"/>
          <w:szCs w:val="32"/>
          <w:highlight w:val="none"/>
          <w:lang w:eastAsia="zh-CN"/>
          <w14:textFill>
            <w14:solidFill>
              <w14:schemeClr w14:val="tx1"/>
            </w14:solidFill>
          </w14:textFill>
        </w:rPr>
        <w:t>年初</w:t>
      </w:r>
      <w:r>
        <w:rPr>
          <w:rFonts w:hint="eastAsia" w:ascii="仿宋_GB2312" w:eastAsia="仿宋_GB2312"/>
          <w:b/>
          <w:bCs/>
          <w:color w:val="000000" w:themeColor="text1"/>
          <w:sz w:val="32"/>
          <w:szCs w:val="32"/>
          <w:highlight w:val="none"/>
          <w14:textFill>
            <w14:solidFill>
              <w14:schemeClr w14:val="tx1"/>
            </w14:solidFill>
          </w14:textFill>
        </w:rPr>
        <w:t>结转和结余：</w:t>
      </w:r>
      <w:r>
        <w:rPr>
          <w:rFonts w:hint="eastAsia" w:ascii="仿宋_GB2312" w:eastAsia="仿宋_GB2312"/>
          <w:color w:val="000000" w:themeColor="text1"/>
          <w:sz w:val="32"/>
          <w:szCs w:val="32"/>
          <w:highlight w:val="none"/>
          <w14:textFill>
            <w14:solidFill>
              <w14:schemeClr w14:val="tx1"/>
            </w14:solidFill>
          </w14:textFill>
        </w:rPr>
        <w:t>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八、</w:t>
      </w:r>
      <w:r>
        <w:rPr>
          <w:rFonts w:hint="eastAsia" w:ascii="仿宋_GB2312" w:eastAsia="仿宋_GB2312"/>
          <w:b/>
          <w:bCs/>
          <w:color w:val="000000" w:themeColor="text1"/>
          <w:sz w:val="32"/>
          <w:szCs w:val="32"/>
          <w:highlight w:val="none"/>
          <w14:textFill>
            <w14:solidFill>
              <w14:schemeClr w14:val="tx1"/>
            </w14:solidFill>
          </w14:textFill>
        </w:rPr>
        <w:t>年末结转和结余：</w:t>
      </w:r>
      <w:r>
        <w:rPr>
          <w:rFonts w:hint="eastAsia" w:ascii="仿宋_GB2312" w:eastAsia="仿宋_GB2312"/>
          <w:color w:val="000000" w:themeColor="text1"/>
          <w:sz w:val="32"/>
          <w:szCs w:val="32"/>
          <w:highlight w:val="none"/>
          <w14:textFill>
            <w14:solidFill>
              <w14:schemeClr w14:val="tx1"/>
            </w14:solidFill>
          </w14:textFill>
        </w:rPr>
        <w:t>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九、</w:t>
      </w:r>
      <w:r>
        <w:rPr>
          <w:rFonts w:hint="eastAsia" w:ascii="仿宋_GB2312" w:eastAsia="仿宋_GB2312"/>
          <w:b/>
          <w:bCs/>
          <w:color w:val="000000" w:themeColor="text1"/>
          <w:sz w:val="32"/>
          <w:szCs w:val="32"/>
          <w:highlight w:val="none"/>
          <w14:textFill>
            <w14:solidFill>
              <w14:schemeClr w14:val="tx1"/>
            </w14:solidFill>
          </w14:textFill>
        </w:rPr>
        <w:t>基本支出：</w:t>
      </w:r>
      <w:r>
        <w:rPr>
          <w:rFonts w:hint="eastAsia" w:ascii="仿宋_GB2312" w:eastAsia="仿宋_GB2312"/>
          <w:color w:val="000000" w:themeColor="text1"/>
          <w:sz w:val="32"/>
          <w:szCs w:val="32"/>
          <w:highlight w:val="none"/>
          <w14:textFill>
            <w14:solidFill>
              <w14:schemeClr w14:val="tx1"/>
            </w14:solidFill>
          </w14:textFill>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十、</w:t>
      </w:r>
      <w:r>
        <w:rPr>
          <w:rFonts w:hint="eastAsia" w:ascii="仿宋_GB2312" w:eastAsia="仿宋_GB2312"/>
          <w:b/>
          <w:bCs/>
          <w:color w:val="000000" w:themeColor="text1"/>
          <w:sz w:val="32"/>
          <w:szCs w:val="32"/>
          <w:highlight w:val="none"/>
          <w14:textFill>
            <w14:solidFill>
              <w14:schemeClr w14:val="tx1"/>
            </w14:solidFill>
          </w14:textFill>
        </w:rPr>
        <w:t>项目支出：</w:t>
      </w:r>
      <w:r>
        <w:rPr>
          <w:rFonts w:hint="eastAsia" w:ascii="仿宋_GB2312" w:eastAsia="仿宋_GB2312"/>
          <w:color w:val="000000" w:themeColor="text1"/>
          <w:sz w:val="32"/>
          <w:szCs w:val="32"/>
          <w:highlight w:val="none"/>
          <w14:textFill>
            <w14:solidFill>
              <w14:schemeClr w14:val="tx1"/>
            </w14:solidFill>
          </w14:textFill>
        </w:rPr>
        <w:t>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十一、</w:t>
      </w:r>
      <w:r>
        <w:rPr>
          <w:rFonts w:hint="eastAsia" w:ascii="仿宋_GB2312" w:eastAsia="仿宋_GB2312"/>
          <w:b/>
          <w:bCs/>
          <w:color w:val="000000" w:themeColor="text1"/>
          <w:sz w:val="32"/>
          <w:szCs w:val="32"/>
          <w:highlight w:val="none"/>
          <w14:textFill>
            <w14:solidFill>
              <w14:schemeClr w14:val="tx1"/>
            </w14:solidFill>
          </w14:textFill>
        </w:rPr>
        <w:t>经营支出：</w:t>
      </w:r>
      <w:r>
        <w:rPr>
          <w:rFonts w:hint="eastAsia" w:ascii="仿宋_GB2312" w:eastAsia="仿宋_GB2312"/>
          <w:color w:val="000000" w:themeColor="text1"/>
          <w:sz w:val="32"/>
          <w:szCs w:val="32"/>
          <w:highlight w:val="none"/>
          <w14:textFill>
            <w14:solidFill>
              <w14:schemeClr w14:val="tx1"/>
            </w14:solidFill>
          </w14:textFill>
        </w:rPr>
        <w:t>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十二、</w:t>
      </w:r>
      <w:r>
        <w:rPr>
          <w:rFonts w:hint="eastAsia" w:ascii="仿宋_GB2312" w:eastAsia="仿宋_GB2312"/>
          <w:b/>
          <w:bCs/>
          <w:color w:val="000000" w:themeColor="text1"/>
          <w:sz w:val="32"/>
          <w:szCs w:val="32"/>
          <w:highlight w:val="none"/>
          <w14:textFill>
            <w14:solidFill>
              <w14:schemeClr w14:val="tx1"/>
            </w14:solidFill>
          </w14:textFill>
        </w:rPr>
        <w:t>对附属单位补助支出：</w:t>
      </w:r>
      <w:r>
        <w:rPr>
          <w:rFonts w:hint="eastAsia" w:ascii="仿宋_GB2312" w:eastAsia="仿宋_GB2312"/>
          <w:color w:val="000000" w:themeColor="text1"/>
          <w:sz w:val="32"/>
          <w:szCs w:val="32"/>
          <w:highlight w:val="none"/>
          <w14:textFill>
            <w14:solidFill>
              <w14:schemeClr w14:val="tx1"/>
            </w14:solidFill>
          </w14:textFill>
        </w:rPr>
        <w:t>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十三、</w:t>
      </w:r>
      <w:r>
        <w:rPr>
          <w:rFonts w:hint="eastAsia" w:ascii="仿宋_GB2312" w:eastAsia="仿宋_GB2312"/>
          <w:b/>
          <w:bCs/>
          <w:color w:val="000000" w:themeColor="text1"/>
          <w:sz w:val="32"/>
          <w:szCs w:val="32"/>
          <w:highlight w:val="none"/>
          <w14:textFill>
            <w14:solidFill>
              <w14:schemeClr w14:val="tx1"/>
            </w14:solidFill>
          </w14:textFill>
        </w:rPr>
        <w:t>“三公”经费：</w:t>
      </w:r>
      <w:r>
        <w:rPr>
          <w:rFonts w:hint="eastAsia" w:ascii="仿宋_GB2312" w:eastAsia="仿宋_GB2312"/>
          <w:color w:val="000000" w:themeColor="text1"/>
          <w:sz w:val="32"/>
          <w:szCs w:val="32"/>
          <w:highlight w:val="none"/>
          <w14:textFill>
            <w14:solidFill>
              <w14:schemeClr w14:val="tx1"/>
            </w14:solidFill>
          </w14:textFill>
        </w:rPr>
        <w:t>指用财政拨款安排的因公出国（境）费、公务用车购置及运行费和公务接待费。其中，因公出国（境）费反映单位公务出国（境）的</w:t>
      </w:r>
      <w:r>
        <w:rPr>
          <w:rFonts w:hint="eastAsia" w:ascii="仿宋_GB2312" w:eastAsia="仿宋_GB2312"/>
          <w:color w:val="000000" w:themeColor="text1"/>
          <w:sz w:val="32"/>
          <w:szCs w:val="32"/>
          <w:highlight w:val="none"/>
          <w:lang w:eastAsia="zh-CN"/>
          <w14:textFill>
            <w14:solidFill>
              <w14:schemeClr w14:val="tx1"/>
            </w14:solidFill>
          </w14:textFill>
        </w:rPr>
        <w:t>国际旅费、国外城市间交通费、</w:t>
      </w:r>
      <w:r>
        <w:rPr>
          <w:rFonts w:hint="eastAsia" w:ascii="仿宋_GB2312" w:eastAsia="仿宋_GB2312"/>
          <w:color w:val="000000" w:themeColor="text1"/>
          <w:sz w:val="32"/>
          <w:szCs w:val="32"/>
          <w:highlight w:val="none"/>
          <w14:textFill>
            <w14:solidFill>
              <w14:schemeClr w14:val="tx1"/>
            </w14:solidFill>
          </w14:textFill>
        </w:rPr>
        <w:t>住宿费、伙食费、培训费、</w:t>
      </w:r>
      <w:r>
        <w:rPr>
          <w:rFonts w:hint="eastAsia" w:ascii="仿宋_GB2312" w:eastAsia="仿宋_GB2312"/>
          <w:color w:val="000000" w:themeColor="text1"/>
          <w:sz w:val="32"/>
          <w:szCs w:val="32"/>
          <w:highlight w:val="none"/>
          <w:lang w:eastAsia="zh-CN"/>
          <w14:textFill>
            <w14:solidFill>
              <w14:schemeClr w14:val="tx1"/>
            </w14:solidFill>
          </w14:textFill>
        </w:rPr>
        <w:t>公</w:t>
      </w:r>
      <w:r>
        <w:rPr>
          <w:rFonts w:hint="eastAsia" w:ascii="仿宋_GB2312" w:eastAsia="仿宋_GB2312"/>
          <w:color w:val="000000" w:themeColor="text1"/>
          <w:sz w:val="32"/>
          <w:szCs w:val="32"/>
          <w:highlight w:val="none"/>
          <w14:textFill>
            <w14:solidFill>
              <w14:schemeClr w14:val="tx1"/>
            </w14:solidFill>
          </w14:textFill>
        </w:rPr>
        <w:t>杂费等支出；公务用车购置费</w:t>
      </w:r>
      <w:r>
        <w:rPr>
          <w:rFonts w:hint="eastAsia" w:ascii="仿宋_GB2312" w:eastAsia="仿宋_GB2312"/>
          <w:color w:val="000000" w:themeColor="text1"/>
          <w:sz w:val="32"/>
          <w:szCs w:val="32"/>
          <w:highlight w:val="none"/>
          <w:lang w:eastAsia="zh-CN"/>
          <w14:textFill>
            <w14:solidFill>
              <w14:schemeClr w14:val="tx1"/>
            </w14:solidFill>
          </w14:textFill>
        </w:rPr>
        <w:t>反映公务用车购置支出（含车辆购置税、牌照费）；</w:t>
      </w:r>
      <w:r>
        <w:rPr>
          <w:rFonts w:hint="eastAsia" w:ascii="仿宋_GB2312" w:eastAsia="仿宋_GB2312"/>
          <w:color w:val="000000" w:themeColor="text1"/>
          <w:sz w:val="32"/>
          <w:szCs w:val="32"/>
          <w:highlight w:val="none"/>
          <w14:textFill>
            <w14:solidFill>
              <w14:schemeClr w14:val="tx1"/>
            </w14:solidFill>
          </w14:textFill>
        </w:rPr>
        <w:t>公务用车运行</w:t>
      </w:r>
      <w:r>
        <w:rPr>
          <w:rFonts w:hint="eastAsia" w:ascii="仿宋_GB2312" w:eastAsia="仿宋_GB2312"/>
          <w:color w:val="000000" w:themeColor="text1"/>
          <w:sz w:val="32"/>
          <w:szCs w:val="32"/>
          <w:highlight w:val="none"/>
          <w:lang w:eastAsia="zh-CN"/>
          <w14:textFill>
            <w14:solidFill>
              <w14:schemeClr w14:val="tx1"/>
            </w14:solidFill>
          </w14:textFill>
        </w:rPr>
        <w:t>维护</w:t>
      </w:r>
      <w:r>
        <w:rPr>
          <w:rFonts w:hint="eastAsia" w:ascii="仿宋_GB2312" w:eastAsia="仿宋_GB2312"/>
          <w:color w:val="000000" w:themeColor="text1"/>
          <w:sz w:val="32"/>
          <w:szCs w:val="32"/>
          <w:highlight w:val="none"/>
          <w14:textFill>
            <w14:solidFill>
              <w14:schemeClr w14:val="tx1"/>
            </w14:solidFill>
          </w14:textFill>
        </w:rPr>
        <w:t>费反映</w:t>
      </w:r>
      <w:r>
        <w:rPr>
          <w:rFonts w:hint="eastAsia" w:ascii="仿宋_GB2312" w:eastAsia="仿宋_GB2312"/>
          <w:color w:val="000000" w:themeColor="text1"/>
          <w:sz w:val="32"/>
          <w:szCs w:val="32"/>
          <w:highlight w:val="none"/>
          <w:lang w:eastAsia="zh-CN"/>
          <w14:textFill>
            <w14:solidFill>
              <w14:schemeClr w14:val="tx1"/>
            </w14:solidFill>
          </w14:textFill>
        </w:rPr>
        <w:t>单位按规定保留的公务用车燃料费、维修费、</w:t>
      </w:r>
      <w:r>
        <w:rPr>
          <w:rFonts w:hint="eastAsia" w:ascii="仿宋_GB2312" w:eastAsia="仿宋_GB2312"/>
          <w:color w:val="000000" w:themeColor="text1"/>
          <w:sz w:val="32"/>
          <w:szCs w:val="32"/>
          <w:highlight w:val="none"/>
          <w14:textFill>
            <w14:solidFill>
              <w14:schemeClr w14:val="tx1"/>
            </w14:solidFill>
          </w14:textFill>
        </w:rPr>
        <w:t>过路过桥费、保险费、安全奖励费用等支出</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公务接待费反映单位按规定开支的各类公务接待（含外宾接待）</w:t>
      </w:r>
      <w:r>
        <w:rPr>
          <w:rFonts w:hint="eastAsia" w:ascii="仿宋_GB2312" w:eastAsia="仿宋_GB2312"/>
          <w:color w:val="000000" w:themeColor="text1"/>
          <w:sz w:val="32"/>
          <w:szCs w:val="32"/>
          <w:highlight w:val="none"/>
          <w:lang w:eastAsia="zh-CN"/>
          <w14:textFill>
            <w14:solidFill>
              <w14:schemeClr w14:val="tx1"/>
            </w14:solidFill>
          </w14:textFill>
        </w:rPr>
        <w:t>费用</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十四、</w:t>
      </w:r>
      <w:r>
        <w:rPr>
          <w:rFonts w:hint="eastAsia" w:ascii="仿宋_GB2312" w:eastAsia="仿宋_GB2312"/>
          <w:b/>
          <w:bCs/>
          <w:color w:val="000000" w:themeColor="text1"/>
          <w:sz w:val="32"/>
          <w:szCs w:val="32"/>
          <w:highlight w:val="none"/>
          <w14:textFill>
            <w14:solidFill>
              <w14:schemeClr w14:val="tx1"/>
            </w14:solidFill>
          </w14:textFill>
        </w:rPr>
        <w:t>机关运行经费：</w:t>
      </w:r>
      <w:r>
        <w:rPr>
          <w:rFonts w:hint="eastAsia" w:ascii="仿宋_GB2312" w:eastAsia="仿宋_GB2312"/>
          <w:color w:val="000000" w:themeColor="text1"/>
          <w:sz w:val="32"/>
          <w:szCs w:val="32"/>
          <w:highlight w:val="none"/>
          <w14:textFill>
            <w14:solidFill>
              <w14:schemeClr w14:val="tx1"/>
            </w14:solidFill>
          </w14:textFill>
        </w:rPr>
        <w:t>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第四部分 部门决算报表（见附表）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32" w:name="_Toc6062"/>
      <w:bookmarkStart w:id="33" w:name="_Toc2183"/>
      <w:r>
        <w:rPr>
          <w:rFonts w:hint="eastAsia" w:ascii="黑体" w:hAnsi="黑体" w:eastAsia="仿宋_GB2312" w:cs="宋体"/>
          <w:bCs/>
          <w:color w:val="000000" w:themeColor="text1"/>
          <w:kern w:val="0"/>
          <w:sz w:val="32"/>
          <w:szCs w:val="32"/>
          <w:highlight w:val="none"/>
          <w14:textFill>
            <w14:solidFill>
              <w14:schemeClr w14:val="tx1"/>
            </w14:solidFill>
          </w14:textFill>
        </w:rPr>
        <w:t>一、《收入支出决算总表》</w:t>
      </w:r>
      <w:bookmarkEnd w:id="32"/>
      <w:bookmarkEnd w:id="3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34" w:name="_Toc30364"/>
      <w:bookmarkStart w:id="35" w:name="_Toc24532"/>
      <w:r>
        <w:rPr>
          <w:rFonts w:hint="eastAsia" w:ascii="黑体" w:hAnsi="黑体" w:eastAsia="仿宋_GB2312" w:cs="宋体"/>
          <w:bCs/>
          <w:color w:val="000000" w:themeColor="text1"/>
          <w:kern w:val="0"/>
          <w:sz w:val="32"/>
          <w:szCs w:val="32"/>
          <w:highlight w:val="none"/>
          <w14:textFill>
            <w14:solidFill>
              <w14:schemeClr w14:val="tx1"/>
            </w14:solidFill>
          </w14:textFill>
        </w:rPr>
        <w:t>二、《收入决算表》</w:t>
      </w:r>
      <w:bookmarkEnd w:id="34"/>
      <w:bookmarkEnd w:id="3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36" w:name="_Toc21304"/>
      <w:bookmarkStart w:id="37" w:name="_Toc32434"/>
      <w:r>
        <w:rPr>
          <w:rFonts w:hint="eastAsia" w:ascii="黑体" w:hAnsi="黑体" w:eastAsia="仿宋_GB2312" w:cs="宋体"/>
          <w:bCs/>
          <w:color w:val="000000" w:themeColor="text1"/>
          <w:kern w:val="0"/>
          <w:sz w:val="32"/>
          <w:szCs w:val="32"/>
          <w:highlight w:val="none"/>
          <w14:textFill>
            <w14:solidFill>
              <w14:schemeClr w14:val="tx1"/>
            </w14:solidFill>
          </w14:textFill>
        </w:rPr>
        <w:t>三、《支出决算表》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38" w:name="_Toc28786"/>
      <w:bookmarkStart w:id="39" w:name="_Toc14238"/>
      <w:r>
        <w:rPr>
          <w:rFonts w:hint="eastAsia" w:ascii="黑体" w:hAnsi="黑体" w:eastAsia="仿宋_GB2312" w:cs="宋体"/>
          <w:bCs/>
          <w:color w:val="000000" w:themeColor="text1"/>
          <w:kern w:val="0"/>
          <w:sz w:val="32"/>
          <w:szCs w:val="32"/>
          <w:highlight w:val="none"/>
          <w14:textFill>
            <w14:solidFill>
              <w14:schemeClr w14:val="tx1"/>
            </w14:solidFill>
          </w14:textFill>
        </w:rPr>
        <w:t>四、《财政拨款收入支出决算总表》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40" w:name="_Toc14869"/>
      <w:bookmarkStart w:id="41" w:name="_Toc10347"/>
      <w:r>
        <w:rPr>
          <w:rFonts w:hint="eastAsia" w:ascii="黑体" w:hAnsi="黑体" w:eastAsia="仿宋_GB2312" w:cs="宋体"/>
          <w:bCs/>
          <w:color w:val="000000" w:themeColor="text1"/>
          <w:kern w:val="0"/>
          <w:sz w:val="32"/>
          <w:szCs w:val="32"/>
          <w:highlight w:val="none"/>
          <w14:textFill>
            <w14:solidFill>
              <w14:schemeClr w14:val="tx1"/>
            </w14:solidFill>
          </w14:textFill>
        </w:rPr>
        <w:t>五、《一般公共预算财政拨款支出决算表》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42" w:name="_Toc8884"/>
      <w:bookmarkStart w:id="43" w:name="_Toc5626"/>
      <w:r>
        <w:rPr>
          <w:rFonts w:hint="eastAsia" w:ascii="黑体" w:hAnsi="黑体" w:eastAsia="仿宋_GB2312" w:cs="宋体"/>
          <w:bCs/>
          <w:color w:val="000000" w:themeColor="text1"/>
          <w:kern w:val="0"/>
          <w:sz w:val="32"/>
          <w:szCs w:val="32"/>
          <w:highlight w:val="none"/>
          <w14:textFill>
            <w14:solidFill>
              <w14:schemeClr w14:val="tx1"/>
            </w14:solidFill>
          </w14:textFill>
        </w:rPr>
        <w:t>六、《一般公共预算财政拨款基本支出决算表》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r>
        <w:rPr>
          <w:rFonts w:hint="eastAsia" w:ascii="黑体" w:hAnsi="黑体" w:eastAsia="仿宋_GB2312" w:cs="宋体"/>
          <w:bCs/>
          <w:color w:val="000000" w:themeColor="text1"/>
          <w:kern w:val="0"/>
          <w:sz w:val="32"/>
          <w:szCs w:val="32"/>
          <w:highlight w:val="none"/>
          <w14:textFill>
            <w14:solidFill>
              <w14:schemeClr w14:val="tx1"/>
            </w14:solidFill>
          </w14:textFill>
        </w:rPr>
        <w:t>七、</w:t>
      </w:r>
      <w:bookmarkStart w:id="44" w:name="_Toc29106"/>
      <w:bookmarkStart w:id="45" w:name="_Toc32663"/>
      <w:r>
        <w:rPr>
          <w:rFonts w:hint="eastAsia" w:ascii="黑体" w:hAnsi="黑体" w:eastAsia="仿宋_GB2312" w:cs="宋体"/>
          <w:bCs/>
          <w:color w:val="000000" w:themeColor="text1"/>
          <w:kern w:val="0"/>
          <w:sz w:val="32"/>
          <w:szCs w:val="32"/>
          <w:highlight w:val="none"/>
          <w14:textFill>
            <w14:solidFill>
              <w14:schemeClr w14:val="tx1"/>
            </w14:solidFill>
          </w14:textFill>
        </w:rPr>
        <w:t>《财政拨款“三公”经费支出决算表》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46" w:name="_Toc5453"/>
      <w:bookmarkStart w:id="47" w:name="_Toc7643"/>
      <w:r>
        <w:rPr>
          <w:rFonts w:hint="eastAsia" w:ascii="黑体" w:hAnsi="黑体" w:eastAsia="仿宋_GB2312" w:cs="宋体"/>
          <w:bCs/>
          <w:color w:val="000000" w:themeColor="text1"/>
          <w:kern w:val="0"/>
          <w:sz w:val="32"/>
          <w:szCs w:val="32"/>
          <w:highlight w:val="none"/>
          <w14:textFill>
            <w14:solidFill>
              <w14:schemeClr w14:val="tx1"/>
            </w14:solidFill>
          </w14:textFill>
        </w:rPr>
        <w:t>八、《政府性基金预算财政拨款收入支出决算表》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r>
        <w:rPr>
          <w:rFonts w:hint="eastAsia" w:ascii="黑体" w:hAnsi="黑体" w:eastAsia="仿宋_GB2312" w:cs="宋体"/>
          <w:bCs/>
          <w:color w:val="000000" w:themeColor="text1"/>
          <w:kern w:val="0"/>
          <w:sz w:val="32"/>
          <w:szCs w:val="32"/>
          <w:highlight w:val="none"/>
          <w:lang w:val="en-US" w:eastAsia="zh-CN"/>
          <w14:textFill>
            <w14:solidFill>
              <w14:schemeClr w14:val="tx1"/>
            </w14:solidFill>
          </w14:textFill>
        </w:rPr>
        <w:t>九</w:t>
      </w:r>
      <w:r>
        <w:rPr>
          <w:rFonts w:hint="eastAsia" w:ascii="黑体" w:hAnsi="黑体" w:eastAsia="仿宋_GB2312" w:cs="宋体"/>
          <w:bCs/>
          <w:color w:val="000000" w:themeColor="text1"/>
          <w:kern w:val="0"/>
          <w:sz w:val="32"/>
          <w:szCs w:val="32"/>
          <w:highlight w:val="none"/>
          <w14:textFill>
            <w14:solidFill>
              <w14:schemeClr w14:val="tx1"/>
            </w14:solidFill>
          </w14:textFill>
        </w:rPr>
        <w:t>、《</w:t>
      </w:r>
      <w:r>
        <w:rPr>
          <w:rFonts w:hint="eastAsia" w:ascii="黑体" w:hAnsi="黑体" w:eastAsia="仿宋_GB2312" w:cs="宋体"/>
          <w:bCs/>
          <w:color w:val="000000" w:themeColor="text1"/>
          <w:kern w:val="0"/>
          <w:sz w:val="32"/>
          <w:szCs w:val="32"/>
          <w:highlight w:val="none"/>
          <w:lang w:eastAsia="zh-CN"/>
          <w14:textFill>
            <w14:solidFill>
              <w14:schemeClr w14:val="tx1"/>
            </w14:solidFill>
          </w14:textFill>
        </w:rPr>
        <w:t>国有资本经营</w:t>
      </w:r>
      <w:r>
        <w:rPr>
          <w:rFonts w:hint="eastAsia" w:ascii="黑体" w:hAnsi="黑体" w:eastAsia="仿宋_GB2312" w:cs="宋体"/>
          <w:bCs/>
          <w:color w:val="000000" w:themeColor="text1"/>
          <w:kern w:val="0"/>
          <w:sz w:val="32"/>
          <w:szCs w:val="32"/>
          <w:highlight w:val="none"/>
          <w14:textFill>
            <w14:solidFill>
              <w14:schemeClr w14:val="tx1"/>
            </w14:solidFill>
          </w14:textFill>
        </w:rPr>
        <w:t>预算财政拨款收入支出决算表》</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2565021">
    <w:nsid w:val="103F031D"/>
    <w:multiLevelType w:val="singleLevel"/>
    <w:tmpl w:val="103F031D"/>
    <w:lvl w:ilvl="0" w:tentative="1">
      <w:start w:val="2"/>
      <w:numFmt w:val="chineseCounting"/>
      <w:suff w:val="nothing"/>
      <w:lvlText w:val="（%1）"/>
      <w:lvlJc w:val="left"/>
      <w:rPr>
        <w:rFonts w:hint="eastAsia"/>
      </w:rPr>
    </w:lvl>
  </w:abstractNum>
  <w:num w:numId="1">
    <w:abstractNumId w:val="2725650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YTJlOTYyYzMwNDc1MWQ0MmQ0MjM2MDYyN2M3NmYifQ=="/>
    <w:docVar w:name="KSO_WPS_MARK_KEY" w:val="41ee2a61-2d54-4f93-83be-afdb9a40d732"/>
  </w:docVars>
  <w:rsids>
    <w:rsidRoot w:val="00000000"/>
    <w:rsid w:val="00213C59"/>
    <w:rsid w:val="003210CE"/>
    <w:rsid w:val="00B70D59"/>
    <w:rsid w:val="00F52A8D"/>
    <w:rsid w:val="019404F8"/>
    <w:rsid w:val="02BD3108"/>
    <w:rsid w:val="02F73D26"/>
    <w:rsid w:val="034D4FEF"/>
    <w:rsid w:val="035D1785"/>
    <w:rsid w:val="039F47CE"/>
    <w:rsid w:val="03E05CE8"/>
    <w:rsid w:val="03F973EE"/>
    <w:rsid w:val="043E5B56"/>
    <w:rsid w:val="04C04386"/>
    <w:rsid w:val="04FA68C4"/>
    <w:rsid w:val="053F5AE6"/>
    <w:rsid w:val="057C0B0F"/>
    <w:rsid w:val="05EF4B48"/>
    <w:rsid w:val="05F76ECA"/>
    <w:rsid w:val="06792773"/>
    <w:rsid w:val="07093795"/>
    <w:rsid w:val="07804730"/>
    <w:rsid w:val="079052BE"/>
    <w:rsid w:val="08145C21"/>
    <w:rsid w:val="08422688"/>
    <w:rsid w:val="085854ED"/>
    <w:rsid w:val="0879188F"/>
    <w:rsid w:val="08A0354D"/>
    <w:rsid w:val="08CD4C49"/>
    <w:rsid w:val="09114954"/>
    <w:rsid w:val="095A5B83"/>
    <w:rsid w:val="096466E3"/>
    <w:rsid w:val="0968304D"/>
    <w:rsid w:val="09AF3D17"/>
    <w:rsid w:val="0A7809B7"/>
    <w:rsid w:val="0A7B4867"/>
    <w:rsid w:val="0A840954"/>
    <w:rsid w:val="0A9928ED"/>
    <w:rsid w:val="0B61769D"/>
    <w:rsid w:val="0B8C3ECC"/>
    <w:rsid w:val="0B9C639D"/>
    <w:rsid w:val="0BB052B2"/>
    <w:rsid w:val="0BD33FFC"/>
    <w:rsid w:val="0BE97AC1"/>
    <w:rsid w:val="0C1C4780"/>
    <w:rsid w:val="0C3613A3"/>
    <w:rsid w:val="0C5E519C"/>
    <w:rsid w:val="0C7227A7"/>
    <w:rsid w:val="0CA52EE8"/>
    <w:rsid w:val="0CBD6988"/>
    <w:rsid w:val="0CD208AC"/>
    <w:rsid w:val="0D4903E8"/>
    <w:rsid w:val="0D7A4A46"/>
    <w:rsid w:val="0E640559"/>
    <w:rsid w:val="0F1113DA"/>
    <w:rsid w:val="0F78534A"/>
    <w:rsid w:val="0F89358A"/>
    <w:rsid w:val="0F8C6D51"/>
    <w:rsid w:val="105B0B5E"/>
    <w:rsid w:val="112E58D0"/>
    <w:rsid w:val="11731CAC"/>
    <w:rsid w:val="119500A0"/>
    <w:rsid w:val="11C0733B"/>
    <w:rsid w:val="11D50D17"/>
    <w:rsid w:val="120E0809"/>
    <w:rsid w:val="127F665A"/>
    <w:rsid w:val="12F7068C"/>
    <w:rsid w:val="14207DC0"/>
    <w:rsid w:val="14B932DA"/>
    <w:rsid w:val="150A66AF"/>
    <w:rsid w:val="154C1139"/>
    <w:rsid w:val="158C5B77"/>
    <w:rsid w:val="160D1149"/>
    <w:rsid w:val="163563C0"/>
    <w:rsid w:val="164315EF"/>
    <w:rsid w:val="16557DFE"/>
    <w:rsid w:val="167268FB"/>
    <w:rsid w:val="16D50C50"/>
    <w:rsid w:val="16E120E1"/>
    <w:rsid w:val="17385A05"/>
    <w:rsid w:val="173B3901"/>
    <w:rsid w:val="176747F9"/>
    <w:rsid w:val="17954A6E"/>
    <w:rsid w:val="180059E9"/>
    <w:rsid w:val="184510FD"/>
    <w:rsid w:val="190648B0"/>
    <w:rsid w:val="19071D6C"/>
    <w:rsid w:val="19D26CD4"/>
    <w:rsid w:val="19E60D19"/>
    <w:rsid w:val="1A3E3450"/>
    <w:rsid w:val="1AD807E5"/>
    <w:rsid w:val="1AF54F87"/>
    <w:rsid w:val="1B39345B"/>
    <w:rsid w:val="1BBF4334"/>
    <w:rsid w:val="1BFB2A1F"/>
    <w:rsid w:val="1C015D4A"/>
    <w:rsid w:val="1C290ED5"/>
    <w:rsid w:val="1C317E4F"/>
    <w:rsid w:val="1C472464"/>
    <w:rsid w:val="1D22799A"/>
    <w:rsid w:val="1D5C1A72"/>
    <w:rsid w:val="1DAF458D"/>
    <w:rsid w:val="1E086ACE"/>
    <w:rsid w:val="1E62130A"/>
    <w:rsid w:val="1E97358B"/>
    <w:rsid w:val="1EAA4A5F"/>
    <w:rsid w:val="1EE869A7"/>
    <w:rsid w:val="1FA15E62"/>
    <w:rsid w:val="1FED69B6"/>
    <w:rsid w:val="2064678E"/>
    <w:rsid w:val="20DC1AB9"/>
    <w:rsid w:val="20DD6197"/>
    <w:rsid w:val="212631E0"/>
    <w:rsid w:val="21A53757"/>
    <w:rsid w:val="221236C6"/>
    <w:rsid w:val="22D7662C"/>
    <w:rsid w:val="23326B7F"/>
    <w:rsid w:val="2380045B"/>
    <w:rsid w:val="23BC04D2"/>
    <w:rsid w:val="23EF1892"/>
    <w:rsid w:val="2483647E"/>
    <w:rsid w:val="24A32D55"/>
    <w:rsid w:val="25292727"/>
    <w:rsid w:val="252E5CA9"/>
    <w:rsid w:val="256F7692"/>
    <w:rsid w:val="25BA2154"/>
    <w:rsid w:val="25C8773F"/>
    <w:rsid w:val="264A7253"/>
    <w:rsid w:val="26F0170C"/>
    <w:rsid w:val="27201D62"/>
    <w:rsid w:val="27286E73"/>
    <w:rsid w:val="27CF2642"/>
    <w:rsid w:val="27E777F5"/>
    <w:rsid w:val="27EA1D4C"/>
    <w:rsid w:val="27EA2E41"/>
    <w:rsid w:val="282459E2"/>
    <w:rsid w:val="283A7FE5"/>
    <w:rsid w:val="285F51FF"/>
    <w:rsid w:val="28DF2665"/>
    <w:rsid w:val="29072599"/>
    <w:rsid w:val="291029F3"/>
    <w:rsid w:val="29CB58F0"/>
    <w:rsid w:val="2A053397"/>
    <w:rsid w:val="2A145E96"/>
    <w:rsid w:val="2AF5378F"/>
    <w:rsid w:val="2BB94DBF"/>
    <w:rsid w:val="2C6F314E"/>
    <w:rsid w:val="2CC206BE"/>
    <w:rsid w:val="2D1136DF"/>
    <w:rsid w:val="2D20606D"/>
    <w:rsid w:val="2DB87198"/>
    <w:rsid w:val="2DB93C54"/>
    <w:rsid w:val="2E3D144C"/>
    <w:rsid w:val="2E891204"/>
    <w:rsid w:val="2F3F0A28"/>
    <w:rsid w:val="2FB33B39"/>
    <w:rsid w:val="2FBF7029"/>
    <w:rsid w:val="2FD0187F"/>
    <w:rsid w:val="2FD27414"/>
    <w:rsid w:val="2FFE4BB0"/>
    <w:rsid w:val="300E7B60"/>
    <w:rsid w:val="300F6E18"/>
    <w:rsid w:val="307F71BF"/>
    <w:rsid w:val="30862F5F"/>
    <w:rsid w:val="314029C9"/>
    <w:rsid w:val="31C63837"/>
    <w:rsid w:val="31C82E39"/>
    <w:rsid w:val="31CE0249"/>
    <w:rsid w:val="32601BAD"/>
    <w:rsid w:val="329F6389"/>
    <w:rsid w:val="3389023A"/>
    <w:rsid w:val="33CB74FA"/>
    <w:rsid w:val="343642F2"/>
    <w:rsid w:val="343F3010"/>
    <w:rsid w:val="345D0A00"/>
    <w:rsid w:val="34713BFD"/>
    <w:rsid w:val="34C13589"/>
    <w:rsid w:val="353369E3"/>
    <w:rsid w:val="35E00D72"/>
    <w:rsid w:val="36965B9D"/>
    <w:rsid w:val="36C549FD"/>
    <w:rsid w:val="379FF7D3"/>
    <w:rsid w:val="37A755DD"/>
    <w:rsid w:val="37F94FA0"/>
    <w:rsid w:val="380D3381"/>
    <w:rsid w:val="38115B1F"/>
    <w:rsid w:val="385E3AC3"/>
    <w:rsid w:val="387D6B9E"/>
    <w:rsid w:val="38B75FF0"/>
    <w:rsid w:val="38D45016"/>
    <w:rsid w:val="38D90432"/>
    <w:rsid w:val="3914510A"/>
    <w:rsid w:val="3926770B"/>
    <w:rsid w:val="3977BE2C"/>
    <w:rsid w:val="398D3668"/>
    <w:rsid w:val="39DA0497"/>
    <w:rsid w:val="3A893816"/>
    <w:rsid w:val="3A893B6D"/>
    <w:rsid w:val="3AD1763A"/>
    <w:rsid w:val="3B6716E3"/>
    <w:rsid w:val="3B6C6B2D"/>
    <w:rsid w:val="3BD5DE36"/>
    <w:rsid w:val="3BDED032"/>
    <w:rsid w:val="3C242659"/>
    <w:rsid w:val="3C96719C"/>
    <w:rsid w:val="3CA72BE8"/>
    <w:rsid w:val="3CF37F8C"/>
    <w:rsid w:val="3D137554"/>
    <w:rsid w:val="3D5275AC"/>
    <w:rsid w:val="3DCC2473"/>
    <w:rsid w:val="3DE7198C"/>
    <w:rsid w:val="3DEB0883"/>
    <w:rsid w:val="3DF783E4"/>
    <w:rsid w:val="3E2527BF"/>
    <w:rsid w:val="3E731662"/>
    <w:rsid w:val="3E8168DD"/>
    <w:rsid w:val="3EA7725F"/>
    <w:rsid w:val="3EB03713"/>
    <w:rsid w:val="3EBF1A11"/>
    <w:rsid w:val="3EC52607"/>
    <w:rsid w:val="3EEC6CEF"/>
    <w:rsid w:val="3F183429"/>
    <w:rsid w:val="3FB77A1D"/>
    <w:rsid w:val="3FDC3674"/>
    <w:rsid w:val="3FED7F8A"/>
    <w:rsid w:val="40094AEF"/>
    <w:rsid w:val="405470BD"/>
    <w:rsid w:val="40794A29"/>
    <w:rsid w:val="40834692"/>
    <w:rsid w:val="41431AD5"/>
    <w:rsid w:val="414B3C0F"/>
    <w:rsid w:val="417C1CE7"/>
    <w:rsid w:val="41900018"/>
    <w:rsid w:val="41944406"/>
    <w:rsid w:val="41CE128F"/>
    <w:rsid w:val="41DA6F12"/>
    <w:rsid w:val="42171FB1"/>
    <w:rsid w:val="434E6957"/>
    <w:rsid w:val="437F6D0A"/>
    <w:rsid w:val="43BA0E31"/>
    <w:rsid w:val="43C15147"/>
    <w:rsid w:val="43E14DD2"/>
    <w:rsid w:val="43F800E9"/>
    <w:rsid w:val="443A7E4B"/>
    <w:rsid w:val="452F5B3A"/>
    <w:rsid w:val="454E7FD2"/>
    <w:rsid w:val="46061BDC"/>
    <w:rsid w:val="461404F8"/>
    <w:rsid w:val="46413018"/>
    <w:rsid w:val="464B7E04"/>
    <w:rsid w:val="468041AA"/>
    <w:rsid w:val="468123C6"/>
    <w:rsid w:val="46901EEE"/>
    <w:rsid w:val="469C74D2"/>
    <w:rsid w:val="47445515"/>
    <w:rsid w:val="474B4782"/>
    <w:rsid w:val="47D90D14"/>
    <w:rsid w:val="48387FB0"/>
    <w:rsid w:val="483A6114"/>
    <w:rsid w:val="488727DB"/>
    <w:rsid w:val="48B82268"/>
    <w:rsid w:val="48C354B3"/>
    <w:rsid w:val="493D58B5"/>
    <w:rsid w:val="494A7A04"/>
    <w:rsid w:val="4A0A26D2"/>
    <w:rsid w:val="4A2019A5"/>
    <w:rsid w:val="4A241A0B"/>
    <w:rsid w:val="4A7B2875"/>
    <w:rsid w:val="4A934476"/>
    <w:rsid w:val="4AAA220A"/>
    <w:rsid w:val="4AE12E67"/>
    <w:rsid w:val="4AFC4A78"/>
    <w:rsid w:val="4B4C0111"/>
    <w:rsid w:val="4B798C18"/>
    <w:rsid w:val="4B8553A9"/>
    <w:rsid w:val="4BDB3730"/>
    <w:rsid w:val="4C200F7A"/>
    <w:rsid w:val="4CEE3180"/>
    <w:rsid w:val="4D0F4AF6"/>
    <w:rsid w:val="4DF94F37"/>
    <w:rsid w:val="4E0A1DD5"/>
    <w:rsid w:val="4E3160E5"/>
    <w:rsid w:val="4E4D37AF"/>
    <w:rsid w:val="4E8C6496"/>
    <w:rsid w:val="4EFD18DE"/>
    <w:rsid w:val="4F144236"/>
    <w:rsid w:val="4F663C87"/>
    <w:rsid w:val="4F7E29A8"/>
    <w:rsid w:val="4F9E1FFC"/>
    <w:rsid w:val="50447CC2"/>
    <w:rsid w:val="50874A7C"/>
    <w:rsid w:val="50895EE7"/>
    <w:rsid w:val="50921B9D"/>
    <w:rsid w:val="50D16158"/>
    <w:rsid w:val="50DB5F45"/>
    <w:rsid w:val="51025EB1"/>
    <w:rsid w:val="51141503"/>
    <w:rsid w:val="518D0ED5"/>
    <w:rsid w:val="525C687F"/>
    <w:rsid w:val="52F647F7"/>
    <w:rsid w:val="52F92565"/>
    <w:rsid w:val="53D03877"/>
    <w:rsid w:val="542F73CA"/>
    <w:rsid w:val="5430786D"/>
    <w:rsid w:val="54C811C0"/>
    <w:rsid w:val="556A442D"/>
    <w:rsid w:val="55DA564E"/>
    <w:rsid w:val="5604127D"/>
    <w:rsid w:val="56166703"/>
    <w:rsid w:val="56510474"/>
    <w:rsid w:val="56861525"/>
    <w:rsid w:val="56A93273"/>
    <w:rsid w:val="56BD550C"/>
    <w:rsid w:val="56E07045"/>
    <w:rsid w:val="56FF28AF"/>
    <w:rsid w:val="57540E7D"/>
    <w:rsid w:val="577B4878"/>
    <w:rsid w:val="57926973"/>
    <w:rsid w:val="57EF483B"/>
    <w:rsid w:val="57F70925"/>
    <w:rsid w:val="58175352"/>
    <w:rsid w:val="581F2200"/>
    <w:rsid w:val="583059FA"/>
    <w:rsid w:val="584A0929"/>
    <w:rsid w:val="58CD2491"/>
    <w:rsid w:val="591B41B2"/>
    <w:rsid w:val="59254A26"/>
    <w:rsid w:val="59326325"/>
    <w:rsid w:val="595C505B"/>
    <w:rsid w:val="595E55C3"/>
    <w:rsid w:val="596E7E20"/>
    <w:rsid w:val="59D76A3C"/>
    <w:rsid w:val="5A60780B"/>
    <w:rsid w:val="5AB34579"/>
    <w:rsid w:val="5AFC6609"/>
    <w:rsid w:val="5B113480"/>
    <w:rsid w:val="5BD456CE"/>
    <w:rsid w:val="5C0D1F49"/>
    <w:rsid w:val="5CBB0CE2"/>
    <w:rsid w:val="5CC17177"/>
    <w:rsid w:val="5CDC6CBF"/>
    <w:rsid w:val="5CF306BC"/>
    <w:rsid w:val="5D3F3D64"/>
    <w:rsid w:val="5D833043"/>
    <w:rsid w:val="5DB558F2"/>
    <w:rsid w:val="5DD92690"/>
    <w:rsid w:val="5DDB1CFD"/>
    <w:rsid w:val="5E7E6D93"/>
    <w:rsid w:val="5ED44800"/>
    <w:rsid w:val="5F350BDE"/>
    <w:rsid w:val="5F61632C"/>
    <w:rsid w:val="5FA17648"/>
    <w:rsid w:val="5FB73FBC"/>
    <w:rsid w:val="5FE705CB"/>
    <w:rsid w:val="5FEB532A"/>
    <w:rsid w:val="603D5080"/>
    <w:rsid w:val="60D0261B"/>
    <w:rsid w:val="618E3791"/>
    <w:rsid w:val="61947DCA"/>
    <w:rsid w:val="61A46A97"/>
    <w:rsid w:val="61D1382F"/>
    <w:rsid w:val="61F114A2"/>
    <w:rsid w:val="62512BB4"/>
    <w:rsid w:val="625D7D1A"/>
    <w:rsid w:val="62DD7D21"/>
    <w:rsid w:val="62EF3916"/>
    <w:rsid w:val="637D586B"/>
    <w:rsid w:val="63A5560B"/>
    <w:rsid w:val="63E9091F"/>
    <w:rsid w:val="64322AF9"/>
    <w:rsid w:val="64D6010D"/>
    <w:rsid w:val="64D82665"/>
    <w:rsid w:val="64E47C96"/>
    <w:rsid w:val="651E5741"/>
    <w:rsid w:val="658A4877"/>
    <w:rsid w:val="65A00902"/>
    <w:rsid w:val="65AC6EDD"/>
    <w:rsid w:val="65D97752"/>
    <w:rsid w:val="66085536"/>
    <w:rsid w:val="66105BF7"/>
    <w:rsid w:val="66150023"/>
    <w:rsid w:val="6628010D"/>
    <w:rsid w:val="667F4219"/>
    <w:rsid w:val="669B4528"/>
    <w:rsid w:val="66CC12D7"/>
    <w:rsid w:val="67134CEF"/>
    <w:rsid w:val="671F1ABD"/>
    <w:rsid w:val="67521A59"/>
    <w:rsid w:val="67C304AB"/>
    <w:rsid w:val="683F0658"/>
    <w:rsid w:val="68545AB9"/>
    <w:rsid w:val="689C6793"/>
    <w:rsid w:val="68DB0208"/>
    <w:rsid w:val="68FB170C"/>
    <w:rsid w:val="691B3D98"/>
    <w:rsid w:val="693748F0"/>
    <w:rsid w:val="69846A0E"/>
    <w:rsid w:val="69AD798C"/>
    <w:rsid w:val="69D005C0"/>
    <w:rsid w:val="69D80B96"/>
    <w:rsid w:val="6B68175F"/>
    <w:rsid w:val="6BFD799F"/>
    <w:rsid w:val="6C4A2E5A"/>
    <w:rsid w:val="6C8138D0"/>
    <w:rsid w:val="6CEF0725"/>
    <w:rsid w:val="6D4B2604"/>
    <w:rsid w:val="6D8030E4"/>
    <w:rsid w:val="6E0E35C4"/>
    <w:rsid w:val="6E0F7A08"/>
    <w:rsid w:val="6E3947F5"/>
    <w:rsid w:val="6E9C74ED"/>
    <w:rsid w:val="6EF72976"/>
    <w:rsid w:val="6F795A80"/>
    <w:rsid w:val="6F7C1D2E"/>
    <w:rsid w:val="6F8E0407"/>
    <w:rsid w:val="6FB94881"/>
    <w:rsid w:val="6FDD069F"/>
    <w:rsid w:val="702B4D16"/>
    <w:rsid w:val="70AA6621"/>
    <w:rsid w:val="7111480F"/>
    <w:rsid w:val="71261F49"/>
    <w:rsid w:val="712E6956"/>
    <w:rsid w:val="71473612"/>
    <w:rsid w:val="71504F32"/>
    <w:rsid w:val="7152309F"/>
    <w:rsid w:val="718F7F65"/>
    <w:rsid w:val="727B234E"/>
    <w:rsid w:val="72D068C7"/>
    <w:rsid w:val="72E42ED8"/>
    <w:rsid w:val="735F4CB9"/>
    <w:rsid w:val="73674C62"/>
    <w:rsid w:val="73845865"/>
    <w:rsid w:val="739B6D9E"/>
    <w:rsid w:val="73BC1D76"/>
    <w:rsid w:val="73FB6630"/>
    <w:rsid w:val="748D790E"/>
    <w:rsid w:val="749820CC"/>
    <w:rsid w:val="74CE04EC"/>
    <w:rsid w:val="74E76DCD"/>
    <w:rsid w:val="751D7C0A"/>
    <w:rsid w:val="75722D56"/>
    <w:rsid w:val="75DB5477"/>
    <w:rsid w:val="75FC6AC3"/>
    <w:rsid w:val="7616619B"/>
    <w:rsid w:val="76660D7C"/>
    <w:rsid w:val="766C5968"/>
    <w:rsid w:val="76BE0C8F"/>
    <w:rsid w:val="76CD53B2"/>
    <w:rsid w:val="76F04E86"/>
    <w:rsid w:val="770719AC"/>
    <w:rsid w:val="776526CC"/>
    <w:rsid w:val="77A262E1"/>
    <w:rsid w:val="77B13C33"/>
    <w:rsid w:val="77ED6F44"/>
    <w:rsid w:val="77F45548"/>
    <w:rsid w:val="77F77987"/>
    <w:rsid w:val="784E7CA6"/>
    <w:rsid w:val="78574801"/>
    <w:rsid w:val="7873527F"/>
    <w:rsid w:val="790A6425"/>
    <w:rsid w:val="790E2D96"/>
    <w:rsid w:val="791B54B2"/>
    <w:rsid w:val="795A0A34"/>
    <w:rsid w:val="797339C3"/>
    <w:rsid w:val="79D57D57"/>
    <w:rsid w:val="79F00650"/>
    <w:rsid w:val="7A6242BF"/>
    <w:rsid w:val="7A794513"/>
    <w:rsid w:val="7AE952D2"/>
    <w:rsid w:val="7B7F1207"/>
    <w:rsid w:val="7C976D69"/>
    <w:rsid w:val="7CD752DA"/>
    <w:rsid w:val="7CDE40AB"/>
    <w:rsid w:val="7CF057E2"/>
    <w:rsid w:val="7D1548B5"/>
    <w:rsid w:val="7DF84014"/>
    <w:rsid w:val="7E207949"/>
    <w:rsid w:val="7E5C0A47"/>
    <w:rsid w:val="7E670C75"/>
    <w:rsid w:val="7EE24272"/>
    <w:rsid w:val="7EEA6053"/>
    <w:rsid w:val="7F487C04"/>
    <w:rsid w:val="7FAFD5A1"/>
    <w:rsid w:val="7FB45F21"/>
    <w:rsid w:val="7FE57088"/>
    <w:rsid w:val="7FEA1777"/>
    <w:rsid w:val="7FF37FA3"/>
    <w:rsid w:val="7FF76DF0"/>
    <w:rsid w:val="8DFF510D"/>
    <w:rsid w:val="94EE61EB"/>
    <w:rsid w:val="9F776A04"/>
    <w:rsid w:val="B13F4B2B"/>
    <w:rsid w:val="B5D9E4C8"/>
    <w:rsid w:val="B7534623"/>
    <w:rsid w:val="BB76C1F1"/>
    <w:rsid w:val="BCED3521"/>
    <w:rsid w:val="D567F8BD"/>
    <w:rsid w:val="D9EF5D41"/>
    <w:rsid w:val="DEF2E498"/>
    <w:rsid w:val="DF2722C0"/>
    <w:rsid w:val="DF3B989C"/>
    <w:rsid w:val="DFEF4824"/>
    <w:rsid w:val="E3B77F76"/>
    <w:rsid w:val="E6CFAD87"/>
    <w:rsid w:val="E9A78483"/>
    <w:rsid w:val="EF7B1E02"/>
    <w:rsid w:val="EFBB4C95"/>
    <w:rsid w:val="EFF391AF"/>
    <w:rsid w:val="F7577C0A"/>
    <w:rsid w:val="F8D747CD"/>
    <w:rsid w:val="F9FE01B1"/>
    <w:rsid w:val="FBEF1E4C"/>
    <w:rsid w:val="FDF6E7DE"/>
    <w:rsid w:val="FF551ABC"/>
    <w:rsid w:val="FF6E3DF4"/>
    <w:rsid w:val="FFDFBE0C"/>
    <w:rsid w:val="FFFDEED8"/>
    <w:rsid w:val="FFFF96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4694</Words>
  <Characters>5334</Characters>
  <Lines>0</Lines>
  <Paragraphs>0</Paragraphs>
  <TotalTime>0</TotalTime>
  <ScaleCrop>false</ScaleCrop>
  <LinksUpToDate>false</LinksUpToDate>
  <CharactersWithSpaces>5344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GXR</dc:creator>
  <cp:lastModifiedBy>1205-1</cp:lastModifiedBy>
  <cp:lastPrinted>2024-10-18T07:48:00Z</cp:lastPrinted>
  <dcterms:modified xsi:type="dcterms:W3CDTF">2024-10-21T04:10:08Z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D0A611B69A16B5C6FEDA1067A845C6F4</vt:lpwstr>
  </property>
</Properties>
</file>