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0"/>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0"/>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0"/>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0"/>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0"/>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0"/>
          <w:szCs w:val="40"/>
          <w:highlight w:val="none"/>
          <w14:textFill>
            <w14:solidFill>
              <w14:schemeClr w14:val="tx1"/>
            </w14:solidFill>
          </w14:textFill>
        </w:rPr>
      </w:pPr>
      <w:r>
        <w:rPr>
          <w:rFonts w:hint="eastAsia" w:ascii="方正小标宋_GBK" w:hAnsi="宋体" w:eastAsia="方正小标宋_GBK"/>
          <w:color w:val="000000" w:themeColor="text1"/>
          <w:sz w:val="40"/>
          <w:szCs w:val="40"/>
          <w:highlight w:val="none"/>
          <w:lang w:val="en-US" w:eastAsia="zh-CN"/>
          <w14:textFill>
            <w14:solidFill>
              <w14:schemeClr w14:val="tx1"/>
            </w14:solidFill>
          </w14:textFill>
        </w:rPr>
        <w:t>新疆维吾尔自治区民政厅</w:t>
      </w:r>
      <w:r>
        <w:rPr>
          <w:rFonts w:hint="eastAsia" w:ascii="方正小标宋_GBK" w:hAnsi="宋体" w:eastAsia="方正小标宋_GBK"/>
          <w:color w:val="000000" w:themeColor="text1"/>
          <w:sz w:val="40"/>
          <w:szCs w:val="40"/>
          <w:highlight w:val="none"/>
          <w:lang w:eastAsia="zh-CN"/>
          <w14:textFill>
            <w14:solidFill>
              <w14:schemeClr w14:val="tx1"/>
            </w14:solidFill>
          </w14:textFill>
        </w:rPr>
        <w:t>2023年度</w:t>
      </w:r>
      <w:r>
        <w:rPr>
          <w:rFonts w:hint="eastAsia" w:ascii="方正小标宋_GBK" w:hAnsi="宋体" w:eastAsia="方正小标宋_GBK"/>
          <w:color w:val="000000" w:themeColor="text1"/>
          <w:sz w:val="40"/>
          <w:szCs w:val="40"/>
          <w:highlight w:val="none"/>
          <w14:textFill>
            <w14:solidFill>
              <w14:schemeClr w14:val="tx1"/>
            </w14:solidFill>
          </w14:textFill>
        </w:rPr>
        <w:t>部门决算</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宋体" w:eastAsia="方正小标宋_GBK"/>
          <w:color w:val="000000" w:themeColor="text1"/>
          <w:sz w:val="40"/>
          <w:szCs w:val="40"/>
          <w:highlight w:val="none"/>
          <w14:textFill>
            <w14:solidFill>
              <w14:schemeClr w14:val="tx1"/>
            </w14:solidFill>
          </w14:textFill>
        </w:rPr>
      </w:pPr>
      <w:r>
        <w:rPr>
          <w:rFonts w:hint="eastAsia" w:ascii="方正小标宋_GBK" w:hAnsi="宋体" w:eastAsia="方正小标宋_GBK"/>
          <w:color w:val="000000" w:themeColor="text1"/>
          <w:sz w:val="40"/>
          <w:szCs w:val="40"/>
          <w:highlight w:val="none"/>
          <w14:textFill>
            <w14:solidFill>
              <w14:schemeClr w14:val="tx1"/>
            </w14:solidFill>
          </w14:textFill>
        </w:rPr>
        <w:t>公开说明</w:t>
      </w:r>
    </w:p>
    <w:p>
      <w:pPr>
        <w:keepNext w:val="0"/>
        <w:keepLines w:val="0"/>
        <w:pageBreakBefore w:val="0"/>
        <w:kinsoku/>
        <w:wordWrap/>
        <w:overflowPunct/>
        <w:topLinePunct w:val="0"/>
        <w:bidi w:val="0"/>
        <w:adjustRightInd/>
        <w:snapToGrid/>
        <w:spacing w:line="560" w:lineRule="exact"/>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_GBK" w:hAnsi="方正仿宋_GBK" w:eastAsia="方正仿宋_GBK" w:cs="方正仿宋_GBK"/>
          <w:b w:val="0"/>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0"/>
          <w:sz w:val="36"/>
          <w:szCs w:val="36"/>
          <w:highlight w:val="none"/>
          <w14:textFill>
            <w14:solidFill>
              <w14:schemeClr w14:val="tx1"/>
            </w14:solidFill>
          </w14:textFill>
        </w:rPr>
        <w:t>目  录</w:t>
      </w:r>
    </w:p>
    <w:p>
      <w:pPr>
        <w:pStyle w:val="5"/>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TOC \o "1-3" \n  \h \u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instrText xml:space="preserve"> HYPERLINK \l _Toc32314 </w:instrTex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 xml:space="preserve">第一部分 </w:t>
      </w:r>
      <w:r>
        <w:rPr>
          <w:rFonts w:hint="eastAsia" w:ascii="方正仿宋_GBK" w:hAnsi="方正仿宋_GBK" w:eastAsia="方正仿宋_GBK" w:cs="方正仿宋_GBK"/>
          <w:b/>
          <w:bCs/>
          <w:color w:val="000000" w:themeColor="text1"/>
          <w:sz w:val="32"/>
          <w:szCs w:val="32"/>
          <w:highlight w:val="none"/>
          <w:lang w:eastAsia="zh-CN"/>
          <w14:textFill>
            <w14:solidFill>
              <w14:schemeClr w14:val="tx1"/>
            </w14:solidFill>
          </w14:textFill>
        </w:rPr>
        <w:t>部门</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概况</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_Toc30567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一、主要职能</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_Toc2151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二、机构设置</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及人员</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情况</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5"/>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instrText xml:space="preserve"> HYPERLINK \l _Toc29374 </w:instrTex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第二部分 部门决算情况说明</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_Toc25314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一、收入支出决算总体情况说明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_Toc12142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二、</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收入</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决算</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_Toc13201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三、支出决算情况说明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_Toc26564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四、财政拨款收入支出决算总体情况说明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_Toc20360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五、一般公共预算财政拨款支出决算情况说明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_Toc30870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六、一般公共预算财政拨款基本支出决算情况说明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_Toc21518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七</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财政拨款</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“三公”经费支出</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决算</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情况</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_Toc5810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八、</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政府性基金预算财政拨款收入支出决算情况说明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keepNext w:val="0"/>
        <w:keepLines w:val="0"/>
        <w:pageBreakBefore w:val="0"/>
        <w:kinsoku/>
        <w:wordWrap/>
        <w:overflowPunct/>
        <w:topLinePunct w:val="0"/>
        <w:bidi w:val="0"/>
        <w:adjustRightInd/>
        <w:snapToGrid/>
        <w:spacing w:line="560" w:lineRule="exact"/>
        <w:textAlignment w:val="auto"/>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_Toc5810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九</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、国有资本经营预算财政拨款收入支出决算情况说明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_Toc1235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十</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、其他重要事项的情况</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2"/>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_Toc14519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机关运行经费支出情况</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2"/>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_Toc227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（二）政府采购情况</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2"/>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_Toc8391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（三）国有资产占用情况说明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_Toc11283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十</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一</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、预算绩效的情况说明</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十二、其他需说明的事项</w:t>
      </w:r>
    </w:p>
    <w:p>
      <w:pPr>
        <w:pStyle w:val="5"/>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instrText xml:space="preserve"> HYPERLINK \l _Toc3250 </w:instrTex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第三部分 专业名词解释</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end"/>
      </w:r>
    </w:p>
    <w:p>
      <w:pPr>
        <w:pStyle w:val="5"/>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instrText xml:space="preserve"> HYPERLINK \l _Toc22784 </w:instrTex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第四部分 部门决算报表（见附表）</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_Toc2183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一、《收入支出决算总表》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_Toc24532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二、《收入决算表》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_Toc32434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三、《支出决算表》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_Toc28786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四、《财政拨款收入支出决算总表》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_Toc14869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五、《一般公共预算财政拨款支出决算表》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_Toc8884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六、《一般公共预算财政拨款基本支出决算表》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instrText xml:space="preserve"> HYPERLINK \l _Toc29106 </w:instrTex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七、《财政拨款“三公”经费支出决算表》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fldChar w:fldCharType="begin"/>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instrText xml:space="preserve"> HYPERLINK \l _Toc7643 </w:instrTex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fldChar w:fldCharType="separate"/>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八、</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《政府性基金预算财政拨款收入支出决算表》</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九</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、《国有资本经营</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预算财政拨款收入支出决算表</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fldChar w:fldCharType="end"/>
      </w:r>
    </w:p>
    <w:p>
      <w:pPr>
        <w:keepNext w:val="0"/>
        <w:keepLines w:val="0"/>
        <w:pageBreakBefore w:val="0"/>
        <w:kinsoku/>
        <w:wordWrap/>
        <w:overflowPunct/>
        <w:topLinePunct w:val="0"/>
        <w:bidi w:val="0"/>
        <w:adjustRightInd/>
        <w:snapToGrid/>
        <w:spacing w:line="560" w:lineRule="exac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bookmarkStart w:id="0" w:name="_Toc32314"/>
      <w:bookmarkStart w:id="1" w:name="_Toc24028"/>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 xml:space="preserve">第一部分 </w:t>
      </w:r>
      <w:r>
        <w:rPr>
          <w:rFonts w:hint="eastAsia" w:ascii="方正黑体_GBK" w:hAnsi="方正黑体_GBK" w:eastAsia="方正黑体_GBK" w:cs="方正黑体_GBK"/>
          <w:color w:val="000000" w:themeColor="text1"/>
          <w:sz w:val="32"/>
          <w:szCs w:val="32"/>
          <w:highlight w:val="none"/>
          <w:lang w:eastAsia="zh-CN"/>
          <w14:textFill>
            <w14:solidFill>
              <w14:schemeClr w14:val="tx1"/>
            </w14:solidFill>
          </w14:textFill>
        </w:rPr>
        <w:t>部门</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概况</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黑体_GBK" w:hAnsi="方正黑体_GBK" w:eastAsia="方正黑体_GBK" w:cs="方正黑体_GBK"/>
          <w:bCs/>
          <w:color w:val="000000" w:themeColor="text1"/>
          <w:kern w:val="0"/>
          <w:sz w:val="32"/>
          <w:szCs w:val="32"/>
          <w:highlight w:val="none"/>
          <w14:textFill>
            <w14:solidFill>
              <w14:schemeClr w14:val="tx1"/>
            </w14:solidFill>
          </w14:textFill>
        </w:rPr>
      </w:pPr>
      <w:bookmarkStart w:id="2" w:name="_Toc30567"/>
      <w:bookmarkStart w:id="3" w:name="_Toc30738"/>
      <w:r>
        <w:rPr>
          <w:rFonts w:hint="eastAsia" w:ascii="方正黑体_GBK" w:hAnsi="方正黑体_GBK" w:eastAsia="方正黑体_GBK" w:cs="方正黑体_GBK"/>
          <w:bCs/>
          <w:color w:val="000000" w:themeColor="text1"/>
          <w:kern w:val="0"/>
          <w:sz w:val="32"/>
          <w:szCs w:val="32"/>
          <w:highlight w:val="none"/>
          <w14:textFill>
            <w14:solidFill>
              <w14:schemeClr w14:val="tx1"/>
            </w14:solidFill>
          </w14:textFill>
        </w:rPr>
        <w:t>一、主要职能</w:t>
      </w:r>
      <w:bookmarkEnd w:id="2"/>
      <w:bookmarkEnd w:id="3"/>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1.贯彻执行国家、自治区关于民政工作的法律、法规、规章、政策；拟订民政事业发展规划并组织实施。</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2.拟订社会救助规划、政策和标准，健全城乡社会救助体系；指导有意愿的特困老人集中供养和孤儿集中收养；拟订社会保障兜底脱贫政策和标准，指导城乡最低生活保障、临时救助。</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3.拟订社会团体、社会服务机构、基金会的登记管理法规草案、政策；承担全区性社会团体、社会服务机构、基金会登记管理、监督责任；指导社会组织党建工作。</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4.拟订城乡基层群众自治建设和社区治理的规划、政策和标准；指导加强和完善城乡基层政权及社区治理，推动基层民主政治建设；指导城乡社区服务体系建设。</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5.拟订行政区划、行政区域界线和地名管理政策和标准；指导行政区划调整、行政区域界线勘定和管理、地名管理；负责乡级行政区划调整的审核。</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6.拟订婚姻登记、殡葬管理政策；指导婚姻登记、殡葬服务机构管理，推进婚俗和殡葬改革；负责涉外婚姻登记。</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7.拟订老年人福利和养老服务业发展规划、法规草案、政策和标准，推进社会养老服务体系建设；指导养老机构和特困人员救助供养机构建设和管理。</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8.拟订儿童福利、儿童收养和儿童保护政策、标准；健全农村留守儿童关爱体系和困境儿童保障制度；指导儿童福利收养登记、未成年人保护机构管理；承办涉外儿童收养。</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9.拟订生活无着的流浪、乞讨人员救助政策和标准；指导救助管理和机构建设工作。</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10.拟订促进慈善事业发展规划、政策和标准；指导社会捐助，监管慈善行为；负责福利彩票发行管理。</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11.拟订残障福利发展政策和标准；指导残障福利和康复辅助器具行业发展；指导民政职责范围内的精神卫生工作。</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12.拟订全区社会工作发展规划、政策和职业规范，指导社会工作人才和志愿者队伍建设。</w:t>
      </w:r>
    </w:p>
    <w:p>
      <w:pPr>
        <w:pStyle w:val="10"/>
        <w:keepNext w:val="0"/>
        <w:keepLines w:val="0"/>
        <w:pageBreakBefore w:val="0"/>
        <w:kinsoku/>
        <w:wordWrap/>
        <w:overflowPunct/>
        <w:topLinePunct w:val="0"/>
        <w:bidi w:val="0"/>
        <w:adjustRightInd/>
        <w:snapToGrid/>
        <w:spacing w:line="56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13.完成自治区党委、自治区人民政府交办的其他任务。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4" w:name="_Toc31238"/>
      <w:bookmarkStart w:id="5" w:name="_Toc2151"/>
      <w:r>
        <w:rPr>
          <w:rFonts w:hint="eastAsia" w:ascii="黑体" w:hAnsi="黑体" w:eastAsia="黑体" w:cs="宋体"/>
          <w:bCs/>
          <w:color w:val="000000" w:themeColor="text1"/>
          <w:kern w:val="0"/>
          <w:sz w:val="32"/>
          <w:szCs w:val="32"/>
          <w:highlight w:val="none"/>
          <w14:textFill>
            <w14:solidFill>
              <w14:schemeClr w14:val="tx1"/>
            </w14:solidFill>
          </w14:textFill>
        </w:rPr>
        <w:t>二、机构设置</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及</w:t>
      </w:r>
      <w:bookmarkEnd w:id="4"/>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人员</w:t>
      </w:r>
      <w:r>
        <w:rPr>
          <w:rFonts w:hint="eastAsia" w:ascii="黑体" w:hAnsi="黑体" w:eastAsia="黑体" w:cs="宋体"/>
          <w:bCs/>
          <w:color w:val="000000" w:themeColor="text1"/>
          <w:kern w:val="0"/>
          <w:sz w:val="32"/>
          <w:szCs w:val="32"/>
          <w:highlight w:val="none"/>
          <w14:textFill>
            <w14:solidFill>
              <w14:schemeClr w14:val="tx1"/>
            </w14:solidFill>
          </w14:textFill>
        </w:rPr>
        <w:t>情况</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自治区民政厅</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2023年度，</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实有人数</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680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人，其中：在职人员</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321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离休人员</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人，退休人员</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353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从部门决算单位构成看，自治区民政厅部门决算包括：自治区民政厅本级决算及所属单位决算。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自治区民政厅本级下设14个处室，分别是：办公室、政策法规宣传处、规划财务处、社会组织管理局、社会救助局、基层政权建设和社区治理处、区划地名处、社会事务处、养老服务处、儿童福利处、慈善事业促进和社会工作处、人事处、机关党委、离退休干部工作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纳入自治区民政厅2023年度部门决算编制范围的下属预算单位包括：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1.新疆维吾尔自治区民政厅本级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2.新疆维吾尔自治区救助管理站（新疆维吾尔自治区未成年人救助保护中心）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3.新疆维吾尔自治区地名标准化中心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4.新疆维吾尔自治区民政康复中心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5.新疆静宁医院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6.新疆维吾尔自治区社会工作人才资源开发中心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7.新疆维吾尔自治区民政事业规划发展中心</w:t>
      </w:r>
    </w:p>
    <w:p>
      <w:pPr>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default" w:ascii="仿宋_GB2312" w:eastAsia="仿宋_GB2312"/>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bookmarkStart w:id="6" w:name="_Toc3092"/>
      <w:bookmarkStart w:id="7" w:name="_Toc29374"/>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8" w:name="_Toc25314"/>
      <w:bookmarkStart w:id="9" w:name="_Toc12566"/>
      <w:r>
        <w:rPr>
          <w:rFonts w:hint="eastAsia" w:ascii="黑体" w:hAnsi="黑体" w:eastAsia="黑体" w:cs="宋体"/>
          <w:bCs/>
          <w:color w:val="000000" w:themeColor="text1"/>
          <w:kern w:val="0"/>
          <w:sz w:val="32"/>
          <w:szCs w:val="32"/>
          <w:highlight w:val="none"/>
          <w14:textFill>
            <w14:solidFill>
              <w14:schemeClr w14:val="tx1"/>
            </w14:solidFill>
          </w14:textFill>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2023年度</w:t>
      </w: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收入总计</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23,044.41万元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其中：本年收入合计</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20,439.40万元，使用非财政拨款结余53.58万元，年初结转和结余2,551.42万元。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2023</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年</w:t>
      </w: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度</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支出</w:t>
      </w: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总计</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23,044.41万元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其中：本年支出合计</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22,095.83万元，</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结余分配</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0.00万元，年末结转和结余948.57万元。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_GBK" w:cs="Times New Roman"/>
          <w:color w:val="000000" w:themeColor="text1"/>
          <w:spacing w:val="0"/>
          <w:sz w:val="32"/>
          <w:szCs w:val="32"/>
          <w:highlight w:val="yellow"/>
          <w:lang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收入支出总体与上年相比</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增加6,272.87万元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增长37.40%</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，主要原因是：</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一是</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2023年安排政府性基金项目资金较上年增加；二是2022年结转的基本建设、政府采购项目资金2023年全部支出完毕。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10" w:name="_Toc12142"/>
      <w:bookmarkStart w:id="11" w:name="_Toc1979"/>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二、</w:t>
      </w:r>
      <w:r>
        <w:rPr>
          <w:rFonts w:hint="eastAsia" w:ascii="黑体" w:hAnsi="黑体" w:eastAsia="黑体" w:cs="宋体"/>
          <w:bCs/>
          <w:color w:val="000000" w:themeColor="text1"/>
          <w:kern w:val="0"/>
          <w:sz w:val="32"/>
          <w:szCs w:val="32"/>
          <w:highlight w:val="none"/>
          <w14:textFill>
            <w14:solidFill>
              <w14:schemeClr w14:val="tx1"/>
            </w14:solidFill>
          </w14:textFill>
        </w:rPr>
        <w:t>收入</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决算</w:t>
      </w:r>
      <w:r>
        <w:rPr>
          <w:rFonts w:hint="eastAsia" w:ascii="黑体" w:hAnsi="黑体" w:eastAsia="黑体" w:cs="宋体"/>
          <w:bCs/>
          <w:color w:val="000000" w:themeColor="text1"/>
          <w:kern w:val="0"/>
          <w:sz w:val="32"/>
          <w:szCs w:val="32"/>
          <w:highlight w:val="none"/>
          <w14:textFill>
            <w14:solidFill>
              <w14:schemeClr w14:val="tx1"/>
            </w14:solidFill>
          </w14:textFill>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本年收入</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20,439.40</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，其中：财政拨款收入</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19,759.77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96.67</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；上级补助收入</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；事业收入</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510.93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2.50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；经营收入</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附属单位上缴收入</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；其他收入</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168.71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0.83</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z w:val="30"/>
          <w:szCs w:val="30"/>
          <w:highlight w:val="none"/>
          <w:lang w:val="zh-CN"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本年支出22,095.83万元</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，其中：基本支出8,577.73万元，占38.82%；项目支出13,518.10万元，占61.18%；上缴上级支出0.00万元，占0.00%；经营支出0.00万元，占0.00%；对附属单位补助支出0.00万元，占0.00%。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2023年度财政拨款收入</w:t>
      </w: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总计</w:t>
      </w:r>
      <w:r>
        <w:rPr>
          <w:rFonts w:hint="default" w:ascii="Times New Roman" w:hAnsi="Times New Roman" w:eastAsia="方正仿宋_GBK" w:cs="Times New Roman"/>
          <w:b/>
          <w:bCs/>
          <w:color w:val="000000" w:themeColor="text1"/>
          <w:spacing w:val="0"/>
          <w:sz w:val="32"/>
          <w:szCs w:val="32"/>
          <w:highlight w:val="none"/>
          <w:lang w:val="zh-CN" w:eastAsia="zh-CN"/>
          <w14:textFill>
            <w14:solidFill>
              <w14:schemeClr w14:val="tx1"/>
            </w14:solidFill>
          </w14:textFill>
        </w:rPr>
        <w:t>20,793.40</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其中：年初财政拨款结转和结余</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1,033.63</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本年财政拨款收入</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19,759.77</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财政拨款支出</w:t>
      </w:r>
      <w:r>
        <w:rPr>
          <w:rFonts w:hint="default" w:ascii="Times New Roman" w:hAnsi="Times New Roman" w:eastAsia="方正仿宋_GBK" w:cs="Times New Roman"/>
          <w:b/>
          <w:bCs/>
          <w:color w:val="000000" w:themeColor="text1"/>
          <w:spacing w:val="0"/>
          <w:sz w:val="32"/>
          <w:szCs w:val="32"/>
          <w:highlight w:val="none"/>
          <w:lang w:val="en-US" w:eastAsia="zh-CN"/>
          <w14:textFill>
            <w14:solidFill>
              <w14:schemeClr w14:val="tx1"/>
            </w14:solidFill>
          </w14:textFill>
        </w:rPr>
        <w:t>总计</w:t>
      </w:r>
      <w:r>
        <w:rPr>
          <w:rFonts w:hint="default" w:ascii="Times New Roman" w:hAnsi="Times New Roman" w:eastAsia="方正仿宋_GBK" w:cs="Times New Roman"/>
          <w:b/>
          <w:bCs/>
          <w:color w:val="000000" w:themeColor="text1"/>
          <w:spacing w:val="0"/>
          <w:sz w:val="32"/>
          <w:szCs w:val="32"/>
          <w:highlight w:val="none"/>
          <w:lang w:val="zh-CN" w:eastAsia="zh-CN"/>
          <w14:textFill>
            <w14:solidFill>
              <w14:schemeClr w14:val="tx1"/>
            </w14:solidFill>
          </w14:textFill>
        </w:rPr>
        <w:t>20,793.40</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其中：年末财政拨款结转和结余</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82.81</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本年财政拨款支出</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20,710.59</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pacing w:val="0"/>
          <w:sz w:val="32"/>
          <w:szCs w:val="32"/>
          <w:highlight w:val="yellow"/>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财政拨款收入支出总体与上年相比</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增加6,874.9</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增长49.39%，</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主要原因是：一是在职人员职务职级正常晋升，经费增加；二是</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2023年安排政府性基金项目资金较上年增加。</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与年初预算相比</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，年初预算数</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18,941.77</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万元，决算数</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20,793.40</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万元，预决算差异率9.78%，主要原因是：</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一是</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在职人员职务职级正常晋升，支出增加；二是年中追加职业年金、丧葬抚恤金等预算</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pacing w:val="0"/>
          <w:sz w:val="32"/>
          <w:szCs w:val="32"/>
          <w:highlight w:val="yellow"/>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2023年度一般公共预算财政拨款支出13,737.05万元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，占本年支出合计的</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62.17%</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与上年相比</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增加1,964.23万元</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增长16.68%，</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主要原因是：在职人员职务职级正常晋升</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，支出增加</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highlight w:val="none"/>
          <w:lang w:eastAsia="zh-CN"/>
          <w14:textFill>
            <w14:solidFill>
              <w14:schemeClr w14:val="tx1"/>
            </w14:solidFill>
          </w14:textFill>
        </w:rPr>
        <w:t>与年初预算相比</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，年初预算数</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12,584.81</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万元，决算数</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13,737.05</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万元，预决算差异率</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9.16%</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，主要原因是：</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一是</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在职人员职务职级正常晋升，支出增加；二是年中追加职业年金、丧葬抚恤金等预算</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（二）一般公共预算</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财政拨款支出决算</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结构情况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pacing w:val="0"/>
          <w:kern w:val="2"/>
          <w:sz w:val="32"/>
          <w:szCs w:val="32"/>
          <w:lang w:val="zh-CN"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社会保障和就业支出</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类）12,728.79万元，占92.66%</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pacing w:val="0"/>
          <w:kern w:val="2"/>
          <w:sz w:val="32"/>
          <w:szCs w:val="32"/>
          <w:lang w:val="zh-CN"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卫生健康支出（类）552.68万元，占4.02%</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pacing w:val="0"/>
          <w:kern w:val="2"/>
          <w:sz w:val="32"/>
          <w:szCs w:val="32"/>
          <w:lang w:val="zh-CN"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住房保障支出（类）455.58万元，占3.32%</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1.社会保障和就业支出（类）民政管理事务（款）行政运行（项）:支出决算数为3,168.22万元，比上年决算增加179.00万元，增长5.99%，主要原因是：人员职务职级正常晋升，支出增加。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2.社会保障和就业支出（类）民政管理事务（款）机关服务（项）:支出决算数为392.31万元，比上年决算增加2.31万元，增长0.59%，主要原因是：事业单位人员正常晋升，支出增加</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3.社会保障和就业支出（类）民政管理事务（款）行政区划和地名管理（项）:支出决算数为388.81万元，比上年决算增加9.76万元，增长2.57%，主要原因是：2023年新增地名标准化专项业务项目经费，支出较上年增加</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4.社会保障和就业支出（类）民政管理事务（款）其他民政管理事务支出（项）:支出决算数为943.75万元，比上年决算减少326.37万元，下降25.70%，主要原因是：2023年安排项目预算资金较上年减少</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5.社会保障和就业支出（类）行政事业单位养老支出（款）行政单位离退休（项）:支出决算数为461.79万元，比上年决算减少203.89万元，下降30.63%，主要原因是：2023年退回离退休人员医疗费补助，支出较上年减少</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6.社会保障和就业支出（类）行政事业单位养老支出（款）事业单位离退休（项）:支出决算数为344.85万元，比上年决算减少153.97万元，下降30.87%，主要原因是：2023年退回退休人员医疗费补助，支出较上年减少</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7.社会保障和就业支出（类）行政事业单位养老支出（款）机关事业单位基本养老保险缴费支出（项）:支出决算数为609.85万元，比上年决算增加122.94万元，增长25.25%，主要原因是：人员职务职级正常晋升，缴费基数调整，支出较上年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8.社会保障和就业支出（类）行政事业单位养老支出（款）机关事业单位职业年金缴费支出（项）:支出决算数为105.92万元，比上年决算增加34.26万元，增长47.81%，主要原因是：2023年退休人员较上年增加，支出增加</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9.社会保障和就业支出（类）社会福利（款）社会福利事业单位（项）:支出决算数为2,012.98万元，比上年决算减少544.44万元，下降21.29%，主要原因是：“明天计划”项目资金减少，支出较上年减少</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10.社会保障和就业支出（类）社会福利（款）其他社会福利支出（项）:支出决算数为2,760.00万元，比上年决算增加2,760.00万元，增长100%，主要原因是：2023年新疆维吾尔自治区老年养护院</w:t>
      </w:r>
      <w:r>
        <w:rPr>
          <w:rFonts w:hint="eastAsia" w:eastAsia="方正仿宋_GBK" w:cs="Times New Roman"/>
          <w:color w:val="000000" w:themeColor="text1"/>
          <w:spacing w:val="0"/>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民康养老）项目资金全部执行完毕，支出较上年增加</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11.社会保障和就业支出（类）临时救助（款）临时救助支出（项）:支出决算数为700.00万元，比上年决算减少169.17万元，下降19.46%，主要原因是：2022年结转上年中央困难群众救助补助资金执行完毕，2023年无结转上年资金，支出较上年减少</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12.社会保障和就业支出（类）临时救助（款）流浪乞讨人员救助支出（项）:支出决算数为840.30万元，比上年决算增加122.60万元，增长17.08%，主要原因是：2023年</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困难群众救助补助资金安排</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流浪乞讨救助支出</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较上年增加。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yellow"/>
          <w:lang w:val="zh-CN"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.卫生健康支出（类）行政事业单位医疗（款）行政单位医疗（项）:支出决算数为130.41万元，比上年决算减少10.95万元，下降7.75%，主要原因是：自治区救助管理站</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2023年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将</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公务员医疗补助科目从</w:t>
      </w:r>
      <w:r>
        <w:rPr>
          <w:rFonts w:hint="default"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行政单位医疗</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调整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至</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公务员医疗补助</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科目，</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支出较上年减少</w:t>
      </w:r>
      <w:r>
        <w:rPr>
          <w:rFonts w:hint="default" w:ascii="Times New Roman" w:hAnsi="Times New Roman" w:eastAsia="方正仿宋_GBK"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14.卫生健康支出（类）行政事业单位医疗（款）事业单位医疗（项）:支出决算数为155.46万元，比上年决算增加10.74万元，增长7.42%，主要原因是：人员职务</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职级正常晋升，缴费基数调整，支出</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较上年</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15.卫生健康支出（类）行政事业单位医疗（款）公务员医疗补助（项）:支出决算数为266.81万元，比上年决算增加84.98万元，增长46.74%，主要原因是：人员职务职级正常晋升，缴费基数调整，</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支出</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较上年</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增加</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16.住房保障支出（类）住房改革支出（款）住房公积金（项）:支出决算数为455.58万元，比上年决算增加90.40万元，增长24.75%，主要原因是：人员职务职级正常晋升，缴费基数调整，</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支出</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较上年</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增加</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17.社会保障和就业支出（类）特困人员救助供养（款）城市特困人员救助供养支出（项）:支出决算数为0.00万元，比上年决算减少44.00万元，下降100%，主要原因是：</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202</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3</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年未安排</w:t>
      </w:r>
      <w:r>
        <w:rPr>
          <w:rFonts w:hint="eastAsia"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新疆静宁医院</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困难群众救助补助资金，支出较上年减少。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t>六、一般公共预算财政拨款基本支出决算情况说明</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2023年度</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一般公共预算财政拨款基本支出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8,537.81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万元，其中：</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人员经费</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7,658.06</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，包括：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其他对个人和家庭的补助。</w:t>
      </w:r>
    </w:p>
    <w:p>
      <w:pPr>
        <w:keepNext w:val="0"/>
        <w:keepLines w:val="0"/>
        <w:pageBreakBefore w:val="0"/>
        <w:widowControl w:val="0"/>
        <w:kinsoku/>
        <w:wordWrap/>
        <w:overflowPunct/>
        <w:topLinePunct w:val="0"/>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z w:val="32"/>
          <w:szCs w:val="32"/>
          <w:highlight w:val="red"/>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公用经费</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879.76</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，包括：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办公费、印刷费、手续费、水费、电费、邮电费、取暖费、物业管理费、差旅费、维修（护）费、培训费、公务接待费、专用材料费、劳务费、工会经费、福利费、公务用车运行维护费、其他交通费用、税金及附加费用、其他商品和服务支出、办公设备购置、其他资本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pPr>
      <w:r>
        <w:rPr>
          <w:rFonts w:hint="eastAsia" w:ascii="方正黑体_GBK" w:hAnsi="方正黑体_GBK" w:eastAsia="方正黑体_GBK" w:cs="方正黑体_GBK"/>
          <w:bCs/>
          <w:color w:val="000000" w:themeColor="text1"/>
          <w:kern w:val="0"/>
          <w:sz w:val="32"/>
          <w:szCs w:val="32"/>
          <w:highlight w:val="none"/>
          <w:lang w:val="en-US" w:eastAsia="zh-CN"/>
          <w14:textFill>
            <w14:solidFill>
              <w14:schemeClr w14:val="tx1"/>
            </w14:solidFill>
          </w14:textFill>
        </w:rPr>
        <w:t>七、</w:t>
      </w:r>
      <w:r>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t>财政拨款</w:t>
      </w:r>
      <w:r>
        <w:rPr>
          <w:rFonts w:hint="eastAsia" w:ascii="方正黑体_GBK" w:hAnsi="方正黑体_GBK" w:eastAsia="方正黑体_GBK" w:cs="方正黑体_GBK"/>
          <w:bCs/>
          <w:color w:val="000000" w:themeColor="text1"/>
          <w:kern w:val="0"/>
          <w:sz w:val="32"/>
          <w:szCs w:val="32"/>
          <w:highlight w:val="none"/>
          <w14:textFill>
            <w14:solidFill>
              <w14:schemeClr w14:val="tx1"/>
            </w14:solidFill>
          </w14:textFill>
        </w:rPr>
        <w:t>“三公”经费支出</w:t>
      </w:r>
      <w:r>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t>决算</w:t>
      </w:r>
      <w:r>
        <w:rPr>
          <w:rFonts w:hint="eastAsia" w:ascii="方正黑体_GBK" w:hAnsi="方正黑体_GBK" w:eastAsia="方正黑体_GBK" w:cs="方正黑体_GBK"/>
          <w:bCs/>
          <w:color w:val="000000" w:themeColor="text1"/>
          <w:kern w:val="0"/>
          <w:sz w:val="32"/>
          <w:szCs w:val="32"/>
          <w:highlight w:val="none"/>
          <w14:textFill>
            <w14:solidFill>
              <w14:schemeClr w14:val="tx1"/>
            </w14:solidFill>
          </w14:textFill>
        </w:rPr>
        <w:t>情况</w:t>
      </w:r>
      <w:r>
        <w:rPr>
          <w:rFonts w:hint="eastAsia" w:ascii="方正黑体_GBK" w:hAnsi="方正黑体_GBK" w:eastAsia="方正黑体_GBK" w:cs="方正黑体_GBK"/>
          <w:bCs/>
          <w:color w:val="000000" w:themeColor="text1"/>
          <w:kern w:val="0"/>
          <w:sz w:val="32"/>
          <w:szCs w:val="32"/>
          <w:highlight w:val="none"/>
          <w:lang w:eastAsia="zh-CN"/>
          <w14:textFill>
            <w14:solidFill>
              <w14:schemeClr w14:val="tx1"/>
            </w14:solidFill>
          </w14:textFill>
        </w:rPr>
        <w:t>说明</w:t>
      </w:r>
    </w:p>
    <w:p>
      <w:pPr>
        <w:keepNext w:val="0"/>
        <w:keepLines w:val="0"/>
        <w:pageBreakBefore w:val="0"/>
        <w:widowControl w:val="0"/>
        <w:kinsoku/>
        <w:wordWrap/>
        <w:overflowPunct/>
        <w:topLinePunct w:val="0"/>
        <w:bidi w:val="0"/>
        <w:adjustRightInd/>
        <w:snapToGrid/>
        <w:spacing w:line="560" w:lineRule="exact"/>
        <w:ind w:firstLine="642"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2023年度</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财政拨款</w:t>
      </w:r>
      <w:r>
        <w:rPr>
          <w:rFonts w:hint="default"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“三公”经费支出</w:t>
      </w:r>
      <w:r>
        <w:rPr>
          <w:rFonts w:hint="eastAsia"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决算</w:t>
      </w:r>
      <w:r>
        <w:rPr>
          <w:rFonts w:hint="default"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59.24万元，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比上年</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增加14.91万元，增长33.63%，主要原因是：严格按照“三公”经费预算编制要求，根据单位</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车辆编制数和</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实有数</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以及公务接待计划</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编制</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“三公”经费</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预算，</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严格按预算执行，</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公务用车运行维护费</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和</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公务接待费支出</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较上年增加</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其中：因公出国（境）费支出0.00万元，占0.00%，比上年增加0.00万元，增长0.00%，主要原因是：</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2023年</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未开展</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因公出国（境）</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活动，无</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因公出国（境）费</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支出</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；公务用车购置及运行维护费支出57.83万元，占97.6</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%，比上年增加13.50万元，增长30.4</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%，主要原因是：按照</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车辆</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运行费预算编制要求，根据单位</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车辆编制数和</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实有数</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编制预算，</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严格按预算执行，</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公务用车运行维护费支出</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较上年增加</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；公务接待费支出1.41万元，占2.3</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%，比上年增加1.41万元，增长</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0.00%，主要原因是：</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2022年受疫情影响未开展公务接待，</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2023年单位恢复常态化管理，正常开展各项业务工作，</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公务接待费</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支出较上年增加</w:t>
      </w:r>
      <w:r>
        <w:rPr>
          <w:rFonts w:hint="default"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eastAsia="仿宋_GB2312"/>
          <w:b/>
          <w:bCs/>
          <w:color w:val="000000" w:themeColor="text1"/>
          <w:sz w:val="32"/>
          <w:szCs w:val="32"/>
          <w:highlight w:val="none"/>
          <w:lang w:val="zh-CN" w:eastAsia="zh-CN"/>
          <w14:textFill>
            <w14:solidFill>
              <w14:schemeClr w14:val="tx1"/>
            </w14:solidFill>
          </w14:textFill>
        </w:rPr>
        <w:t>具体情况如下：</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因公出国（境）费支出0.00万元。开支内容包括我单位无因公出国（境）费支出。单位全年安排的因公出国（境）团组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0</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个，因公出国（境）</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0</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人次。</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用车购置及运行维护费57.83万元，其中：公务用车购置费0.00万元，公务用车运行维护费57.83万元。公务用车运行维护费开支内容包括公务用车燃料费、维修费、保险费等支出。公务用车购置数0辆，公务用车保有量</w:t>
      </w:r>
      <w:r>
        <w:rPr>
          <w:rFonts w:hint="default" w:ascii="Times New Roman" w:hAnsi="Times New Roman" w:eastAsia="方正仿宋_GBK" w:cs="Times New Roman"/>
          <w:b w:val="0"/>
          <w:bCs w:val="0"/>
          <w:color w:val="000000" w:themeColor="text1"/>
          <w:sz w:val="32"/>
          <w:szCs w:val="32"/>
          <w:highlight w:val="none"/>
          <w:lang w:val="en" w:eastAsia="zh-CN"/>
          <w14:textFill>
            <w14:solidFill>
              <w14:schemeClr w14:val="tx1"/>
            </w14:solidFill>
          </w14:textFill>
        </w:rPr>
        <w:t>4</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5</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辆。国有资产占用情况</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中固定资产车辆</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92辆，</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与</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公务用车</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保有量差异</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原因是：国有资产占用情况</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中固定资产车辆</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存在</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历史遗留问题</w:t>
      </w:r>
      <w:r>
        <w:rPr>
          <w:rFonts w:hint="eastAsia" w:eastAsia="方正仿宋_GBK" w:cs="Times New Roman"/>
          <w:b w:val="0"/>
          <w:bCs w:val="0"/>
          <w:color w:val="000000" w:themeColor="text1"/>
          <w:sz w:val="32"/>
          <w:szCs w:val="32"/>
          <w:highlight w:val="none"/>
          <w:lang w:val="en-US" w:eastAsia="zh-CN"/>
          <w14:textFill>
            <w14:solidFill>
              <w14:schemeClr w14:val="tx1"/>
            </w14:solidFill>
          </w14:textFill>
        </w:rPr>
        <w:t>待报废车辆</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公务接待费1.41万元，开支内容包括接待民政部、对口援疆省份民政厅</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餐费</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。单位全年安排的国内公务接待18批次，146人次。</w:t>
      </w:r>
    </w:p>
    <w:p>
      <w:pPr>
        <w:keepNext w:val="0"/>
        <w:keepLines w:val="0"/>
        <w:pageBreakBefore w:val="0"/>
        <w:widowControl w:val="0"/>
        <w:kinsoku/>
        <w:wordWrap/>
        <w:overflowPunct/>
        <w:topLinePunct w:val="0"/>
        <w:bidi w:val="0"/>
        <w:adjustRightInd/>
        <w:snapToGrid/>
        <w:spacing w:line="560" w:lineRule="exact"/>
        <w:ind w:firstLine="642" w:firstLineChars="200"/>
        <w:jc w:val="both"/>
        <w:textAlignment w:val="auto"/>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与</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全年</w:t>
      </w:r>
      <w:r>
        <w:rPr>
          <w:rFonts w:hint="eastAsia"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预算相比</w:t>
      </w:r>
      <w:r>
        <w:rPr>
          <w:rFonts w:hint="eastAsia" w:eastAsia="方正仿宋_GBK" w:cs="Times New Roman"/>
          <w:b/>
          <w:bCs/>
          <w:color w:val="000000" w:themeColor="text1"/>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财政拨款“三公”经费支出</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全年</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预算数59.24万元，决算数59.24万元，预决算差异率0.00%，主要原因是：厉行节约，严格按预算执行。其中：因公出国（境）费</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全年预算数</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0.00万元，决算数0.00万元，预决算差异率0.00%，主要原因是：我单位无因公出国（境）费；公务用车购置费</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全年</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预算数0.00万元，决算数0.00万元，预决算差异率0.00%，主要原因是：我单位无公务用车购置费；公务用车运行费</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全年</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预算数57.83万元，决算数57.83万元，预决算差异率0.00%，主要原因是：厉行节约，严格按预算执行；公务接待费</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全年</w:t>
      </w:r>
      <w:r>
        <w:rPr>
          <w:rFonts w:hint="eastAsia" w:ascii="Times New Roman" w:hAnsi="Times New Roman" w:eastAsia="方正仿宋_GBK" w:cs="Times New Roman"/>
          <w:b w:val="0"/>
          <w:bCs w:val="0"/>
          <w:color w:val="000000" w:themeColor="text1"/>
          <w:sz w:val="32"/>
          <w:szCs w:val="32"/>
          <w:highlight w:val="none"/>
          <w:lang w:val="zh-CN" w:eastAsia="zh-CN"/>
          <w14:textFill>
            <w14:solidFill>
              <w14:schemeClr w14:val="tx1"/>
            </w14:solidFill>
          </w14:textFill>
        </w:rPr>
        <w:t>预算数1.41万元，决算数1.41万元，预决算差异率0.00%，主要原因是：厉行节约，严格按预算执行。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八</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2023年度</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政府性基金预算</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财政拨款</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收入</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总计6,973.5</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其中：年初结转和结余616.5</w:t>
      </w:r>
      <w:r>
        <w:rPr>
          <w:rFonts w:hint="default" w:ascii="Times New Roman" w:eastAsia="方正仿宋_GBK" w:cs="Times New Roman"/>
          <w:color w:val="000000" w:themeColor="text1"/>
          <w:sz w:val="32"/>
          <w:szCs w:val="32"/>
          <w:highlight w:val="none"/>
          <w:lang w:val="en"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本年收入6,356.96</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政府性基金预算财政拨款支出</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总计6,973.5</w:t>
      </w:r>
      <w:r>
        <w:rPr>
          <w:rFonts w:hint="eastAsia" w:eastAsia="方正仿宋_GBK"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其中：年末结转和结余0.00</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本年支出6,973.5</w:t>
      </w:r>
      <w:r>
        <w:rPr>
          <w:rFonts w:hint="eastAsia"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政府性基金预算财政拨款</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收入支出</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与上年相比</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，增加5,244.9</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万元，增长303.42%，</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一是</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2023年安排政府性基金项目资金较上年增加；二是2022年结转政府性基金安排的基本建设、政府采购项目资金2023年全部支出完毕</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与</w:t>
      </w:r>
      <w:r>
        <w:rPr>
          <w:rFonts w:hint="default" w:ascii="Times New Roman" w:hAnsi="Times New Roman" w:eastAsia="方正仿宋_GBK" w:cs="Times New Roman"/>
          <w:b/>
          <w:bCs/>
          <w:color w:val="000000" w:themeColor="text1"/>
          <w:sz w:val="32"/>
          <w:szCs w:val="32"/>
          <w:highlight w:val="none"/>
          <w:lang w:val="zh-CN" w:eastAsia="zh-CN"/>
          <w14:textFill>
            <w14:solidFill>
              <w14:schemeClr w14:val="tx1"/>
            </w14:solidFill>
          </w14:textFill>
        </w:rPr>
        <w:t>年初预算</w:t>
      </w:r>
      <w:r>
        <w:rPr>
          <w:rFonts w:hint="default" w:ascii="Times New Roman" w:hAnsi="Times New Roman" w:eastAsia="方正仿宋_GBK" w:cs="Times New Roman"/>
          <w:b/>
          <w:bCs/>
          <w:color w:val="000000" w:themeColor="text1"/>
          <w:sz w:val="32"/>
          <w:szCs w:val="32"/>
          <w:highlight w:val="none"/>
          <w:lang w:val="zh-CN"/>
          <w14:textFill>
            <w14:solidFill>
              <w14:schemeClr w14:val="tx1"/>
            </w14:solidFill>
          </w14:textFill>
        </w:rPr>
        <w:t>相比</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年初预算数</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6,356.96</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万元，决算数</w:t>
      </w:r>
      <w:r>
        <w:rPr>
          <w:rFonts w:hint="default" w:ascii="Times New Roman" w:hAnsi="Times New Roman" w:eastAsia="方正仿宋_GBK" w:cs="Times New Roman"/>
          <w:color w:val="000000" w:themeColor="text1"/>
          <w:sz w:val="30"/>
          <w:szCs w:val="30"/>
          <w:highlight w:val="none"/>
          <w:lang w:val="en-US" w:eastAsia="zh-CN"/>
          <w14:textFill>
            <w14:solidFill>
              <w14:schemeClr w14:val="tx1"/>
            </w14:solidFill>
          </w14:textFill>
        </w:rPr>
        <w:t>6,973.54</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万元，预决算差异率</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9.70%，主要原因是：</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流浪未成年人教育培训安置中心</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建设</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支出增加。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政府性基金预算财政拨款支出</w:t>
      </w:r>
      <w:r>
        <w:rPr>
          <w:rFonts w:hint="eastAsia" w:ascii="Times New Roman" w:hAnsi="Times New Roman" w:eastAsia="仿宋_GB2312" w:cs="Times New Roman"/>
          <w:b/>
          <w:bCs/>
          <w:color w:val="000000" w:themeColor="text1"/>
          <w:sz w:val="32"/>
          <w:szCs w:val="32"/>
          <w:highlight w:val="none"/>
          <w:lang w:val="zh-CN" w:eastAsia="zh-CN"/>
          <w14:textFill>
            <w14:solidFill>
              <w14:schemeClr w14:val="tx1"/>
            </w14:solidFill>
          </w14:textFill>
        </w:rPr>
        <w:t>6,973.54</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yellow"/>
          <w:lang w:val="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其他支出（类）彩票公益金安排的支出（款）用于社会福利的彩票公益金支出（项）:支出决算数为6,973.54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，比上年决算</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增加</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5,861.5</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增长</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527.1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%，主要原因是：</w:t>
      </w:r>
      <w:r>
        <w:rPr>
          <w:rFonts w:hint="default"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一是</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2023年安排政府性基金项目资金较上年增加；二是2022年结转的基本建设、政府采购项目资金2023年全部支出完毕。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九</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、国有资本经营预算财政拨款收入支出决算情况说明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我</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部门</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本年度无国有资本经营预算财政拨款收入、支出</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及结转和结余</w:t>
      </w:r>
      <w:r>
        <w:rPr>
          <w:rFonts w:hint="eastAsia" w:ascii="Times New Roman" w:hAnsi="Times New Roman" w:eastAsia="方正仿宋_GBK" w:cs="Times New Roman"/>
          <w:color w:val="000000" w:themeColor="text1"/>
          <w:spacing w:val="0"/>
          <w:sz w:val="32"/>
          <w:szCs w:val="32"/>
          <w:highlight w:val="none"/>
          <w:lang w:eastAsia="zh-CN"/>
          <w14:textFill>
            <w14:solidFill>
              <w14:schemeClr w14:val="tx1"/>
            </w14:solidFill>
          </w14:textFill>
        </w:rPr>
        <w:t>，国有资本经营预算财政拨款收入支出决算表为空表。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14:textFill>
            <w14:solidFill>
              <w14:schemeClr w14:val="tx1"/>
            </w14:solidFill>
          </w14:textFill>
        </w:rPr>
        <w:t>、其他重要事项的情况</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bookmarkStart w:id="12" w:name="_Toc14519"/>
      <w:bookmarkStart w:id="13" w:name="_Toc13105"/>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机关运行经费支出情况</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2023年度</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自治区民政厅（行政单位和参照公务员法管理事业单位）机关运行经费支出621.17万元，比上年增加60.26万元，增长10.74%,主要原因是：2023年公用经费中的邮电费、维修（护）费、工会经费、福利费支出较上年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自治区民政厅公用经费258.59万元，</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比上年减少</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0.58万元，</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下降0.22%，主要原因是：事业单位在职人员减少、</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2023年将公用经费中的职工取暖费调整至人员类津贴补贴科目，</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经费减少。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方正楷体_GBK" w:hAnsi="方正楷体_GBK" w:eastAsia="方正楷体_GBK" w:cs="方正楷体_GBK"/>
          <w:color w:val="000000" w:themeColor="text1"/>
          <w:sz w:val="32"/>
          <w:szCs w:val="32"/>
          <w:highlight w:val="none"/>
          <w:lang w:val="zh-CN"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zh-CN" w:eastAsia="zh-CN"/>
          <w14:textFill>
            <w14:solidFill>
              <w14:schemeClr w14:val="tx1"/>
            </w14:solidFill>
          </w14:textFill>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2023年度政府采购支出总额989.74万元，其中：政府采购货物支出214.71万元、政府采购工程支出0.00万元、政府采购服务支出775.03万元。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授予中小企业合同金额973.95万元，占政府采购支出总额的98.40</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，其中：授予小微企业合同金额694.15万元，占政府采购支出总额的70.13</w:t>
      </w:r>
      <w:r>
        <w:rPr>
          <w:rFonts w:hint="default"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方正楷体_GBK" w:hAnsi="方正楷体_GBK" w:eastAsia="方正楷体_GBK" w:cs="方正楷体_GBK"/>
          <w:color w:val="000000" w:themeColor="text1"/>
          <w:sz w:val="32"/>
          <w:szCs w:val="32"/>
          <w:highlight w:val="none"/>
          <w:lang w:val="zh-CN"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val="zh-CN" w:eastAsia="zh-CN"/>
          <w14:textFill>
            <w14:solidFill>
              <w14:schemeClr w14:val="tx1"/>
            </w14:solidFill>
          </w14:textFill>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截至2023</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年</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12月31日</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固定资产原值</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42,422.27</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万元，房</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屋170791.57平方米，价值28,349.10万元。车辆92辆，价值1,680.90万元，其中：副部（省）级及以上领导用车0辆、主要</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负责人</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用车6辆、机要通信用车0辆、应急保障用车0辆、执法执勤用车1辆、特种专业技术用车5辆、离退休干部</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服务</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用车3辆、其他用车77辆，其他用车主要是：保障各单位专项业务开展和办公运行的公务用车及业务用车；单价100万元（含）以上设备（不含车辆）5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台（</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一</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、预算绩效的情况说明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根据预算绩效管理要求，我</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部门</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2023年度预算绩效管理整体</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支出</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绩效自评表</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1个，全年预算总额104,113.01</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万元，</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实际执行总额95,176.58</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万元</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预算绩效评价项目</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43</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个，</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全年预算数100573.82</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万元，</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全年执行数89521.26</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万元。</w:t>
      </w:r>
      <w:bookmarkStart w:id="32" w:name="_GoBack"/>
      <w:bookmarkEnd w:id="32"/>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预算绩效管理取得的成效：一是抓好制度贯彻落实，解决推进过程中存在的困难和问题，确保资金使用依法依规、安全有效；二是全面提升了预算资金绩效管理能力和水平，充分发挥财政资金使用效益，为民政事业高质量发展提供有力保障。发现的问题及原因：</w:t>
      </w:r>
      <w:r>
        <w:rPr>
          <w:rFonts w:hint="eastAsia" w:eastAsia="方正仿宋_GBK" w:cs="Times New Roman"/>
          <w:color w:val="000000" w:themeColor="text1"/>
          <w:spacing w:val="0"/>
          <w:sz w:val="32"/>
          <w:szCs w:val="32"/>
          <w:highlight w:val="none"/>
          <w:lang w:val="zh-CN" w:eastAsia="zh-CN"/>
          <w14:textFill>
            <w14:solidFill>
              <w14:schemeClr w14:val="tx1"/>
            </w14:solidFill>
          </w14:textFill>
        </w:rPr>
        <w:t>各</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单位全面实施预算绩效管理水平参差不齐</w:t>
      </w:r>
      <w:r>
        <w:rPr>
          <w:rFonts w:hint="eastAsia" w:eastAsia="方正仿宋_GBK" w:cs="Times New Roman"/>
          <w:color w:val="000000" w:themeColor="text1"/>
          <w:spacing w:val="0"/>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单位</w:t>
      </w:r>
      <w:r>
        <w:rPr>
          <w:rFonts w:hint="eastAsia" w:eastAsia="方正仿宋_GBK" w:cs="Times New Roman"/>
          <w:color w:val="000000" w:themeColor="text1"/>
          <w:spacing w:val="0"/>
          <w:sz w:val="32"/>
          <w:szCs w:val="32"/>
          <w:highlight w:val="none"/>
          <w:lang w:val="zh-CN" w:eastAsia="zh-CN"/>
          <w14:textFill>
            <w14:solidFill>
              <w14:schemeClr w14:val="tx1"/>
            </w14:solidFill>
          </w14:textFill>
        </w:rPr>
        <w:t>具体工作</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人员对全面实施预算绩效管理的认识、政策理解把握、推进工作力度仍然存在不足、不到位的现象，牢固树立“花钱必问效、无效必问责”的责任意识有待加强。下一步改进措施：树牢责任意识，不断提升预算绩效管理水平。强化责任担当，坚决把思想认识和行动步调统一到自治区党委、人民政府决策部署上来，树牢“花钱必问效、无效必问责”理念，找准谋实绩效管理工作着力点，完善绩效监管长效机制，强化预算绩效“全方位、全过程、全覆盖”闭环管理体系建设，促进资金使用与绩效管理深度融合，确保预算资金及时发挥效益。具体项目自评情况附绩效自评表</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及自评报告</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二</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、其他需说明的事项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2023年度</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预算绩效评价项目</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中有28个转移支付各地项目不公开绩效自评表，全年预算数95452</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万元，</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全年执行数84613.44</w:t>
      </w:r>
      <w:r>
        <w:rPr>
          <w:rFonts w:hint="eastAsia" w:ascii="Times New Roman" w:hAnsi="Times New Roman" w:eastAsia="方正仿宋_GBK" w:cs="Times New Roman"/>
          <w:color w:val="000000" w:themeColor="text1"/>
          <w:spacing w:val="0"/>
          <w:sz w:val="32"/>
          <w:szCs w:val="32"/>
          <w:highlight w:val="none"/>
          <w:lang w:val="zh-CN" w:eastAsia="zh-CN"/>
          <w14:textFill>
            <w14:solidFill>
              <w14:schemeClr w14:val="tx1"/>
            </w14:solidFill>
          </w14:textFill>
        </w:rPr>
        <w:t>万元</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bookmarkStart w:id="14" w:name="_Toc24143"/>
      <w:bookmarkStart w:id="15" w:name="_Toc3250"/>
      <w:r>
        <w:rPr>
          <w:rFonts w:hint="eastAsia" w:ascii="黑体" w:hAnsi="黑体" w:eastAsia="黑体"/>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部分 专业名词解释</w:t>
      </w:r>
      <w:bookmarkEnd w:id="14"/>
      <w:bookmarkEnd w:id="15"/>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一、</w:t>
      </w:r>
      <w:r>
        <w:rPr>
          <w:rFonts w:hint="eastAsia" w:ascii="仿宋_GB2312" w:eastAsia="仿宋_GB2312"/>
          <w:b/>
          <w:bCs/>
          <w:color w:val="000000" w:themeColor="text1"/>
          <w:sz w:val="32"/>
          <w:szCs w:val="32"/>
          <w:highlight w:val="none"/>
          <w14:textFill>
            <w14:solidFill>
              <w14:schemeClr w14:val="tx1"/>
            </w14:solidFill>
          </w14:textFill>
        </w:rPr>
        <w:t>财政拨款收入：</w:t>
      </w:r>
      <w:r>
        <w:rPr>
          <w:rFonts w:hint="eastAsia" w:ascii="仿宋_GB2312" w:eastAsia="仿宋_GB2312"/>
          <w:color w:val="000000" w:themeColor="text1"/>
          <w:sz w:val="32"/>
          <w:szCs w:val="32"/>
          <w:highlight w:val="none"/>
          <w14:textFill>
            <w14:solidFill>
              <w14:schemeClr w14:val="tx1"/>
            </w14:solidFill>
          </w14:textFill>
        </w:rPr>
        <w:t>指同级财政当年拨付的资金。</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二、</w:t>
      </w:r>
      <w:r>
        <w:rPr>
          <w:rFonts w:hint="eastAsia" w:ascii="仿宋_GB2312" w:eastAsia="仿宋_GB2312"/>
          <w:b/>
          <w:bCs/>
          <w:color w:val="000000" w:themeColor="text1"/>
          <w:sz w:val="32"/>
          <w:szCs w:val="32"/>
          <w:highlight w:val="none"/>
          <w14:textFill>
            <w14:solidFill>
              <w14:schemeClr w14:val="tx1"/>
            </w14:solidFill>
          </w14:textFill>
        </w:rPr>
        <w:t>上级补助收入：</w:t>
      </w:r>
      <w:r>
        <w:rPr>
          <w:rFonts w:hint="eastAsia" w:ascii="仿宋_GB2312" w:eastAsia="仿宋_GB2312"/>
          <w:color w:val="000000" w:themeColor="text1"/>
          <w:sz w:val="32"/>
          <w:szCs w:val="32"/>
          <w:highlight w:val="none"/>
          <w14:textFill>
            <w14:solidFill>
              <w14:schemeClr w14:val="tx1"/>
            </w14:solidFill>
          </w14:textFill>
        </w:rPr>
        <w:t>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三、</w:t>
      </w:r>
      <w:r>
        <w:rPr>
          <w:rFonts w:hint="eastAsia" w:ascii="仿宋_GB2312" w:eastAsia="仿宋_GB2312"/>
          <w:b/>
          <w:bCs/>
          <w:color w:val="000000" w:themeColor="text1"/>
          <w:sz w:val="32"/>
          <w:szCs w:val="32"/>
          <w:highlight w:val="none"/>
          <w14:textFill>
            <w14:solidFill>
              <w14:schemeClr w14:val="tx1"/>
            </w14:solidFill>
          </w14:textFill>
        </w:rPr>
        <w:t>事业收入：</w:t>
      </w:r>
      <w:r>
        <w:rPr>
          <w:rFonts w:hint="eastAsia" w:ascii="仿宋_GB2312" w:eastAsia="仿宋_GB2312"/>
          <w:color w:val="000000" w:themeColor="text1"/>
          <w:sz w:val="32"/>
          <w:szCs w:val="32"/>
          <w:highlight w:val="none"/>
          <w14:textFill>
            <w14:solidFill>
              <w14:schemeClr w14:val="tx1"/>
            </w14:solidFill>
          </w14:textFill>
        </w:rPr>
        <w:t>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四、</w:t>
      </w:r>
      <w:r>
        <w:rPr>
          <w:rFonts w:hint="eastAsia" w:ascii="仿宋_GB2312" w:eastAsia="仿宋_GB2312"/>
          <w:b/>
          <w:bCs/>
          <w:color w:val="000000" w:themeColor="text1"/>
          <w:sz w:val="32"/>
          <w:szCs w:val="32"/>
          <w:highlight w:val="none"/>
          <w14:textFill>
            <w14:solidFill>
              <w14:schemeClr w14:val="tx1"/>
            </w14:solidFill>
          </w14:textFill>
        </w:rPr>
        <w:t>经营收入：</w:t>
      </w:r>
      <w:r>
        <w:rPr>
          <w:rFonts w:hint="eastAsia" w:ascii="仿宋_GB2312" w:eastAsia="仿宋_GB2312"/>
          <w:color w:val="000000" w:themeColor="text1"/>
          <w:sz w:val="32"/>
          <w:szCs w:val="32"/>
          <w:highlight w:val="none"/>
          <w14:textFill>
            <w14:solidFill>
              <w14:schemeClr w14:val="tx1"/>
            </w14:solidFill>
          </w14:textFill>
        </w:rPr>
        <w:t>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五、</w:t>
      </w:r>
      <w:r>
        <w:rPr>
          <w:rFonts w:hint="eastAsia" w:ascii="仿宋_GB2312" w:eastAsia="仿宋_GB2312"/>
          <w:b/>
          <w:bCs/>
          <w:color w:val="000000" w:themeColor="text1"/>
          <w:sz w:val="32"/>
          <w:szCs w:val="32"/>
          <w:highlight w:val="none"/>
          <w14:textFill>
            <w14:solidFill>
              <w14:schemeClr w14:val="tx1"/>
            </w14:solidFill>
          </w14:textFill>
        </w:rPr>
        <w:t>附属单位上缴收入：</w:t>
      </w:r>
      <w:r>
        <w:rPr>
          <w:rFonts w:hint="eastAsia" w:ascii="仿宋_GB2312" w:eastAsia="仿宋_GB2312"/>
          <w:color w:val="000000" w:themeColor="text1"/>
          <w:sz w:val="32"/>
          <w:szCs w:val="32"/>
          <w:highlight w:val="none"/>
          <w14:textFill>
            <w14:solidFill>
              <w14:schemeClr w14:val="tx1"/>
            </w14:solidFill>
          </w14:textFill>
        </w:rPr>
        <w:t>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六、</w:t>
      </w:r>
      <w:r>
        <w:rPr>
          <w:rFonts w:hint="eastAsia" w:ascii="仿宋_GB2312" w:eastAsia="仿宋_GB2312"/>
          <w:b/>
          <w:bCs/>
          <w:color w:val="000000" w:themeColor="text1"/>
          <w:sz w:val="32"/>
          <w:szCs w:val="32"/>
          <w:highlight w:val="none"/>
          <w14:textFill>
            <w14:solidFill>
              <w14:schemeClr w14:val="tx1"/>
            </w14:solidFill>
          </w14:textFill>
        </w:rPr>
        <w:t>其他收入：</w:t>
      </w:r>
      <w:r>
        <w:rPr>
          <w:rFonts w:hint="eastAsia" w:ascii="仿宋_GB2312" w:eastAsia="仿宋_GB2312"/>
          <w:color w:val="000000" w:themeColor="text1"/>
          <w:sz w:val="32"/>
          <w:szCs w:val="32"/>
          <w:highlight w:val="none"/>
          <w14:textFill>
            <w14:solidFill>
              <w14:schemeClr w14:val="tx1"/>
            </w14:solidFill>
          </w14:textFill>
        </w:rPr>
        <w:t>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七、</w:t>
      </w:r>
      <w:r>
        <w:rPr>
          <w:rFonts w:hint="eastAsia" w:ascii="仿宋_GB2312" w:eastAsia="仿宋_GB2312"/>
          <w:b/>
          <w:bCs/>
          <w:color w:val="000000" w:themeColor="text1"/>
          <w:sz w:val="32"/>
          <w:szCs w:val="32"/>
          <w:highlight w:val="none"/>
          <w:lang w:eastAsia="zh-CN"/>
          <w14:textFill>
            <w14:solidFill>
              <w14:schemeClr w14:val="tx1"/>
            </w14:solidFill>
          </w14:textFill>
        </w:rPr>
        <w:t>年初</w:t>
      </w:r>
      <w:r>
        <w:rPr>
          <w:rFonts w:hint="eastAsia" w:ascii="仿宋_GB2312" w:eastAsia="仿宋_GB2312"/>
          <w:b/>
          <w:bCs/>
          <w:color w:val="000000" w:themeColor="text1"/>
          <w:sz w:val="32"/>
          <w:szCs w:val="32"/>
          <w:highlight w:val="none"/>
          <w14:textFill>
            <w14:solidFill>
              <w14:schemeClr w14:val="tx1"/>
            </w14:solidFill>
          </w14:textFill>
        </w:rPr>
        <w:t>结转和结余：</w:t>
      </w:r>
      <w:r>
        <w:rPr>
          <w:rFonts w:hint="eastAsia" w:ascii="仿宋_GB2312" w:eastAsia="仿宋_GB2312"/>
          <w:color w:val="000000" w:themeColor="text1"/>
          <w:sz w:val="32"/>
          <w:szCs w:val="32"/>
          <w:highlight w:val="none"/>
          <w14:textFill>
            <w14:solidFill>
              <w14:schemeClr w14:val="tx1"/>
            </w14:solidFill>
          </w14:textFill>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八、</w:t>
      </w:r>
      <w:r>
        <w:rPr>
          <w:rFonts w:hint="eastAsia" w:ascii="仿宋_GB2312" w:eastAsia="仿宋_GB2312"/>
          <w:b/>
          <w:bCs/>
          <w:color w:val="000000" w:themeColor="text1"/>
          <w:sz w:val="32"/>
          <w:szCs w:val="32"/>
          <w:highlight w:val="none"/>
          <w14:textFill>
            <w14:solidFill>
              <w14:schemeClr w14:val="tx1"/>
            </w14:solidFill>
          </w14:textFill>
        </w:rPr>
        <w:t>年末结转和结余：</w:t>
      </w:r>
      <w:r>
        <w:rPr>
          <w:rFonts w:hint="eastAsia" w:ascii="仿宋_GB2312" w:eastAsia="仿宋_GB2312"/>
          <w:color w:val="000000" w:themeColor="text1"/>
          <w:sz w:val="32"/>
          <w:szCs w:val="32"/>
          <w:highlight w:val="none"/>
          <w14:textFill>
            <w14:solidFill>
              <w14:schemeClr w14:val="tx1"/>
            </w14:solidFill>
          </w14:textFill>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九、</w:t>
      </w:r>
      <w:r>
        <w:rPr>
          <w:rFonts w:hint="eastAsia" w:ascii="仿宋_GB2312" w:eastAsia="仿宋_GB2312"/>
          <w:b/>
          <w:bCs/>
          <w:color w:val="000000" w:themeColor="text1"/>
          <w:sz w:val="32"/>
          <w:szCs w:val="32"/>
          <w:highlight w:val="none"/>
          <w14:textFill>
            <w14:solidFill>
              <w14:schemeClr w14:val="tx1"/>
            </w14:solidFill>
          </w14:textFill>
        </w:rPr>
        <w:t>基本支出：</w:t>
      </w:r>
      <w:r>
        <w:rPr>
          <w:rFonts w:hint="eastAsia" w:ascii="仿宋_GB2312" w:eastAsia="仿宋_GB2312"/>
          <w:color w:val="000000" w:themeColor="text1"/>
          <w:sz w:val="32"/>
          <w:szCs w:val="32"/>
          <w:highlight w:val="none"/>
          <w14:textFill>
            <w14:solidFill>
              <w14:schemeClr w14:val="tx1"/>
            </w14:solidFill>
          </w14:textFill>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w:t>
      </w:r>
      <w:r>
        <w:rPr>
          <w:rFonts w:hint="eastAsia" w:ascii="仿宋_GB2312" w:eastAsia="仿宋_GB2312"/>
          <w:b/>
          <w:bCs/>
          <w:color w:val="000000" w:themeColor="text1"/>
          <w:sz w:val="32"/>
          <w:szCs w:val="32"/>
          <w:highlight w:val="none"/>
          <w14:textFill>
            <w14:solidFill>
              <w14:schemeClr w14:val="tx1"/>
            </w14:solidFill>
          </w14:textFill>
        </w:rPr>
        <w:t>项目支出：</w:t>
      </w:r>
      <w:r>
        <w:rPr>
          <w:rFonts w:hint="eastAsia" w:ascii="仿宋_GB2312" w:eastAsia="仿宋_GB2312"/>
          <w:color w:val="000000" w:themeColor="text1"/>
          <w:sz w:val="32"/>
          <w:szCs w:val="32"/>
          <w:highlight w:val="none"/>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十一、</w:t>
      </w:r>
      <w:r>
        <w:rPr>
          <w:rFonts w:hint="eastAsia" w:ascii="仿宋_GB2312" w:eastAsia="仿宋_GB2312"/>
          <w:b/>
          <w:bCs/>
          <w:color w:val="000000" w:themeColor="text1"/>
          <w:sz w:val="32"/>
          <w:szCs w:val="32"/>
          <w:highlight w:val="none"/>
          <w14:textFill>
            <w14:solidFill>
              <w14:schemeClr w14:val="tx1"/>
            </w14:solidFill>
          </w14:textFill>
        </w:rPr>
        <w:t>经营支出：</w:t>
      </w:r>
      <w:r>
        <w:rPr>
          <w:rFonts w:hint="eastAsia" w:ascii="仿宋_GB2312" w:eastAsia="仿宋_GB2312"/>
          <w:color w:val="000000" w:themeColor="text1"/>
          <w:sz w:val="32"/>
          <w:szCs w:val="32"/>
          <w:highlight w:val="none"/>
          <w14:textFill>
            <w14:solidFill>
              <w14:schemeClr w14:val="tx1"/>
            </w14:solidFill>
          </w14:textFill>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十二、</w:t>
      </w:r>
      <w:r>
        <w:rPr>
          <w:rFonts w:hint="eastAsia" w:ascii="仿宋_GB2312" w:eastAsia="仿宋_GB2312"/>
          <w:b/>
          <w:bCs/>
          <w:color w:val="000000" w:themeColor="text1"/>
          <w:sz w:val="32"/>
          <w:szCs w:val="32"/>
          <w:highlight w:val="none"/>
          <w14:textFill>
            <w14:solidFill>
              <w14:schemeClr w14:val="tx1"/>
            </w14:solidFill>
          </w14:textFill>
        </w:rPr>
        <w:t>对附属单位补助支出：</w:t>
      </w:r>
      <w:r>
        <w:rPr>
          <w:rFonts w:hint="eastAsia" w:ascii="仿宋_GB2312" w:eastAsia="仿宋_GB2312"/>
          <w:color w:val="000000" w:themeColor="text1"/>
          <w:sz w:val="32"/>
          <w:szCs w:val="32"/>
          <w:highlight w:val="none"/>
          <w14:textFill>
            <w14:solidFill>
              <w14:schemeClr w14:val="tx1"/>
            </w14:solidFill>
          </w14:textFill>
        </w:rPr>
        <w:t>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十三、</w:t>
      </w:r>
      <w:r>
        <w:rPr>
          <w:rFonts w:hint="eastAsia" w:ascii="仿宋_GB2312" w:eastAsia="仿宋_GB2312"/>
          <w:b/>
          <w:bCs/>
          <w:color w:val="000000" w:themeColor="text1"/>
          <w:sz w:val="32"/>
          <w:szCs w:val="32"/>
          <w:highlight w:val="none"/>
          <w14:textFill>
            <w14:solidFill>
              <w14:schemeClr w14:val="tx1"/>
            </w14:solidFill>
          </w14:textFill>
        </w:rPr>
        <w:t>“三公”经费：</w:t>
      </w:r>
      <w:r>
        <w:rPr>
          <w:rFonts w:hint="eastAsia" w:ascii="仿宋_GB2312" w:eastAsia="仿宋_GB2312"/>
          <w:color w:val="000000" w:themeColor="text1"/>
          <w:sz w:val="32"/>
          <w:szCs w:val="32"/>
          <w:highlight w:val="none"/>
          <w14:textFill>
            <w14:solidFill>
              <w14:schemeClr w14:val="tx1"/>
            </w14:solidFill>
          </w14:textFill>
        </w:rPr>
        <w:t>指用财政拨款安排的因公出国（境）费、公务用车购置及运行费和公务接待费。其中，因公出国（境）费反映单位公务出国（境）的</w:t>
      </w:r>
      <w:r>
        <w:rPr>
          <w:rFonts w:hint="eastAsia" w:ascii="仿宋_GB2312" w:eastAsia="仿宋_GB2312"/>
          <w:color w:val="000000" w:themeColor="text1"/>
          <w:sz w:val="32"/>
          <w:szCs w:val="32"/>
          <w:highlight w:val="none"/>
          <w:lang w:eastAsia="zh-CN"/>
          <w14:textFill>
            <w14:solidFill>
              <w14:schemeClr w14:val="tx1"/>
            </w14:solidFill>
          </w14:textFill>
        </w:rPr>
        <w:t>国际旅费、国外城市间交通费、</w:t>
      </w:r>
      <w:r>
        <w:rPr>
          <w:rFonts w:hint="eastAsia" w:ascii="仿宋_GB2312" w:eastAsia="仿宋_GB2312"/>
          <w:color w:val="000000" w:themeColor="text1"/>
          <w:sz w:val="32"/>
          <w:szCs w:val="32"/>
          <w:highlight w:val="none"/>
          <w14:textFill>
            <w14:solidFill>
              <w14:schemeClr w14:val="tx1"/>
            </w14:solidFill>
          </w14:textFill>
        </w:rPr>
        <w:t>住宿费、伙食费、培训费、</w:t>
      </w:r>
      <w:r>
        <w:rPr>
          <w:rFonts w:hint="eastAsia" w:ascii="仿宋_GB2312" w:eastAsia="仿宋_GB2312"/>
          <w:color w:val="000000" w:themeColor="text1"/>
          <w:sz w:val="32"/>
          <w:szCs w:val="32"/>
          <w:highlight w:val="none"/>
          <w:lang w:eastAsia="zh-CN"/>
          <w14:textFill>
            <w14:solidFill>
              <w14:schemeClr w14:val="tx1"/>
            </w14:solidFill>
          </w14:textFill>
        </w:rPr>
        <w:t>公</w:t>
      </w:r>
      <w:r>
        <w:rPr>
          <w:rFonts w:hint="eastAsia" w:ascii="仿宋_GB2312" w:eastAsia="仿宋_GB2312"/>
          <w:color w:val="000000" w:themeColor="text1"/>
          <w:sz w:val="32"/>
          <w:szCs w:val="32"/>
          <w:highlight w:val="none"/>
          <w14:textFill>
            <w14:solidFill>
              <w14:schemeClr w14:val="tx1"/>
            </w14:solidFill>
          </w14:textFill>
        </w:rPr>
        <w:t>杂费等支出；公务用车购置费</w:t>
      </w:r>
      <w:r>
        <w:rPr>
          <w:rFonts w:hint="eastAsia" w:ascii="仿宋_GB2312" w:eastAsia="仿宋_GB2312"/>
          <w:color w:val="000000" w:themeColor="text1"/>
          <w:sz w:val="32"/>
          <w:szCs w:val="32"/>
          <w:highlight w:val="none"/>
          <w:lang w:eastAsia="zh-CN"/>
          <w14:textFill>
            <w14:solidFill>
              <w14:schemeClr w14:val="tx1"/>
            </w14:solidFill>
          </w14:textFill>
        </w:rPr>
        <w:t>反映公务用车购置支出（含车辆购置税、牌照费）；</w:t>
      </w:r>
      <w:r>
        <w:rPr>
          <w:rFonts w:hint="eastAsia" w:ascii="仿宋_GB2312" w:eastAsia="仿宋_GB2312"/>
          <w:color w:val="000000" w:themeColor="text1"/>
          <w:sz w:val="32"/>
          <w:szCs w:val="32"/>
          <w:highlight w:val="none"/>
          <w14:textFill>
            <w14:solidFill>
              <w14:schemeClr w14:val="tx1"/>
            </w14:solidFill>
          </w14:textFill>
        </w:rPr>
        <w:t>公务用车运行</w:t>
      </w:r>
      <w:r>
        <w:rPr>
          <w:rFonts w:hint="eastAsia" w:ascii="仿宋_GB2312" w:eastAsia="仿宋_GB2312"/>
          <w:color w:val="000000" w:themeColor="text1"/>
          <w:sz w:val="32"/>
          <w:szCs w:val="32"/>
          <w:highlight w:val="none"/>
          <w:lang w:eastAsia="zh-CN"/>
          <w14:textFill>
            <w14:solidFill>
              <w14:schemeClr w14:val="tx1"/>
            </w14:solidFill>
          </w14:textFill>
        </w:rPr>
        <w:t>维护</w:t>
      </w:r>
      <w:r>
        <w:rPr>
          <w:rFonts w:hint="eastAsia" w:ascii="仿宋_GB2312" w:eastAsia="仿宋_GB2312"/>
          <w:color w:val="000000" w:themeColor="text1"/>
          <w:sz w:val="32"/>
          <w:szCs w:val="32"/>
          <w:highlight w:val="none"/>
          <w14:textFill>
            <w14:solidFill>
              <w14:schemeClr w14:val="tx1"/>
            </w14:solidFill>
          </w14:textFill>
        </w:rPr>
        <w:t>费反映</w:t>
      </w:r>
      <w:r>
        <w:rPr>
          <w:rFonts w:hint="eastAsia" w:ascii="仿宋_GB2312" w:eastAsia="仿宋_GB2312"/>
          <w:color w:val="000000" w:themeColor="text1"/>
          <w:sz w:val="32"/>
          <w:szCs w:val="32"/>
          <w:highlight w:val="none"/>
          <w:lang w:eastAsia="zh-CN"/>
          <w14:textFill>
            <w14:solidFill>
              <w14:schemeClr w14:val="tx1"/>
            </w14:solidFill>
          </w14:textFill>
        </w:rPr>
        <w:t>单位按规定保留的公务用车燃料费、维修费、</w:t>
      </w:r>
      <w:r>
        <w:rPr>
          <w:rFonts w:hint="eastAsia" w:ascii="仿宋_GB2312" w:eastAsia="仿宋_GB2312"/>
          <w:color w:val="000000" w:themeColor="text1"/>
          <w:sz w:val="32"/>
          <w:szCs w:val="32"/>
          <w:highlight w:val="none"/>
          <w14:textFill>
            <w14:solidFill>
              <w14:schemeClr w14:val="tx1"/>
            </w14:solidFill>
          </w14:textFill>
        </w:rPr>
        <w:t>过路过桥费、保险费、安全奖励费用等支出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公务接待费反映单位按规定开支的各类公务接待（含外宾接待）</w:t>
      </w:r>
      <w:r>
        <w:rPr>
          <w:rFonts w:hint="eastAsia" w:ascii="仿宋_GB2312" w:eastAsia="仿宋_GB2312"/>
          <w:color w:val="000000" w:themeColor="text1"/>
          <w:sz w:val="32"/>
          <w:szCs w:val="32"/>
          <w:highlight w:val="none"/>
          <w:lang w:eastAsia="zh-CN"/>
          <w14:textFill>
            <w14:solidFill>
              <w14:schemeClr w14:val="tx1"/>
            </w14:solidFill>
          </w14:textFill>
        </w:rPr>
        <w:t>费用</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560" w:lineRule="exact"/>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十四、</w:t>
      </w:r>
      <w:r>
        <w:rPr>
          <w:rFonts w:hint="eastAsia" w:ascii="仿宋_GB2312" w:eastAsia="仿宋_GB2312"/>
          <w:b/>
          <w:bCs/>
          <w:color w:val="000000" w:themeColor="text1"/>
          <w:sz w:val="32"/>
          <w:szCs w:val="32"/>
          <w:highlight w:val="none"/>
          <w14:textFill>
            <w14:solidFill>
              <w14:schemeClr w14:val="tx1"/>
            </w14:solidFill>
          </w14:textFill>
        </w:rPr>
        <w:t>机关运行经费：</w:t>
      </w:r>
      <w:r>
        <w:rPr>
          <w:rFonts w:hint="eastAsia" w:ascii="仿宋_GB2312" w:eastAsia="仿宋_GB2312"/>
          <w:color w:val="000000" w:themeColor="text1"/>
          <w:sz w:val="32"/>
          <w:szCs w:val="32"/>
          <w:highlight w:val="none"/>
          <w14:textFill>
            <w14:solidFill>
              <w14:schemeClr w14:val="tx1"/>
            </w14:solidFill>
          </w14:textFill>
        </w:rPr>
        <w:t>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第四部分 部门决算报表（见附表）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16" w:name="_Toc6062"/>
      <w:bookmarkStart w:id="17" w:name="_Toc2183"/>
      <w:r>
        <w:rPr>
          <w:rFonts w:hint="eastAsia" w:ascii="黑体" w:hAnsi="黑体" w:eastAsia="仿宋_GB2312" w:cs="宋体"/>
          <w:bCs/>
          <w:color w:val="000000" w:themeColor="text1"/>
          <w:kern w:val="0"/>
          <w:sz w:val="32"/>
          <w:szCs w:val="32"/>
          <w:highlight w:val="none"/>
          <w14:textFill>
            <w14:solidFill>
              <w14:schemeClr w14:val="tx1"/>
            </w14:solidFill>
          </w14:textFill>
        </w:rPr>
        <w:t>一、《收入支出决算总表》</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18" w:name="_Toc24532"/>
      <w:bookmarkStart w:id="19" w:name="_Toc30364"/>
      <w:r>
        <w:rPr>
          <w:rFonts w:hint="eastAsia" w:ascii="黑体" w:hAnsi="黑体" w:eastAsia="仿宋_GB2312" w:cs="宋体"/>
          <w:bCs/>
          <w:color w:val="000000" w:themeColor="text1"/>
          <w:kern w:val="0"/>
          <w:sz w:val="32"/>
          <w:szCs w:val="32"/>
          <w:highlight w:val="none"/>
          <w14:textFill>
            <w14:solidFill>
              <w14:schemeClr w14:val="tx1"/>
            </w14:solidFill>
          </w14:textFill>
        </w:rPr>
        <w:t>二、《收入决算表》</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20" w:name="_Toc32434"/>
      <w:bookmarkStart w:id="21" w:name="_Toc21304"/>
      <w:r>
        <w:rPr>
          <w:rFonts w:hint="eastAsia" w:ascii="黑体" w:hAnsi="黑体" w:eastAsia="仿宋_GB2312" w:cs="宋体"/>
          <w:bCs/>
          <w:color w:val="000000" w:themeColor="text1"/>
          <w:kern w:val="0"/>
          <w:sz w:val="32"/>
          <w:szCs w:val="32"/>
          <w:highlight w:val="none"/>
          <w14:textFill>
            <w14:solidFill>
              <w14:schemeClr w14:val="tx1"/>
            </w14:solidFill>
          </w14:textFill>
        </w:rPr>
        <w:t>三、《支出决算表》</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22" w:name="_Toc28786"/>
      <w:bookmarkStart w:id="23" w:name="_Toc14238"/>
      <w:r>
        <w:rPr>
          <w:rFonts w:hint="eastAsia" w:ascii="黑体" w:hAnsi="黑体" w:eastAsia="仿宋_GB2312" w:cs="宋体"/>
          <w:bCs/>
          <w:color w:val="000000" w:themeColor="text1"/>
          <w:kern w:val="0"/>
          <w:sz w:val="32"/>
          <w:szCs w:val="32"/>
          <w:highlight w:val="none"/>
          <w14:textFill>
            <w14:solidFill>
              <w14:schemeClr w14:val="tx1"/>
            </w14:solidFill>
          </w14:textFill>
        </w:rPr>
        <w:t>四、《财政拨款收入支出决算总表》</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24" w:name="_Toc10347"/>
      <w:bookmarkStart w:id="25" w:name="_Toc14869"/>
      <w:r>
        <w:rPr>
          <w:rFonts w:hint="eastAsia" w:ascii="黑体" w:hAnsi="黑体" w:eastAsia="仿宋_GB2312" w:cs="宋体"/>
          <w:bCs/>
          <w:color w:val="000000" w:themeColor="text1"/>
          <w:kern w:val="0"/>
          <w:sz w:val="32"/>
          <w:szCs w:val="32"/>
          <w:highlight w:val="none"/>
          <w14:textFill>
            <w14:solidFill>
              <w14:schemeClr w14:val="tx1"/>
            </w14:solidFill>
          </w14:textFill>
        </w:rPr>
        <w:t>五、《一般公共预算财政拨款支出决算表》</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26" w:name="_Toc5626"/>
      <w:bookmarkStart w:id="27" w:name="_Toc8884"/>
      <w:r>
        <w:rPr>
          <w:rFonts w:hint="eastAsia" w:ascii="黑体" w:hAnsi="黑体" w:eastAsia="仿宋_GB2312" w:cs="宋体"/>
          <w:bCs/>
          <w:color w:val="000000" w:themeColor="text1"/>
          <w:kern w:val="0"/>
          <w:sz w:val="32"/>
          <w:szCs w:val="32"/>
          <w:highlight w:val="none"/>
          <w14:textFill>
            <w14:solidFill>
              <w14:schemeClr w14:val="tx1"/>
            </w14:solidFill>
          </w14:textFill>
        </w:rPr>
        <w:t>六、《一般公共预算财政拨款基本支出决算表》</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r>
        <w:rPr>
          <w:rFonts w:hint="eastAsia" w:ascii="黑体" w:hAnsi="黑体" w:eastAsia="仿宋_GB2312" w:cs="宋体"/>
          <w:bCs/>
          <w:color w:val="000000" w:themeColor="text1"/>
          <w:kern w:val="0"/>
          <w:sz w:val="32"/>
          <w:szCs w:val="32"/>
          <w:highlight w:val="none"/>
          <w14:textFill>
            <w14:solidFill>
              <w14:schemeClr w14:val="tx1"/>
            </w14:solidFill>
          </w14:textFill>
        </w:rPr>
        <w:t>七、</w:t>
      </w:r>
      <w:bookmarkStart w:id="28" w:name="_Toc32663"/>
      <w:bookmarkStart w:id="29" w:name="_Toc29106"/>
      <w:r>
        <w:rPr>
          <w:rFonts w:hint="eastAsia" w:ascii="黑体" w:hAnsi="黑体" w:eastAsia="仿宋_GB2312" w:cs="宋体"/>
          <w:bCs/>
          <w:color w:val="000000" w:themeColor="text1"/>
          <w:kern w:val="0"/>
          <w:sz w:val="32"/>
          <w:szCs w:val="32"/>
          <w:highlight w:val="none"/>
          <w14:textFill>
            <w14:solidFill>
              <w14:schemeClr w14:val="tx1"/>
            </w14:solidFill>
          </w14:textFill>
        </w:rPr>
        <w:t>《财政拨款“三公”经费支出决算表》</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0" w:name="_Toc5453"/>
      <w:bookmarkStart w:id="31" w:name="_Toc7643"/>
      <w:r>
        <w:rPr>
          <w:rFonts w:hint="eastAsia" w:ascii="黑体" w:hAnsi="黑体" w:eastAsia="仿宋_GB2312" w:cs="宋体"/>
          <w:bCs/>
          <w:color w:val="000000" w:themeColor="text1"/>
          <w:kern w:val="0"/>
          <w:sz w:val="32"/>
          <w:szCs w:val="32"/>
          <w:highlight w:val="none"/>
          <w14:textFill>
            <w14:solidFill>
              <w14:schemeClr w14:val="tx1"/>
            </w14:solidFill>
          </w14:textFill>
        </w:rPr>
        <w:t>八、《政府性基金预算财政拨款收入支出决算表》</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r>
        <w:rPr>
          <w:rFonts w:hint="eastAsia" w:ascii="黑体" w:hAnsi="黑体" w:eastAsia="仿宋_GB2312" w:cs="宋体"/>
          <w:bCs/>
          <w:color w:val="000000" w:themeColor="text1"/>
          <w:kern w:val="0"/>
          <w:sz w:val="32"/>
          <w:szCs w:val="32"/>
          <w:highlight w:val="none"/>
          <w:lang w:val="en-US" w:eastAsia="zh-CN"/>
          <w14:textFill>
            <w14:solidFill>
              <w14:schemeClr w14:val="tx1"/>
            </w14:solidFill>
          </w14:textFill>
        </w:rPr>
        <w:t>九</w:t>
      </w:r>
      <w:r>
        <w:rPr>
          <w:rFonts w:hint="eastAsia" w:ascii="黑体" w:hAnsi="黑体" w:eastAsia="仿宋_GB2312" w:cs="宋体"/>
          <w:bCs/>
          <w:color w:val="000000" w:themeColor="text1"/>
          <w:kern w:val="0"/>
          <w:sz w:val="32"/>
          <w:szCs w:val="32"/>
          <w:highlight w:val="none"/>
          <w14:textFill>
            <w14:solidFill>
              <w14:schemeClr w14:val="tx1"/>
            </w14:solidFill>
          </w14:textFill>
        </w:rPr>
        <w:t>、《</w:t>
      </w:r>
      <w:r>
        <w:rPr>
          <w:rFonts w:hint="eastAsia" w:ascii="黑体" w:hAnsi="黑体" w:eastAsia="仿宋_GB2312" w:cs="宋体"/>
          <w:bCs/>
          <w:color w:val="000000" w:themeColor="text1"/>
          <w:kern w:val="0"/>
          <w:sz w:val="32"/>
          <w:szCs w:val="32"/>
          <w:highlight w:val="none"/>
          <w:lang w:eastAsia="zh-CN"/>
          <w14:textFill>
            <w14:solidFill>
              <w14:schemeClr w14:val="tx1"/>
            </w14:solidFill>
          </w14:textFill>
        </w:rPr>
        <w:t>国有资本经营</w:t>
      </w:r>
      <w:r>
        <w:rPr>
          <w:rFonts w:hint="eastAsia" w:ascii="黑体" w:hAnsi="黑体" w:eastAsia="仿宋_GB2312" w:cs="宋体"/>
          <w:bCs/>
          <w:color w:val="000000" w:themeColor="text1"/>
          <w:kern w:val="0"/>
          <w:sz w:val="32"/>
          <w:szCs w:val="32"/>
          <w:highlight w:val="none"/>
          <w14:textFill>
            <w14:solidFill>
              <w14:schemeClr w14:val="tx1"/>
            </w14:solidFill>
          </w14:textFill>
        </w:rPr>
        <w:t>预算财政拨款收入支出决算表》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sectPr>
      <w:footerReference r:id="rId3" w:type="default"/>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TJlOTYyYzMwNDc1MWQ0MmQ0MjM2MDYyN2M3NmYifQ=="/>
  </w:docVars>
  <w:rsids>
    <w:rsidRoot w:val="7CBF38EC"/>
    <w:rsid w:val="0037C798"/>
    <w:rsid w:val="06CFE309"/>
    <w:rsid w:val="0775F048"/>
    <w:rsid w:val="08F3FAEC"/>
    <w:rsid w:val="124FED56"/>
    <w:rsid w:val="1BBF1596"/>
    <w:rsid w:val="1BFC185B"/>
    <w:rsid w:val="1FB920CC"/>
    <w:rsid w:val="1FBFC95C"/>
    <w:rsid w:val="1FFBBCAE"/>
    <w:rsid w:val="2FEB148B"/>
    <w:rsid w:val="35FF29C6"/>
    <w:rsid w:val="3772334A"/>
    <w:rsid w:val="37AD72A7"/>
    <w:rsid w:val="37B7B45C"/>
    <w:rsid w:val="37BB19C3"/>
    <w:rsid w:val="37F70FBB"/>
    <w:rsid w:val="3ADFF70C"/>
    <w:rsid w:val="3DF7A6AA"/>
    <w:rsid w:val="3EBA0F24"/>
    <w:rsid w:val="3EEB004C"/>
    <w:rsid w:val="3FB61911"/>
    <w:rsid w:val="3FF5C4C5"/>
    <w:rsid w:val="3FF8E2D2"/>
    <w:rsid w:val="3FFB5C77"/>
    <w:rsid w:val="3FFBC242"/>
    <w:rsid w:val="43ED8025"/>
    <w:rsid w:val="4FEFAC4C"/>
    <w:rsid w:val="51FFBD28"/>
    <w:rsid w:val="54DB1D70"/>
    <w:rsid w:val="557F9A6E"/>
    <w:rsid w:val="5B7BE186"/>
    <w:rsid w:val="5BF1B0F2"/>
    <w:rsid w:val="5DBFDAB5"/>
    <w:rsid w:val="5F5FAFA4"/>
    <w:rsid w:val="5F6BCD71"/>
    <w:rsid w:val="5F92C7FC"/>
    <w:rsid w:val="5FE718E2"/>
    <w:rsid w:val="5FFB4869"/>
    <w:rsid w:val="5FFE691A"/>
    <w:rsid w:val="61EF4ED8"/>
    <w:rsid w:val="62654457"/>
    <w:rsid w:val="6557F471"/>
    <w:rsid w:val="66A806D1"/>
    <w:rsid w:val="69AF92AC"/>
    <w:rsid w:val="69B808AB"/>
    <w:rsid w:val="6CD6B6ED"/>
    <w:rsid w:val="6D36B8B2"/>
    <w:rsid w:val="6F56B833"/>
    <w:rsid w:val="6F9F2304"/>
    <w:rsid w:val="6FBFEC73"/>
    <w:rsid w:val="6FD70E83"/>
    <w:rsid w:val="6FDF8F21"/>
    <w:rsid w:val="6FFBDC77"/>
    <w:rsid w:val="72F9BAF2"/>
    <w:rsid w:val="757F97BF"/>
    <w:rsid w:val="75FFF6AB"/>
    <w:rsid w:val="764BF9E3"/>
    <w:rsid w:val="769F7071"/>
    <w:rsid w:val="777F1B2D"/>
    <w:rsid w:val="77A538FC"/>
    <w:rsid w:val="77C96FCC"/>
    <w:rsid w:val="79FEFC58"/>
    <w:rsid w:val="7AF3ECE2"/>
    <w:rsid w:val="7B4C53E4"/>
    <w:rsid w:val="7B7F2851"/>
    <w:rsid w:val="7BDFAF3A"/>
    <w:rsid w:val="7BFC0B34"/>
    <w:rsid w:val="7BFC5E2F"/>
    <w:rsid w:val="7CBF38EC"/>
    <w:rsid w:val="7CEBEDF8"/>
    <w:rsid w:val="7DBF8817"/>
    <w:rsid w:val="7DBFE64C"/>
    <w:rsid w:val="7DC56520"/>
    <w:rsid w:val="7DFF105D"/>
    <w:rsid w:val="7E7E1F03"/>
    <w:rsid w:val="7E7F633D"/>
    <w:rsid w:val="7EBE950D"/>
    <w:rsid w:val="7EF79CC0"/>
    <w:rsid w:val="7F1E3DFF"/>
    <w:rsid w:val="7F2A6534"/>
    <w:rsid w:val="7F6FA303"/>
    <w:rsid w:val="7F7FF356"/>
    <w:rsid w:val="7F9FBB15"/>
    <w:rsid w:val="7FE2A1D0"/>
    <w:rsid w:val="7FE71455"/>
    <w:rsid w:val="7FF715C1"/>
    <w:rsid w:val="7FFE8E0F"/>
    <w:rsid w:val="7FFF8528"/>
    <w:rsid w:val="87FE0DDA"/>
    <w:rsid w:val="8FF45390"/>
    <w:rsid w:val="9AAB9865"/>
    <w:rsid w:val="9DCD0A3E"/>
    <w:rsid w:val="9DE7F482"/>
    <w:rsid w:val="9DEB7A00"/>
    <w:rsid w:val="9EF7FE62"/>
    <w:rsid w:val="9EFB1E57"/>
    <w:rsid w:val="9F67168E"/>
    <w:rsid w:val="9F6F7C4E"/>
    <w:rsid w:val="9F7BBC84"/>
    <w:rsid w:val="9FBF9977"/>
    <w:rsid w:val="9FCF394E"/>
    <w:rsid w:val="ABD737BF"/>
    <w:rsid w:val="ABFD198A"/>
    <w:rsid w:val="ACDDC6F0"/>
    <w:rsid w:val="ADF75A82"/>
    <w:rsid w:val="AE9A439D"/>
    <w:rsid w:val="AEDF0D70"/>
    <w:rsid w:val="AF2B71A6"/>
    <w:rsid w:val="AFDE1767"/>
    <w:rsid w:val="AFFEF8C7"/>
    <w:rsid w:val="B4C38966"/>
    <w:rsid w:val="B4F6B92F"/>
    <w:rsid w:val="B7BD1E83"/>
    <w:rsid w:val="B7CAD15B"/>
    <w:rsid w:val="B8CF1F88"/>
    <w:rsid w:val="B8CFF911"/>
    <w:rsid w:val="B9DBA2BF"/>
    <w:rsid w:val="BD43B5CF"/>
    <w:rsid w:val="BD6ECC85"/>
    <w:rsid w:val="BDFFF0BC"/>
    <w:rsid w:val="BE7E7D70"/>
    <w:rsid w:val="BEDBD2F7"/>
    <w:rsid w:val="BF7F59D5"/>
    <w:rsid w:val="BFB72F13"/>
    <w:rsid w:val="BFC78729"/>
    <w:rsid w:val="BFF7F739"/>
    <w:rsid w:val="CBAF677E"/>
    <w:rsid w:val="CCF604F5"/>
    <w:rsid w:val="CF5B0A5F"/>
    <w:rsid w:val="CFE7F900"/>
    <w:rsid w:val="D3E7881A"/>
    <w:rsid w:val="D6AF44A7"/>
    <w:rsid w:val="D6FCFCE0"/>
    <w:rsid w:val="D77FA417"/>
    <w:rsid w:val="DDEF9937"/>
    <w:rsid w:val="DF1F22B6"/>
    <w:rsid w:val="DF3D2B52"/>
    <w:rsid w:val="DFFF7A42"/>
    <w:rsid w:val="DFFFC865"/>
    <w:rsid w:val="E3DBAB5A"/>
    <w:rsid w:val="E59D45C6"/>
    <w:rsid w:val="E6BE32E4"/>
    <w:rsid w:val="EAFB7E58"/>
    <w:rsid w:val="EBFF1C9F"/>
    <w:rsid w:val="EBFF4394"/>
    <w:rsid w:val="EBFF679A"/>
    <w:rsid w:val="ECFF4FDC"/>
    <w:rsid w:val="EDBD496D"/>
    <w:rsid w:val="EDDA2E7F"/>
    <w:rsid w:val="EE7D0027"/>
    <w:rsid w:val="EFDA66EA"/>
    <w:rsid w:val="EFF3F1FD"/>
    <w:rsid w:val="EFFE1C35"/>
    <w:rsid w:val="EFFF852F"/>
    <w:rsid w:val="F1DFF69B"/>
    <w:rsid w:val="F27D1EEC"/>
    <w:rsid w:val="F37048DA"/>
    <w:rsid w:val="F3EFD1E6"/>
    <w:rsid w:val="F40F68D2"/>
    <w:rsid w:val="F4FE2E60"/>
    <w:rsid w:val="F5E97503"/>
    <w:rsid w:val="F5EA959D"/>
    <w:rsid w:val="F5F5F5D7"/>
    <w:rsid w:val="F77F7A17"/>
    <w:rsid w:val="F7BC027B"/>
    <w:rsid w:val="F7D8B986"/>
    <w:rsid w:val="F7F65D6D"/>
    <w:rsid w:val="F7FE6316"/>
    <w:rsid w:val="F8E91B39"/>
    <w:rsid w:val="F9F487D4"/>
    <w:rsid w:val="FAED7571"/>
    <w:rsid w:val="FAFE68C5"/>
    <w:rsid w:val="FB7B3EF6"/>
    <w:rsid w:val="FBB712BB"/>
    <w:rsid w:val="FBBB1E58"/>
    <w:rsid w:val="FC7F8339"/>
    <w:rsid w:val="FCC177DF"/>
    <w:rsid w:val="FD2790FD"/>
    <w:rsid w:val="FD3D9A99"/>
    <w:rsid w:val="FDDF5493"/>
    <w:rsid w:val="FDFF274E"/>
    <w:rsid w:val="FE736748"/>
    <w:rsid w:val="FEF5050C"/>
    <w:rsid w:val="FEFE6D46"/>
    <w:rsid w:val="FF6F7CE7"/>
    <w:rsid w:val="FFB7A12C"/>
    <w:rsid w:val="FFEB16E7"/>
    <w:rsid w:val="FFF68C72"/>
    <w:rsid w:val="FFF6BDC3"/>
    <w:rsid w:val="FFFD3213"/>
    <w:rsid w:val="FFFDB97F"/>
    <w:rsid w:val="FFFE536F"/>
    <w:rsid w:val="FFFECF7C"/>
    <w:rsid w:val="FFFF81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7777</Words>
  <Characters>8903</Characters>
  <Lines>0</Lines>
  <Paragraphs>0</Paragraphs>
  <TotalTime>3</TotalTime>
  <ScaleCrop>false</ScaleCrop>
  <LinksUpToDate>false</LinksUpToDate>
  <CharactersWithSpaces>8913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2023-08-18T08:10:00Z</dcterms:created>
  <dc:creator>user</dc:creator>
  <cp:lastModifiedBy>user</cp:lastModifiedBy>
  <cp:lastPrinted>2024-08-27T18:55:00Z</cp:lastPrinted>
  <dcterms:modified xsi:type="dcterms:W3CDTF">2024-11-20T19:55:15Z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CD420E5978774F2DA2E74413F4570E94_12</vt:lpwstr>
  </property>
</Properties>
</file>