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新疆维吾尔自治区民政厅（本级）</w:t>
      </w:r>
      <w:r>
        <w:rPr>
          <w:rFonts w:hint="default" w:ascii="Times New Roman" w:hAnsi="Times New Roman" w:eastAsia="方正小标宋_GBK" w:cs="Times New Roman"/>
          <w:color w:val="auto"/>
          <w:sz w:val="44"/>
          <w:szCs w:val="44"/>
          <w:highlight w:val="none"/>
          <w:lang w:eastAsia="zh-CN"/>
        </w:rPr>
        <w:t>2023年度</w:t>
      </w:r>
      <w:r>
        <w:rPr>
          <w:rFonts w:hint="eastAsia" w:eastAsia="方正小标宋_GBK" w:cs="Times New Roman"/>
          <w:color w:val="auto"/>
          <w:sz w:val="44"/>
          <w:szCs w:val="44"/>
          <w:highlight w:val="none"/>
          <w:lang w:val="en-US" w:eastAsia="zh-CN"/>
        </w:rPr>
        <w:t>部门</w:t>
      </w:r>
      <w:r>
        <w:rPr>
          <w:rFonts w:hint="default" w:ascii="Times New Roman" w:hAnsi="Times New Roman" w:eastAsia="方正小标宋_GBK" w:cs="Times New Roman"/>
          <w:color w:val="auto"/>
          <w:sz w:val="44"/>
          <w:szCs w:val="44"/>
          <w:highlight w:val="none"/>
        </w:rPr>
        <w:t>决算公开说明</w:t>
      </w:r>
    </w:p>
    <w:p>
      <w:pPr>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方正小标宋_GBK" w:cs="Times New Roman"/>
          <w:color w:val="auto"/>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bCs w:val="0"/>
          <w:color w:val="auto"/>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TOC \o "1-3" \n  \h \u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fldChar w:fldCharType="begin"/>
      </w:r>
      <w:r>
        <w:rPr>
          <w:rFonts w:hint="default" w:ascii="Times New Roman" w:hAnsi="Times New Roman" w:eastAsia="仿宋_GB2312" w:cs="Times New Roman"/>
          <w:b/>
          <w:bCs/>
          <w:color w:val="auto"/>
          <w:sz w:val="32"/>
          <w:szCs w:val="32"/>
          <w:highlight w:val="none"/>
        </w:rPr>
        <w:instrText xml:space="preserve"> HYPERLINK \l _Toc32314 </w:instrText>
      </w:r>
      <w:r>
        <w:rPr>
          <w:rFonts w:hint="default" w:ascii="Times New Roman" w:hAnsi="Times New Roman" w:eastAsia="仿宋_GB2312" w:cs="Times New Roman"/>
          <w:b/>
          <w:bCs/>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t xml:space="preserve">第一部分 </w:t>
      </w:r>
      <w:r>
        <w:rPr>
          <w:rFonts w:hint="default" w:ascii="Times New Roman" w:hAnsi="Times New Roman" w:eastAsia="仿宋_GB2312" w:cs="Times New Roman"/>
          <w:b/>
          <w:bCs/>
          <w:color w:val="auto"/>
          <w:sz w:val="32"/>
          <w:szCs w:val="32"/>
          <w:highlight w:val="none"/>
          <w:lang w:eastAsia="zh-CN"/>
        </w:rPr>
        <w:t>单位</w:t>
      </w:r>
      <w:r>
        <w:rPr>
          <w:rFonts w:hint="default" w:ascii="Times New Roman" w:hAnsi="Times New Roman" w:eastAsia="仿宋_GB2312" w:cs="Times New Roman"/>
          <w:b/>
          <w:bCs/>
          <w:color w:val="auto"/>
          <w:sz w:val="32"/>
          <w:szCs w:val="32"/>
          <w:highlight w:val="none"/>
        </w:rPr>
        <w:t>概况</w:t>
      </w:r>
      <w:r>
        <w:rPr>
          <w:rFonts w:hint="default" w:ascii="Times New Roman" w:hAnsi="Times New Roman" w:eastAsia="仿宋_GB2312" w:cs="Times New Roman"/>
          <w:b/>
          <w:bCs/>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_Toc30567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一、主要职能</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_Toc2151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二、机构设置</w:t>
      </w:r>
      <w:r>
        <w:rPr>
          <w:rFonts w:hint="default" w:ascii="Times New Roman" w:hAnsi="Times New Roman" w:eastAsia="仿宋_GB2312" w:cs="Times New Roman"/>
          <w:bCs/>
          <w:color w:val="auto"/>
          <w:kern w:val="0"/>
          <w:sz w:val="32"/>
          <w:szCs w:val="32"/>
          <w:highlight w:val="none"/>
          <w:lang w:eastAsia="zh-CN"/>
        </w:rPr>
        <w:t>及人员</w:t>
      </w:r>
      <w:r>
        <w:rPr>
          <w:rFonts w:hint="default" w:ascii="Times New Roman" w:hAnsi="Times New Roman" w:eastAsia="仿宋_GB2312" w:cs="Times New Roman"/>
          <w:bCs/>
          <w:color w:val="auto"/>
          <w:kern w:val="0"/>
          <w:sz w:val="32"/>
          <w:szCs w:val="32"/>
          <w:highlight w:val="none"/>
        </w:rPr>
        <w:t>情况</w:t>
      </w:r>
      <w:r>
        <w:rPr>
          <w:rFonts w:hint="default" w:ascii="Times New Roman" w:hAnsi="Times New Roman" w:eastAsia="仿宋_GB2312" w:cs="Times New Roman"/>
          <w:color w:val="auto"/>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fldChar w:fldCharType="begin"/>
      </w:r>
      <w:r>
        <w:rPr>
          <w:rFonts w:hint="default" w:ascii="Times New Roman" w:hAnsi="Times New Roman" w:eastAsia="仿宋_GB2312" w:cs="Times New Roman"/>
          <w:b/>
          <w:bCs/>
          <w:color w:val="auto"/>
          <w:sz w:val="32"/>
          <w:szCs w:val="32"/>
          <w:highlight w:val="none"/>
        </w:rPr>
        <w:instrText xml:space="preserve"> HYPERLINK \l _Toc29374 </w:instrText>
      </w:r>
      <w:r>
        <w:rPr>
          <w:rFonts w:hint="default" w:ascii="Times New Roman" w:hAnsi="Times New Roman" w:eastAsia="仿宋_GB2312" w:cs="Times New Roman"/>
          <w:b/>
          <w:bCs/>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t>第二部分 部门决算情况说明</w:t>
      </w:r>
      <w:r>
        <w:rPr>
          <w:rFonts w:hint="default" w:ascii="Times New Roman" w:hAnsi="Times New Roman" w:eastAsia="仿宋_GB2312" w:cs="Times New Roman"/>
          <w:b/>
          <w:bCs/>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_Toc25314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一、收入支出决算总体情况说明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_Toc12142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二、</w:t>
      </w:r>
      <w:r>
        <w:rPr>
          <w:rFonts w:hint="default" w:ascii="Times New Roman" w:hAnsi="Times New Roman" w:eastAsia="仿宋_GB2312" w:cs="Times New Roman"/>
          <w:bCs/>
          <w:color w:val="auto"/>
          <w:kern w:val="0"/>
          <w:sz w:val="32"/>
          <w:szCs w:val="32"/>
          <w:highlight w:val="none"/>
        </w:rPr>
        <w:t>收入</w:t>
      </w:r>
      <w:r>
        <w:rPr>
          <w:rFonts w:hint="default" w:ascii="Times New Roman" w:hAnsi="Times New Roman" w:eastAsia="仿宋_GB2312" w:cs="Times New Roman"/>
          <w:bCs/>
          <w:color w:val="auto"/>
          <w:kern w:val="0"/>
          <w:sz w:val="32"/>
          <w:szCs w:val="32"/>
          <w:highlight w:val="none"/>
          <w:lang w:eastAsia="zh-CN"/>
        </w:rPr>
        <w:t>决算</w:t>
      </w:r>
      <w:r>
        <w:rPr>
          <w:rFonts w:hint="default" w:ascii="Times New Roman" w:hAnsi="Times New Roman" w:eastAsia="仿宋_GB2312" w:cs="Times New Roman"/>
          <w:bCs/>
          <w:color w:val="auto"/>
          <w:kern w:val="0"/>
          <w:sz w:val="32"/>
          <w:szCs w:val="32"/>
          <w:highlight w:val="none"/>
        </w:rPr>
        <w:t>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_Toc13201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三、支出决算情况说明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_Toc26564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四、财政拨款收入支出决算总体情况说明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_Toc20360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五、一般公共预算财政拨款支出决算情况说明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_Toc30870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六、一般公共预算财政拨款基本支出决算情况说明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_Toc21518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七</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lang w:eastAsia="zh-CN"/>
        </w:rPr>
        <w:t>财政拨款</w:t>
      </w:r>
      <w:r>
        <w:rPr>
          <w:rFonts w:hint="default" w:ascii="Times New Roman" w:hAnsi="Times New Roman" w:eastAsia="仿宋_GB2312" w:cs="Times New Roman"/>
          <w:bCs/>
          <w:color w:val="auto"/>
          <w:kern w:val="0"/>
          <w:sz w:val="32"/>
          <w:szCs w:val="32"/>
          <w:highlight w:val="none"/>
        </w:rPr>
        <w:t>“三公”经费支出</w:t>
      </w:r>
      <w:r>
        <w:rPr>
          <w:rFonts w:hint="default" w:ascii="Times New Roman" w:hAnsi="Times New Roman" w:eastAsia="仿宋_GB2312" w:cs="Times New Roman"/>
          <w:bCs/>
          <w:color w:val="auto"/>
          <w:kern w:val="0"/>
          <w:sz w:val="32"/>
          <w:szCs w:val="32"/>
          <w:highlight w:val="none"/>
          <w:lang w:eastAsia="zh-CN"/>
        </w:rPr>
        <w:t>决算</w:t>
      </w:r>
      <w:r>
        <w:rPr>
          <w:rFonts w:hint="default" w:ascii="Times New Roman" w:hAnsi="Times New Roman" w:eastAsia="仿宋_GB2312" w:cs="Times New Roman"/>
          <w:bCs/>
          <w:color w:val="auto"/>
          <w:kern w:val="0"/>
          <w:sz w:val="32"/>
          <w:szCs w:val="32"/>
          <w:highlight w:val="none"/>
        </w:rPr>
        <w:t>情况</w:t>
      </w:r>
      <w:r>
        <w:rPr>
          <w:rFonts w:hint="default" w:ascii="Times New Roman" w:hAnsi="Times New Roman" w:eastAsia="仿宋_GB2312" w:cs="Times New Roman"/>
          <w:bCs/>
          <w:color w:val="auto"/>
          <w:kern w:val="0"/>
          <w:sz w:val="32"/>
          <w:szCs w:val="32"/>
          <w:highlight w:val="none"/>
          <w:lang w:eastAsia="zh-CN"/>
        </w:rPr>
        <w:t>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_Toc5810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val="en-US" w:eastAsia="zh-CN"/>
        </w:rPr>
        <w:t>八、</w:t>
      </w:r>
      <w:r>
        <w:rPr>
          <w:rFonts w:hint="default" w:ascii="Times New Roman" w:hAnsi="Times New Roman" w:eastAsia="仿宋_GB2312" w:cs="Times New Roman"/>
          <w:bCs/>
          <w:color w:val="auto"/>
          <w:kern w:val="0"/>
          <w:sz w:val="32"/>
          <w:szCs w:val="32"/>
          <w:highlight w:val="none"/>
          <w:lang w:eastAsia="zh-CN"/>
        </w:rPr>
        <w:t>政府性基金预算财政拨款收入支出决算情况说明</w:t>
      </w:r>
      <w:r>
        <w:rPr>
          <w:rFonts w:hint="default" w:ascii="Times New Roman" w:hAnsi="Times New Roman" w:eastAsia="仿宋_GB2312" w:cs="Times New Roman"/>
          <w:color w:val="auto"/>
          <w:sz w:val="32"/>
          <w:szCs w:val="32"/>
          <w:highlight w:val="none"/>
        </w:rPr>
        <w:fldChar w:fldCharType="end"/>
      </w:r>
    </w:p>
    <w:p>
      <w:pPr>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_Toc5810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val="en-US" w:eastAsia="zh-CN"/>
        </w:rPr>
        <w:t>九</w:t>
      </w:r>
      <w:r>
        <w:rPr>
          <w:rFonts w:hint="default" w:ascii="Times New Roman" w:hAnsi="Times New Roman" w:eastAsia="仿宋_GB2312" w:cs="Times New Roman"/>
          <w:bCs/>
          <w:color w:val="auto"/>
          <w:kern w:val="0"/>
          <w:sz w:val="32"/>
          <w:szCs w:val="32"/>
          <w:highlight w:val="none"/>
          <w:lang w:eastAsia="zh-CN"/>
        </w:rPr>
        <w:t>、国有资本经营预算财政拨款收入支出决算情况说明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_Toc1235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bCs/>
          <w:color w:val="auto"/>
          <w:kern w:val="0"/>
          <w:sz w:val="32"/>
          <w:szCs w:val="32"/>
          <w:highlight w:val="none"/>
        </w:rPr>
        <w:t>、其他重要事项的情况</w:t>
      </w:r>
      <w:r>
        <w:rPr>
          <w:rFonts w:hint="default" w:ascii="Times New Roman" w:hAnsi="Times New Roman" w:eastAsia="仿宋_GB2312" w:cs="Times New Roman"/>
          <w:bCs/>
          <w:color w:val="auto"/>
          <w:kern w:val="0"/>
          <w:sz w:val="32"/>
          <w:szCs w:val="32"/>
          <w:highlight w:val="none"/>
          <w:lang w:eastAsia="zh-CN"/>
        </w:rPr>
        <w:t>说明</w:t>
      </w:r>
      <w:r>
        <w:rPr>
          <w:rFonts w:hint="default" w:ascii="Times New Roman" w:hAnsi="Times New Roman" w:eastAsia="仿宋_GB2312" w:cs="Times New Roman"/>
          <w:color w:val="auto"/>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_Toc14519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机关运行经费支出情况</w:t>
      </w:r>
      <w:r>
        <w:rPr>
          <w:rFonts w:hint="default" w:ascii="Times New Roman" w:hAnsi="Times New Roman" w:eastAsia="仿宋_GB2312" w:cs="Times New Roman"/>
          <w:color w:val="auto"/>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_Toc227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lang w:eastAsia="zh-CN"/>
        </w:rPr>
        <w:t>（二）政府采购情况</w:t>
      </w:r>
      <w:r>
        <w:rPr>
          <w:rFonts w:hint="default" w:ascii="Times New Roman" w:hAnsi="Times New Roman" w:eastAsia="仿宋_GB2312" w:cs="Times New Roman"/>
          <w:color w:val="auto"/>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_Toc8391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lang w:eastAsia="zh-CN"/>
        </w:rPr>
        <w:t>（三）国有资产占用情况说明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_Toc11283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eastAsia="zh-CN"/>
        </w:rPr>
        <w:t>十</w:t>
      </w:r>
      <w:r>
        <w:rPr>
          <w:rFonts w:hint="default" w:ascii="Times New Roman" w:hAnsi="Times New Roman" w:eastAsia="仿宋_GB2312" w:cs="Times New Roman"/>
          <w:bCs/>
          <w:color w:val="auto"/>
          <w:kern w:val="0"/>
          <w:sz w:val="32"/>
          <w:szCs w:val="32"/>
          <w:highlight w:val="none"/>
          <w:lang w:val="en-US" w:eastAsia="zh-CN"/>
        </w:rPr>
        <w:t>一</w:t>
      </w:r>
      <w:r>
        <w:rPr>
          <w:rFonts w:hint="default" w:ascii="Times New Roman" w:hAnsi="Times New Roman" w:eastAsia="仿宋_GB2312" w:cs="Times New Roman"/>
          <w:bCs/>
          <w:color w:val="auto"/>
          <w:kern w:val="0"/>
          <w:sz w:val="32"/>
          <w:szCs w:val="32"/>
          <w:highlight w:val="none"/>
          <w:lang w:eastAsia="zh-CN"/>
        </w:rPr>
        <w:t>、预算绩效的情况说明</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十二、其他需说明的事项</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fldChar w:fldCharType="begin"/>
      </w:r>
      <w:r>
        <w:rPr>
          <w:rFonts w:hint="default" w:ascii="Times New Roman" w:hAnsi="Times New Roman" w:eastAsia="仿宋_GB2312" w:cs="Times New Roman"/>
          <w:b/>
          <w:bCs/>
          <w:color w:val="auto"/>
          <w:sz w:val="32"/>
          <w:szCs w:val="32"/>
          <w:highlight w:val="none"/>
        </w:rPr>
        <w:instrText xml:space="preserve"> HYPERLINK \l _Toc3250 </w:instrText>
      </w:r>
      <w:r>
        <w:rPr>
          <w:rFonts w:hint="default" w:ascii="Times New Roman" w:hAnsi="Times New Roman" w:eastAsia="仿宋_GB2312" w:cs="Times New Roman"/>
          <w:b/>
          <w:bCs/>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t>第三部分 专业名词解释</w:t>
      </w:r>
      <w:r>
        <w:rPr>
          <w:rFonts w:hint="default" w:ascii="Times New Roman" w:hAnsi="Times New Roman" w:eastAsia="仿宋_GB2312" w:cs="Times New Roman"/>
          <w:b/>
          <w:bCs/>
          <w:color w:val="auto"/>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fldChar w:fldCharType="begin"/>
      </w:r>
      <w:r>
        <w:rPr>
          <w:rFonts w:hint="default" w:ascii="Times New Roman" w:hAnsi="Times New Roman" w:eastAsia="仿宋_GB2312" w:cs="Times New Roman"/>
          <w:b/>
          <w:bCs/>
          <w:color w:val="auto"/>
          <w:sz w:val="32"/>
          <w:szCs w:val="32"/>
          <w:highlight w:val="none"/>
        </w:rPr>
        <w:instrText xml:space="preserve"> HYPERLINK \l _Toc22784 </w:instrText>
      </w:r>
      <w:r>
        <w:rPr>
          <w:rFonts w:hint="default" w:ascii="Times New Roman" w:hAnsi="Times New Roman" w:eastAsia="仿宋_GB2312" w:cs="Times New Roman"/>
          <w:b/>
          <w:bCs/>
          <w:color w:val="auto"/>
          <w:sz w:val="32"/>
          <w:szCs w:val="32"/>
          <w:highlight w:val="none"/>
        </w:rPr>
        <w:fldChar w:fldCharType="separate"/>
      </w:r>
      <w:r>
        <w:rPr>
          <w:rFonts w:hint="default" w:ascii="Times New Roman" w:hAnsi="Times New Roman" w:eastAsia="仿宋_GB2312" w:cs="Times New Roman"/>
          <w:b/>
          <w:bCs/>
          <w:color w:val="auto"/>
          <w:sz w:val="32"/>
          <w:szCs w:val="32"/>
          <w:highlight w:val="none"/>
        </w:rPr>
        <w:t>第四部分 部门决算报表（见附表）</w:t>
      </w:r>
      <w:r>
        <w:rPr>
          <w:rFonts w:hint="default" w:ascii="Times New Roman" w:hAnsi="Times New Roman" w:eastAsia="仿宋_GB2312" w:cs="Times New Roman"/>
          <w:b/>
          <w:bCs/>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_Toc2183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一、《收入支出决算总表》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_Toc24532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二、《收入决算表》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_Toc32434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三、《支出决算表》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_Toc28786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四、《财政拨款收入支出决算总表》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_Toc14869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五、《一般公共预算财政拨款支出决算表》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_Toc8884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六、《一般公共预算财政拨款基本支出决算表》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_Toc29106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kern w:val="0"/>
          <w:sz w:val="32"/>
          <w:szCs w:val="32"/>
          <w:highlight w:val="none"/>
        </w:rPr>
        <w:t>七、《财政拨款“三公”经费支出决算表》</w:t>
      </w:r>
      <w:r>
        <w:rPr>
          <w:rFonts w:hint="default" w:ascii="Times New Roman" w:hAnsi="Times New Roman" w:eastAsia="仿宋_GB2312" w:cs="Times New Roman"/>
          <w:color w:val="auto"/>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fldChar w:fldCharType="begin"/>
      </w:r>
      <w:r>
        <w:rPr>
          <w:rFonts w:hint="default" w:ascii="Times New Roman" w:hAnsi="Times New Roman" w:eastAsia="仿宋_GB2312" w:cs="Times New Roman"/>
          <w:bCs/>
          <w:color w:val="auto"/>
          <w:kern w:val="0"/>
          <w:sz w:val="32"/>
          <w:szCs w:val="32"/>
          <w:highlight w:val="none"/>
        </w:rPr>
        <w:instrText xml:space="preserve"> HYPERLINK \l _Toc7643 </w:instrText>
      </w:r>
      <w:r>
        <w:rPr>
          <w:rFonts w:hint="default" w:ascii="Times New Roman" w:hAnsi="Times New Roman" w:eastAsia="仿宋_GB2312" w:cs="Times New Roman"/>
          <w:bCs/>
          <w:color w:val="auto"/>
          <w:kern w:val="0"/>
          <w:sz w:val="32"/>
          <w:szCs w:val="32"/>
          <w:highlight w:val="none"/>
        </w:rPr>
        <w:fldChar w:fldCharType="separate"/>
      </w:r>
      <w:r>
        <w:rPr>
          <w:rFonts w:hint="default" w:ascii="Times New Roman" w:hAnsi="Times New Roman" w:eastAsia="仿宋_GB2312" w:cs="Times New Roman"/>
          <w:bCs/>
          <w:color w:val="auto"/>
          <w:kern w:val="0"/>
          <w:sz w:val="32"/>
          <w:szCs w:val="32"/>
          <w:highlight w:val="none"/>
          <w:lang w:val="en-US" w:eastAsia="zh-CN"/>
        </w:rPr>
        <w:t>八、</w:t>
      </w:r>
      <w:r>
        <w:rPr>
          <w:rFonts w:hint="default" w:ascii="Times New Roman" w:hAnsi="Times New Roman" w:eastAsia="仿宋_GB2312" w:cs="Times New Roman"/>
          <w:bCs/>
          <w:color w:val="auto"/>
          <w:kern w:val="0"/>
          <w:sz w:val="32"/>
          <w:szCs w:val="32"/>
          <w:highlight w:val="none"/>
        </w:rPr>
        <w:t>《政府性基金预算财政拨款收入支出决算表》</w:t>
      </w:r>
      <w:r>
        <w:rPr>
          <w:rFonts w:hint="default" w:ascii="Times New Roman" w:hAnsi="Times New Roman" w:eastAsia="仿宋_GB2312" w:cs="Times New Roman"/>
          <w:bCs/>
          <w:color w:val="auto"/>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九</w:t>
      </w:r>
      <w:r>
        <w:rPr>
          <w:rFonts w:hint="default" w:ascii="Times New Roman" w:hAnsi="Times New Roman" w:eastAsia="仿宋_GB2312" w:cs="Times New Roman"/>
          <w:bCs/>
          <w:color w:val="auto"/>
          <w:kern w:val="0"/>
          <w:sz w:val="32"/>
          <w:szCs w:val="32"/>
          <w:highlight w:val="none"/>
          <w:lang w:eastAsia="zh-CN"/>
        </w:rPr>
        <w:t>、《国有资本经营</w:t>
      </w:r>
      <w:r>
        <w:rPr>
          <w:rFonts w:hint="default" w:ascii="Times New Roman" w:hAnsi="Times New Roman" w:eastAsia="仿宋_GB2312" w:cs="Times New Roman"/>
          <w:bCs/>
          <w:color w:val="auto"/>
          <w:kern w:val="0"/>
          <w:sz w:val="32"/>
          <w:szCs w:val="32"/>
          <w:highlight w:val="none"/>
        </w:rPr>
        <w:t>预算财政拨款收入支出决算表</w:t>
      </w:r>
      <w:r>
        <w:rPr>
          <w:rFonts w:hint="default" w:ascii="Times New Roman" w:hAnsi="Times New Roman" w:eastAsia="仿宋_GB2312" w:cs="Times New Roman"/>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fldChar w:fldCharType="end"/>
      </w:r>
    </w:p>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color w:val="auto"/>
          <w:sz w:val="32"/>
          <w:szCs w:val="32"/>
          <w:highlight w:val="none"/>
        </w:rPr>
      </w:pPr>
      <w:bookmarkStart w:id="0" w:name="_Toc24028"/>
      <w:bookmarkStart w:id="1" w:name="_Toc32314"/>
      <w:r>
        <w:rPr>
          <w:rFonts w:hint="default" w:ascii="Times New Roman" w:hAnsi="Times New Roman" w:eastAsia="黑体" w:cs="Times New Roman"/>
          <w:color w:val="auto"/>
          <w:sz w:val="32"/>
          <w:szCs w:val="32"/>
          <w:highlight w:val="none"/>
        </w:rPr>
        <w:t xml:space="preserve">第一部分 </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color w:val="auto"/>
          <w:kern w:val="0"/>
          <w:sz w:val="32"/>
          <w:szCs w:val="32"/>
          <w:highlight w:val="none"/>
        </w:rPr>
      </w:pPr>
      <w:bookmarkStart w:id="2" w:name="_Toc30738"/>
      <w:bookmarkStart w:id="3" w:name="_Toc30567"/>
      <w:r>
        <w:rPr>
          <w:rFonts w:hint="default" w:ascii="Times New Roman" w:hAnsi="Times New Roman" w:eastAsia="黑体" w:cs="Times New Roman"/>
          <w:bCs/>
          <w:color w:val="auto"/>
          <w:kern w:val="0"/>
          <w:sz w:val="32"/>
          <w:szCs w:val="32"/>
          <w:highlight w:val="none"/>
        </w:rPr>
        <w:t>一、主要职能</w:t>
      </w:r>
      <w:bookmarkEnd w:id="2"/>
      <w:bookmarkEnd w:id="3"/>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贯彻执行国家、自治区关于民政工作的法律、法规、规章、政策；拟订民政事业发展规划并组织实施。</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拟订社会救助规划、政策和标准，健全城乡社会救助体系，指导有意愿的特困老人集中供养和孤儿集中收养；拟订社会保障兜底脱贫政策和标准，指导城乡最低生活保障、临时救助。</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拟订社会团体、社会服务机构、基金会的登记管理法规、草案、政策；承担全区性社会团体、社会服务机构、基金会登记管理、监督责任；指导社会组织党建工作。</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拟订城乡基层群众自治建设和社区治理的规划、政策和标准；指导加强和完善城乡基层政权及社区治理，推动基层民主政治建设；指导城乡社区服务体系建设。</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拟订行政区划、行政区域界线和地名管理政策和标准；指导行政区划调整、行政区域界线勘定和管理、地名管理；负责乡级行政区划调整的审核。</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拟订婚姻登记、殡葬管理政策；指导婚姻登记、殡葬服务机构管理，推进婚俗和殡葬改革；负责涉外婚姻登记。</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7.</w:t>
      </w:r>
      <w:r>
        <w:rPr>
          <w:rFonts w:hint="default" w:ascii="Times New Roman" w:hAnsi="Times New Roman" w:eastAsia="仿宋_GB2312" w:cs="Times New Roman"/>
          <w:color w:val="auto"/>
          <w:kern w:val="2"/>
          <w:sz w:val="32"/>
          <w:szCs w:val="32"/>
          <w:highlight w:val="none"/>
          <w:lang w:val="en-US" w:eastAsia="zh-CN" w:bidi="ar-SA"/>
        </w:rPr>
        <w:t>拟订老年人福利和养老服务业发展规划、法规草案政策和标准，推进社会养老服务体系建设；指导养老机构和特困人员救助供养机构建设和管理。</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拟订儿童福利、儿童收养和儿童保护政策、标准；健全农村留守儿童关爱体系和困境儿童保障制度；指导儿童福利收养、登记、未成年人保护机构管理；承办涉外儿童收养。</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9.</w:t>
      </w:r>
      <w:r>
        <w:rPr>
          <w:rFonts w:hint="default" w:ascii="Times New Roman" w:hAnsi="Times New Roman" w:eastAsia="仿宋_GB2312" w:cs="Times New Roman"/>
          <w:color w:val="auto"/>
          <w:kern w:val="2"/>
          <w:sz w:val="32"/>
          <w:szCs w:val="32"/>
          <w:highlight w:val="none"/>
          <w:lang w:val="en-US" w:eastAsia="zh-CN" w:bidi="ar-SA"/>
        </w:rPr>
        <w:t>拟订生活无着的流浪、乞讨人员救助政策和标准；指导救助管理和机构建设工作。</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10.</w:t>
      </w:r>
      <w:r>
        <w:rPr>
          <w:rFonts w:hint="default" w:ascii="Times New Roman" w:hAnsi="Times New Roman" w:eastAsia="仿宋_GB2312" w:cs="Times New Roman"/>
          <w:color w:val="auto"/>
          <w:kern w:val="2"/>
          <w:sz w:val="32"/>
          <w:szCs w:val="32"/>
          <w:highlight w:val="none"/>
          <w:lang w:val="en-US" w:eastAsia="zh-CN" w:bidi="ar-SA"/>
        </w:rPr>
        <w:t>拟订促进慈善事业发展规划、政策和标准；指导社会捐助，监管慈善行为；负责福利彩票发行管理。</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11.</w:t>
      </w:r>
      <w:r>
        <w:rPr>
          <w:rFonts w:hint="default" w:ascii="Times New Roman" w:hAnsi="Times New Roman" w:eastAsia="仿宋_GB2312" w:cs="Times New Roman"/>
          <w:color w:val="auto"/>
          <w:kern w:val="2"/>
          <w:sz w:val="32"/>
          <w:szCs w:val="32"/>
          <w:highlight w:val="none"/>
          <w:lang w:val="en-US" w:eastAsia="zh-CN" w:bidi="ar-SA"/>
        </w:rPr>
        <w:t>拟订残障福利发展政策和标准；指导残障福利和康复辅助器具行业发展；指导民政职责范围内的精神卫生工作。</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12.</w:t>
      </w:r>
      <w:r>
        <w:rPr>
          <w:rFonts w:hint="default" w:ascii="Times New Roman" w:hAnsi="Times New Roman" w:eastAsia="仿宋_GB2312" w:cs="Times New Roman"/>
          <w:color w:val="auto"/>
          <w:kern w:val="2"/>
          <w:sz w:val="32"/>
          <w:szCs w:val="32"/>
          <w:highlight w:val="none"/>
          <w:lang w:val="en-US" w:eastAsia="zh-CN" w:bidi="ar-SA"/>
        </w:rPr>
        <w:t>拟订社会工作发展规划、政策和职业规范，指导社会工作人才和志愿者队伍建设。</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13.</w:t>
      </w:r>
      <w:r>
        <w:rPr>
          <w:rFonts w:hint="default" w:ascii="Times New Roman" w:hAnsi="Times New Roman" w:eastAsia="仿宋_GB2312" w:cs="Times New Roman"/>
          <w:color w:val="auto"/>
          <w:kern w:val="2"/>
          <w:sz w:val="32"/>
          <w:szCs w:val="32"/>
          <w:highlight w:val="none"/>
          <w:lang w:val="en-US" w:eastAsia="zh-CN" w:bidi="ar-SA"/>
        </w:rPr>
        <w:t>完成自治区党委、自治区人民政府交办的其他任务。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color w:val="auto"/>
          <w:kern w:val="0"/>
          <w:sz w:val="32"/>
          <w:szCs w:val="32"/>
          <w:highlight w:val="none"/>
        </w:rPr>
      </w:pPr>
      <w:bookmarkStart w:id="4" w:name="_Toc31238"/>
      <w:bookmarkStart w:id="5" w:name="_Toc2151"/>
      <w:r>
        <w:rPr>
          <w:rFonts w:hint="default" w:ascii="Times New Roman" w:hAnsi="Times New Roman" w:eastAsia="黑体" w:cs="Times New Roman"/>
          <w:bCs/>
          <w:color w:val="auto"/>
          <w:kern w:val="0"/>
          <w:sz w:val="32"/>
          <w:szCs w:val="32"/>
          <w:highlight w:val="none"/>
        </w:rPr>
        <w:t>二、机构设置</w:t>
      </w:r>
      <w:r>
        <w:rPr>
          <w:rFonts w:hint="default" w:ascii="Times New Roman" w:hAnsi="Times New Roman" w:eastAsia="黑体" w:cs="Times New Roman"/>
          <w:bCs/>
          <w:color w:val="auto"/>
          <w:kern w:val="0"/>
          <w:sz w:val="32"/>
          <w:szCs w:val="32"/>
          <w:highlight w:val="none"/>
          <w:lang w:eastAsia="zh-CN"/>
        </w:rPr>
        <w:t>及</w:t>
      </w:r>
      <w:bookmarkEnd w:id="4"/>
      <w:r>
        <w:rPr>
          <w:rFonts w:hint="default" w:ascii="Times New Roman" w:hAnsi="Times New Roman" w:eastAsia="黑体" w:cs="Times New Roman"/>
          <w:bCs/>
          <w:color w:val="auto"/>
          <w:kern w:val="0"/>
          <w:sz w:val="32"/>
          <w:szCs w:val="32"/>
          <w:highlight w:val="none"/>
          <w:lang w:eastAsia="zh-CN"/>
        </w:rPr>
        <w:t>人员</w:t>
      </w:r>
      <w:r>
        <w:rPr>
          <w:rFonts w:hint="default" w:ascii="Times New Roman" w:hAnsi="Times New Roman" w:eastAsia="黑体" w:cs="Times New Roman"/>
          <w:bCs/>
          <w:color w:val="auto"/>
          <w:kern w:val="0"/>
          <w:sz w:val="32"/>
          <w:szCs w:val="32"/>
          <w:highlight w:val="none"/>
        </w:rPr>
        <w:t>情况</w:t>
      </w:r>
      <w:bookmarkEnd w:id="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新疆维吾尔自治区民政厅（本级）</w:t>
      </w:r>
      <w:r>
        <w:rPr>
          <w:rFonts w:hint="eastAsia" w:ascii="仿宋_GB2312" w:hAnsi="仿宋_GB2312" w:eastAsia="仿宋_GB2312" w:cs="仿宋_GB2312"/>
          <w:color w:val="auto"/>
          <w:sz w:val="32"/>
          <w:szCs w:val="32"/>
          <w:highlight w:val="none"/>
          <w:lang w:eastAsia="zh-CN"/>
        </w:rPr>
        <w:t>2023</w:t>
      </w:r>
      <w:r>
        <w:rPr>
          <w:rFonts w:hint="default" w:ascii="Times New Roman" w:hAnsi="Times New Roman" w:eastAsia="仿宋_GB2312" w:cs="Times New Roman"/>
          <w:color w:val="auto"/>
          <w:sz w:val="32"/>
          <w:szCs w:val="32"/>
          <w:highlight w:val="none"/>
          <w:lang w:eastAsia="zh-CN"/>
        </w:rPr>
        <w:t>年度，</w:t>
      </w:r>
      <w:r>
        <w:rPr>
          <w:rFonts w:hint="default" w:ascii="Times New Roman" w:hAnsi="Times New Roman" w:eastAsia="仿宋_GB2312" w:cs="Times New Roman"/>
          <w:color w:val="auto"/>
          <w:sz w:val="32"/>
          <w:szCs w:val="32"/>
          <w:highlight w:val="none"/>
        </w:rPr>
        <w:t>实有人数</w:t>
      </w:r>
      <w:r>
        <w:rPr>
          <w:rFonts w:hint="default" w:ascii="仿宋_GB2312" w:hAnsi="仿宋_GB2312" w:eastAsia="仿宋_GB2312" w:cs="仿宋_GB2312"/>
          <w:color w:val="auto"/>
          <w:sz w:val="32"/>
          <w:szCs w:val="32"/>
          <w:highlight w:val="none"/>
          <w:lang w:val="zh-CN" w:eastAsia="zh-CN"/>
        </w:rPr>
        <w:t>266</w:t>
      </w:r>
      <w:r>
        <w:rPr>
          <w:rFonts w:hint="default" w:ascii="Times New Roman" w:hAnsi="Times New Roman" w:eastAsia="仿宋_GB2312" w:cs="Times New Roman"/>
          <w:color w:val="auto"/>
          <w:sz w:val="32"/>
          <w:szCs w:val="32"/>
          <w:highlight w:val="none"/>
        </w:rPr>
        <w:t>人，其中：在职人员</w:t>
      </w:r>
      <w:r>
        <w:rPr>
          <w:rFonts w:hint="default" w:ascii="仿宋_GB2312" w:hAnsi="仿宋_GB2312" w:eastAsia="仿宋_GB2312" w:cs="仿宋_GB2312"/>
          <w:color w:val="auto"/>
          <w:sz w:val="32"/>
          <w:szCs w:val="32"/>
          <w:highlight w:val="none"/>
          <w:lang w:val="zh-CN" w:eastAsia="zh-CN"/>
        </w:rPr>
        <w:t>120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离休人员</w:t>
      </w:r>
      <w:r>
        <w:rPr>
          <w:rFonts w:hint="default" w:ascii="仿宋_GB2312" w:hAnsi="仿宋_GB2312" w:eastAsia="仿宋_GB2312" w:cs="仿宋_GB2312"/>
          <w:color w:val="auto"/>
          <w:sz w:val="32"/>
          <w:szCs w:val="32"/>
          <w:highlight w:val="none"/>
          <w:lang w:val="zh-CN" w:eastAsia="zh-CN"/>
        </w:rPr>
        <w:t>5</w:t>
      </w:r>
      <w:r>
        <w:rPr>
          <w:rFonts w:hint="default" w:ascii="Times New Roman" w:hAnsi="Times New Roman" w:eastAsia="仿宋_GB2312" w:cs="Times New Roman"/>
          <w:color w:val="auto"/>
          <w:sz w:val="32"/>
          <w:szCs w:val="32"/>
          <w:highlight w:val="none"/>
        </w:rPr>
        <w:t>人，退休人员</w:t>
      </w:r>
      <w:r>
        <w:rPr>
          <w:rFonts w:hint="default" w:ascii="仿宋_GB2312" w:hAnsi="仿宋_GB2312" w:eastAsia="仿宋_GB2312" w:cs="仿宋_GB2312"/>
          <w:color w:val="auto"/>
          <w:sz w:val="32"/>
          <w:szCs w:val="32"/>
          <w:highlight w:val="none"/>
          <w:lang w:val="zh-CN" w:eastAsia="zh-CN"/>
        </w:rPr>
        <w:t>141</w:t>
      </w:r>
      <w:r>
        <w:rPr>
          <w:rFonts w:hint="default" w:ascii="Times New Roman" w:hAnsi="Times New Roman" w:eastAsia="仿宋_GB2312" w:cs="Times New Roman"/>
          <w:color w:val="auto"/>
          <w:sz w:val="32"/>
          <w:szCs w:val="32"/>
          <w:highlight w:val="none"/>
        </w:rPr>
        <w:t>人。</w:t>
      </w:r>
    </w:p>
    <w:p>
      <w:pPr>
        <w:pStyle w:val="15"/>
        <w:spacing w:line="560" w:lineRule="exact"/>
        <w:ind w:firstLine="560"/>
        <w:rPr>
          <w:rFonts w:hint="default" w:ascii="Times New Roman" w:hAnsi="Times New Roman" w:eastAsia="仿宋_GB2312" w:cs="Times New Roman"/>
          <w:color w:val="auto"/>
          <w:kern w:val="2"/>
          <w:sz w:val="32"/>
          <w:szCs w:val="32"/>
          <w:highlight w:val="none"/>
          <w:lang w:val="en-US" w:eastAsia="zh-CN" w:bidi="ar-SA"/>
        </w:rPr>
      </w:pPr>
      <w:bookmarkStart w:id="6" w:name="_Toc29374"/>
      <w:bookmarkStart w:id="7" w:name="_Toc3092"/>
      <w:r>
        <w:rPr>
          <w:rFonts w:hint="default" w:ascii="Times New Roman" w:hAnsi="Times New Roman" w:eastAsia="仿宋_GB2312" w:cs="Times New Roman"/>
          <w:color w:val="auto"/>
          <w:kern w:val="2"/>
          <w:sz w:val="32"/>
          <w:szCs w:val="32"/>
          <w:highlight w:val="none"/>
          <w:lang w:val="en-US" w:eastAsia="zh-CN" w:bidi="ar-SA"/>
        </w:rPr>
        <w:t>单位无下属预算单位，下设</w:t>
      </w:r>
      <w:r>
        <w:rPr>
          <w:rFonts w:hint="default" w:ascii="仿宋_GB2312" w:hAnsi="仿宋_GB2312" w:eastAsia="仿宋_GB2312" w:cs="仿宋_GB2312"/>
          <w:color w:val="auto"/>
          <w:kern w:val="2"/>
          <w:sz w:val="32"/>
          <w:szCs w:val="32"/>
          <w:highlight w:val="none"/>
          <w:lang w:val="en-US" w:eastAsia="zh-CN" w:bidi="ar-SA"/>
        </w:rPr>
        <w:t>14</w:t>
      </w:r>
      <w:r>
        <w:rPr>
          <w:rFonts w:hint="default" w:ascii="Times New Roman" w:hAnsi="Times New Roman" w:eastAsia="仿宋_GB2312" w:cs="Times New Roman"/>
          <w:color w:val="auto"/>
          <w:kern w:val="2"/>
          <w:sz w:val="32"/>
          <w:szCs w:val="32"/>
          <w:highlight w:val="none"/>
          <w:lang w:val="en-US" w:eastAsia="zh-CN" w:bidi="ar-SA"/>
        </w:rPr>
        <w:t>个处室，分别是：办公室、政策法规宣传处、规划财务处、社会组织管理局</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社会组织执法监督局</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、社会救助局、基层政权建设和社区治理处、区划地名处、社会事务处、养老服务处、儿童福利处、慈善事业促进和社会工作处、人事处、机关党委、离退休干部工作处。</w:t>
      </w:r>
    </w:p>
    <w:p>
      <w:pPr>
        <w:pStyle w:val="15"/>
        <w:spacing w:line="560" w:lineRule="exact"/>
        <w:ind w:left="0" w:leftChars="0" w:firstLine="0" w:firstLineChars="0"/>
        <w:jc w:val="center"/>
        <w:rPr>
          <w:rFonts w:hint="default" w:ascii="Times New Roman" w:hAnsi="Times New Roman" w:eastAsia="黑体" w:cs="Times New Roman"/>
          <w:color w:val="auto"/>
          <w:sz w:val="32"/>
          <w:szCs w:val="32"/>
          <w:highlight w:val="none"/>
        </w:rPr>
      </w:pP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color w:val="auto"/>
          <w:kern w:val="0"/>
          <w:sz w:val="32"/>
          <w:szCs w:val="32"/>
          <w:highlight w:val="none"/>
        </w:rPr>
      </w:pPr>
      <w:bookmarkStart w:id="8" w:name="_Toc25314"/>
      <w:bookmarkStart w:id="9" w:name="_Toc12566"/>
      <w:r>
        <w:rPr>
          <w:rFonts w:hint="default" w:ascii="Times New Roman" w:hAnsi="Times New Roman" w:eastAsia="黑体" w:cs="Times New Roman"/>
          <w:bCs/>
          <w:color w:val="auto"/>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2023年度</w:t>
      </w:r>
      <w:r>
        <w:rPr>
          <w:rFonts w:hint="eastAsia" w:ascii="仿宋_GB2312" w:hAnsi="仿宋_GB2312" w:eastAsia="仿宋_GB2312" w:cs="仿宋_GB2312"/>
          <w:b/>
          <w:bCs/>
          <w:color w:val="auto"/>
          <w:spacing w:val="0"/>
          <w:sz w:val="32"/>
          <w:szCs w:val="32"/>
          <w:highlight w:val="none"/>
          <w:lang w:val="en-US" w:eastAsia="zh-CN"/>
        </w:rPr>
        <w:t>收入总计</w:t>
      </w:r>
      <w:r>
        <w:rPr>
          <w:rFonts w:hint="eastAsia" w:ascii="仿宋_GB2312" w:hAnsi="仿宋_GB2312" w:eastAsia="仿宋_GB2312" w:cs="仿宋_GB2312"/>
          <w:b/>
          <w:bCs/>
          <w:color w:val="auto"/>
          <w:spacing w:val="0"/>
          <w:sz w:val="32"/>
          <w:szCs w:val="32"/>
          <w:highlight w:val="none"/>
          <w:lang w:eastAsia="zh-CN"/>
        </w:rPr>
        <w:t>9,857.96万元，</w:t>
      </w:r>
      <w:r>
        <w:rPr>
          <w:rFonts w:hint="eastAsia" w:ascii="仿宋_GB2312" w:hAnsi="仿宋_GB2312" w:eastAsia="仿宋_GB2312" w:cs="仿宋_GB2312"/>
          <w:color w:val="auto"/>
          <w:spacing w:val="0"/>
          <w:sz w:val="32"/>
          <w:szCs w:val="32"/>
          <w:highlight w:val="none"/>
          <w:lang w:val="en-US" w:eastAsia="zh-CN"/>
        </w:rPr>
        <w:t>其中：本年收入合计</w:t>
      </w:r>
      <w:r>
        <w:rPr>
          <w:rFonts w:hint="eastAsia" w:ascii="仿宋_GB2312" w:hAnsi="仿宋_GB2312" w:eastAsia="仿宋_GB2312" w:cs="仿宋_GB2312"/>
          <w:color w:val="auto"/>
          <w:kern w:val="2"/>
          <w:sz w:val="32"/>
          <w:szCs w:val="32"/>
          <w:highlight w:val="none"/>
          <w:lang w:val="en-US" w:eastAsia="zh-CN" w:bidi="ar-SA"/>
        </w:rPr>
        <w:t>8,643.45</w:t>
      </w:r>
      <w:r>
        <w:rPr>
          <w:rFonts w:hint="eastAsia" w:ascii="仿宋_GB2312" w:hAnsi="仿宋_GB2312" w:eastAsia="仿宋_GB2312" w:cs="仿宋_GB2312"/>
          <w:color w:val="auto"/>
          <w:spacing w:val="0"/>
          <w:sz w:val="32"/>
          <w:szCs w:val="32"/>
          <w:highlight w:val="none"/>
          <w:lang w:eastAsia="zh-CN"/>
        </w:rPr>
        <w:t>万元，使用非财政拨款结余</w:t>
      </w:r>
      <w:r>
        <w:rPr>
          <w:rFonts w:hint="eastAsia" w:ascii="仿宋_GB2312" w:hAnsi="仿宋_GB2312" w:eastAsia="仿宋_GB2312" w:cs="仿宋_GB2312"/>
          <w:color w:val="auto"/>
          <w:kern w:val="2"/>
          <w:sz w:val="32"/>
          <w:szCs w:val="32"/>
          <w:highlight w:val="none"/>
          <w:lang w:val="en-US" w:eastAsia="zh-CN" w:bidi="ar-SA"/>
        </w:rPr>
        <w:t>0.00</w:t>
      </w:r>
      <w:r>
        <w:rPr>
          <w:rFonts w:hint="eastAsia" w:ascii="仿宋_GB2312" w:hAnsi="仿宋_GB2312" w:eastAsia="仿宋_GB2312" w:cs="仿宋_GB2312"/>
          <w:color w:val="auto"/>
          <w:spacing w:val="0"/>
          <w:sz w:val="32"/>
          <w:szCs w:val="32"/>
          <w:highlight w:val="none"/>
          <w:lang w:eastAsia="zh-CN"/>
        </w:rPr>
        <w:t>万元，年初结转和结余</w:t>
      </w:r>
      <w:r>
        <w:rPr>
          <w:rFonts w:hint="eastAsia" w:ascii="仿宋_GB2312" w:hAnsi="仿宋_GB2312" w:eastAsia="仿宋_GB2312" w:cs="仿宋_GB2312"/>
          <w:color w:val="auto"/>
          <w:kern w:val="2"/>
          <w:sz w:val="32"/>
          <w:szCs w:val="32"/>
          <w:highlight w:val="none"/>
          <w:lang w:val="en-US" w:eastAsia="zh-CN" w:bidi="ar-SA"/>
        </w:rPr>
        <w:t>1,214.50</w:t>
      </w:r>
      <w:r>
        <w:rPr>
          <w:rFonts w:hint="eastAsia" w:ascii="仿宋_GB2312" w:hAnsi="仿宋_GB2312" w:eastAsia="仿宋_GB2312" w:cs="仿宋_GB2312"/>
          <w:color w:val="auto"/>
          <w:spacing w:val="0"/>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val="en-US" w:eastAsia="zh-CN"/>
        </w:rPr>
        <w:t>2023</w:t>
      </w:r>
      <w:r>
        <w:rPr>
          <w:rFonts w:hint="eastAsia" w:ascii="仿宋_GB2312" w:hAnsi="仿宋_GB2312" w:eastAsia="仿宋_GB2312" w:cs="仿宋_GB2312"/>
          <w:b/>
          <w:bCs/>
          <w:color w:val="auto"/>
          <w:spacing w:val="0"/>
          <w:sz w:val="32"/>
          <w:szCs w:val="32"/>
          <w:highlight w:val="none"/>
          <w:lang w:eastAsia="zh-CN"/>
        </w:rPr>
        <w:t>年</w:t>
      </w:r>
      <w:r>
        <w:rPr>
          <w:rFonts w:hint="eastAsia" w:ascii="仿宋_GB2312" w:hAnsi="仿宋_GB2312" w:eastAsia="仿宋_GB2312" w:cs="仿宋_GB2312"/>
          <w:b/>
          <w:bCs/>
          <w:color w:val="auto"/>
          <w:spacing w:val="0"/>
          <w:sz w:val="32"/>
          <w:szCs w:val="32"/>
          <w:highlight w:val="none"/>
          <w:lang w:val="en-US" w:eastAsia="zh-CN"/>
        </w:rPr>
        <w:t>度</w:t>
      </w:r>
      <w:r>
        <w:rPr>
          <w:rFonts w:hint="eastAsia" w:ascii="仿宋_GB2312" w:hAnsi="仿宋_GB2312" w:eastAsia="仿宋_GB2312" w:cs="仿宋_GB2312"/>
          <w:b/>
          <w:bCs/>
          <w:color w:val="auto"/>
          <w:spacing w:val="0"/>
          <w:sz w:val="32"/>
          <w:szCs w:val="32"/>
          <w:highlight w:val="none"/>
          <w:lang w:eastAsia="zh-CN"/>
        </w:rPr>
        <w:t>支出</w:t>
      </w:r>
      <w:r>
        <w:rPr>
          <w:rFonts w:hint="eastAsia" w:ascii="仿宋_GB2312" w:hAnsi="仿宋_GB2312" w:eastAsia="仿宋_GB2312" w:cs="仿宋_GB2312"/>
          <w:b/>
          <w:bCs/>
          <w:color w:val="auto"/>
          <w:spacing w:val="0"/>
          <w:sz w:val="32"/>
          <w:szCs w:val="32"/>
          <w:highlight w:val="none"/>
          <w:lang w:val="en-US" w:eastAsia="zh-CN"/>
        </w:rPr>
        <w:t>总计</w:t>
      </w:r>
      <w:r>
        <w:rPr>
          <w:rFonts w:hint="eastAsia" w:ascii="仿宋_GB2312" w:hAnsi="仿宋_GB2312" w:eastAsia="仿宋_GB2312" w:cs="仿宋_GB2312"/>
          <w:b/>
          <w:bCs/>
          <w:color w:val="auto"/>
          <w:spacing w:val="0"/>
          <w:sz w:val="32"/>
          <w:szCs w:val="32"/>
          <w:highlight w:val="none"/>
          <w:lang w:eastAsia="zh-CN"/>
        </w:rPr>
        <w:t>9,857.96万元，</w:t>
      </w:r>
      <w:r>
        <w:rPr>
          <w:rFonts w:hint="eastAsia" w:ascii="仿宋_GB2312" w:hAnsi="仿宋_GB2312" w:eastAsia="仿宋_GB2312" w:cs="仿宋_GB2312"/>
          <w:color w:val="auto"/>
          <w:spacing w:val="0"/>
          <w:sz w:val="32"/>
          <w:szCs w:val="32"/>
          <w:highlight w:val="none"/>
          <w:lang w:val="en-US" w:eastAsia="zh-CN"/>
        </w:rPr>
        <w:t>其中：本年支出合计</w:t>
      </w:r>
      <w:r>
        <w:rPr>
          <w:rFonts w:hint="eastAsia" w:ascii="仿宋_GB2312" w:hAnsi="仿宋_GB2312" w:eastAsia="仿宋_GB2312" w:cs="仿宋_GB2312"/>
          <w:color w:val="auto"/>
          <w:spacing w:val="0"/>
          <w:sz w:val="32"/>
          <w:szCs w:val="32"/>
          <w:highlight w:val="none"/>
          <w:lang w:eastAsia="zh-CN"/>
        </w:rPr>
        <w:t>9,120.96万元，</w:t>
      </w:r>
      <w:r>
        <w:rPr>
          <w:rFonts w:hint="eastAsia" w:ascii="仿宋_GB2312" w:hAnsi="仿宋_GB2312" w:eastAsia="仿宋_GB2312" w:cs="仿宋_GB2312"/>
          <w:color w:val="auto"/>
          <w:spacing w:val="0"/>
          <w:sz w:val="32"/>
          <w:szCs w:val="32"/>
          <w:highlight w:val="none"/>
          <w:lang w:val="en-US" w:eastAsia="zh-CN"/>
        </w:rPr>
        <w:t>结余分配</w:t>
      </w:r>
      <w:r>
        <w:rPr>
          <w:rFonts w:hint="eastAsia" w:ascii="仿宋_GB2312" w:hAnsi="仿宋_GB2312" w:eastAsia="仿宋_GB2312" w:cs="仿宋_GB2312"/>
          <w:color w:val="auto"/>
          <w:spacing w:val="0"/>
          <w:sz w:val="32"/>
          <w:szCs w:val="32"/>
          <w:highlight w:val="none"/>
          <w:lang w:eastAsia="zh-CN"/>
        </w:rPr>
        <w:t>0.00万元，年末结转和结余737.00万元。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val="en-US" w:eastAsia="zh-CN"/>
        </w:rPr>
        <w:t>收入支出总体与上年相比</w:t>
      </w:r>
      <w:r>
        <w:rPr>
          <w:rFonts w:hint="eastAsia" w:ascii="仿宋_GB2312" w:hAnsi="仿宋_GB2312" w:eastAsia="仿宋_GB2312" w:cs="仿宋_GB2312"/>
          <w:b/>
          <w:bCs/>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zh-CN" w:eastAsia="zh-CN"/>
        </w:rPr>
        <w:t>增加3,040.80万元</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zh-CN" w:eastAsia="zh-CN"/>
        </w:rPr>
        <w:t>增长44.61%</w:t>
      </w:r>
      <w:r>
        <w:rPr>
          <w:rFonts w:hint="eastAsia" w:ascii="仿宋_GB2312" w:hAnsi="仿宋_GB2312" w:eastAsia="仿宋_GB2312" w:cs="仿宋_GB2312"/>
          <w:color w:val="auto"/>
          <w:spacing w:val="0"/>
          <w:sz w:val="32"/>
          <w:szCs w:val="32"/>
          <w:highlight w:val="none"/>
          <w:lang w:eastAsia="zh-CN"/>
        </w:rPr>
        <w:t>，主要原因是：</w:t>
      </w:r>
      <w:r>
        <w:rPr>
          <w:rFonts w:hint="eastAsia" w:ascii="仿宋_GB2312" w:hAnsi="仿宋_GB2312" w:eastAsia="仿宋_GB2312" w:cs="仿宋_GB2312"/>
          <w:color w:val="auto"/>
          <w:sz w:val="32"/>
          <w:szCs w:val="32"/>
          <w:highlight w:val="none"/>
          <w:lang w:val="en-US" w:eastAsia="zh-CN"/>
        </w:rPr>
        <w:t>养老机构服务能力提升项目、支持乡村振兴公益事业发展项目、自治区“福康工程”项目等项目资金较上年增加。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rPr>
      </w:pPr>
      <w:bookmarkStart w:id="10" w:name="_Toc12142"/>
      <w:bookmarkStart w:id="11" w:name="_Toc1979"/>
      <w:r>
        <w:rPr>
          <w:rFonts w:hint="default" w:ascii="Times New Roman" w:hAnsi="Times New Roman" w:eastAsia="黑体" w:cs="Times New Roman"/>
          <w:bCs/>
          <w:color w:val="auto"/>
          <w:kern w:val="0"/>
          <w:sz w:val="32"/>
          <w:szCs w:val="32"/>
          <w:highlight w:val="none"/>
          <w:lang w:eastAsia="zh-CN"/>
        </w:rPr>
        <w:t>二、</w:t>
      </w:r>
      <w:r>
        <w:rPr>
          <w:rFonts w:hint="default" w:ascii="Times New Roman" w:hAnsi="Times New Roman" w:eastAsia="黑体" w:cs="Times New Roman"/>
          <w:bCs/>
          <w:color w:val="auto"/>
          <w:kern w:val="0"/>
          <w:sz w:val="32"/>
          <w:szCs w:val="32"/>
          <w:highlight w:val="none"/>
        </w:rPr>
        <w:t>收入</w:t>
      </w:r>
      <w:r>
        <w:rPr>
          <w:rFonts w:hint="default" w:ascii="Times New Roman" w:hAnsi="Times New Roman" w:eastAsia="黑体" w:cs="Times New Roman"/>
          <w:bCs/>
          <w:color w:val="auto"/>
          <w:kern w:val="0"/>
          <w:sz w:val="32"/>
          <w:szCs w:val="32"/>
          <w:highlight w:val="none"/>
          <w:lang w:eastAsia="zh-CN"/>
        </w:rPr>
        <w:t>决算</w:t>
      </w:r>
      <w:r>
        <w:rPr>
          <w:rFonts w:hint="default" w:ascii="Times New Roman" w:hAnsi="Times New Roman" w:eastAsia="黑体" w:cs="Times New Roman"/>
          <w:bCs/>
          <w:color w:val="auto"/>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本年收入</w:t>
      </w:r>
      <w:r>
        <w:rPr>
          <w:rFonts w:hint="eastAsia" w:ascii="仿宋_GB2312" w:hAnsi="仿宋_GB2312" w:eastAsia="仿宋_GB2312" w:cs="仿宋_GB2312"/>
          <w:b/>
          <w:bCs/>
          <w:color w:val="auto"/>
          <w:sz w:val="32"/>
          <w:szCs w:val="32"/>
          <w:highlight w:val="none"/>
          <w:lang w:eastAsia="zh-CN"/>
        </w:rPr>
        <w:t>8,643.45</w:t>
      </w:r>
      <w:r>
        <w:rPr>
          <w:rFonts w:hint="eastAsia" w:ascii="仿宋_GB2312" w:hAnsi="仿宋_GB2312" w:eastAsia="仿宋_GB2312" w:cs="仿宋_GB2312"/>
          <w:b/>
          <w:bCs/>
          <w:color w:val="auto"/>
          <w:sz w:val="32"/>
          <w:szCs w:val="32"/>
          <w:highlight w:val="none"/>
        </w:rPr>
        <w:t>万元，</w:t>
      </w:r>
      <w:r>
        <w:rPr>
          <w:rFonts w:hint="eastAsia" w:ascii="仿宋_GB2312" w:hAnsi="仿宋_GB2312" w:eastAsia="仿宋_GB2312" w:cs="仿宋_GB2312"/>
          <w:color w:val="auto"/>
          <w:sz w:val="32"/>
          <w:szCs w:val="32"/>
          <w:highlight w:val="none"/>
        </w:rPr>
        <w:t>其中：财政拨款收入</w:t>
      </w:r>
      <w:r>
        <w:rPr>
          <w:rFonts w:hint="eastAsia" w:ascii="仿宋_GB2312" w:hAnsi="仿宋_GB2312" w:eastAsia="仿宋_GB2312" w:cs="仿宋_GB2312"/>
          <w:color w:val="auto"/>
          <w:sz w:val="32"/>
          <w:szCs w:val="32"/>
          <w:highlight w:val="none"/>
          <w:lang w:val="zh-CN"/>
        </w:rPr>
        <w:t>8,481.77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zh-CN"/>
        </w:rPr>
        <w:t>98.13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；上级补助收入</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；事业收入</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；经营收入</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；其他收入</w:t>
      </w:r>
      <w:r>
        <w:rPr>
          <w:rFonts w:hint="eastAsia" w:ascii="仿宋_GB2312" w:hAnsi="仿宋_GB2312" w:eastAsia="仿宋_GB2312" w:cs="仿宋_GB2312"/>
          <w:color w:val="auto"/>
          <w:sz w:val="32"/>
          <w:szCs w:val="32"/>
          <w:highlight w:val="none"/>
          <w:lang w:val="zh-CN"/>
        </w:rPr>
        <w:t>161.68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zh-CN"/>
        </w:rPr>
        <w:t>1.87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12" w:name="_Toc13201"/>
      <w:bookmarkStart w:id="13" w:name="_Toc27961"/>
      <w:r>
        <w:rPr>
          <w:rFonts w:hint="default" w:ascii="Times New Roman" w:hAnsi="Times New Roman" w:eastAsia="黑体" w:cs="Times New Roman"/>
          <w:bCs/>
          <w:color w:val="auto"/>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bCs/>
          <w:color w:val="auto"/>
          <w:sz w:val="32"/>
          <w:szCs w:val="32"/>
          <w:highlight w:val="none"/>
          <w:lang w:val="zh-CN" w:eastAsia="zh-CN"/>
        </w:rPr>
        <w:t>本年支出9,120.96万元，</w:t>
      </w:r>
      <w:r>
        <w:rPr>
          <w:rFonts w:hint="eastAsia" w:ascii="仿宋_GB2312" w:hAnsi="仿宋_GB2312" w:eastAsia="仿宋_GB2312" w:cs="仿宋_GB2312"/>
          <w:color w:val="auto"/>
          <w:sz w:val="32"/>
          <w:szCs w:val="32"/>
          <w:highlight w:val="none"/>
          <w:lang w:val="zh-CN" w:eastAsia="zh-CN"/>
        </w:rPr>
        <w:t>其中：基本支出3,849.69万元，占42.21%；项目支出5,271.2</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zh-CN" w:eastAsia="zh-CN"/>
        </w:rPr>
        <w:t>万元，占57.79%；上缴上级支出0.00万元，占0.00%；经营支出0.00万元，占0.00%；对附属单位补助支出0.00万元，占0.00%。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14" w:name="_Toc4393"/>
      <w:bookmarkStart w:id="15" w:name="_Toc26564"/>
      <w:r>
        <w:rPr>
          <w:rFonts w:hint="default" w:ascii="Times New Roman" w:hAnsi="Times New Roman" w:eastAsia="黑体" w:cs="Times New Roman"/>
          <w:bCs/>
          <w:color w:val="auto"/>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eastAsia="zh-CN"/>
        </w:rPr>
        <w:t>2023年度财政拨款收入</w:t>
      </w:r>
      <w:r>
        <w:rPr>
          <w:rFonts w:hint="eastAsia" w:ascii="仿宋_GB2312" w:hAnsi="仿宋_GB2312" w:eastAsia="仿宋_GB2312" w:cs="仿宋_GB2312"/>
          <w:b/>
          <w:bCs/>
          <w:color w:val="auto"/>
          <w:spacing w:val="0"/>
          <w:sz w:val="32"/>
          <w:szCs w:val="32"/>
          <w:highlight w:val="none"/>
          <w:lang w:val="en-US" w:eastAsia="zh-CN"/>
        </w:rPr>
        <w:t>总计</w:t>
      </w:r>
      <w:r>
        <w:rPr>
          <w:rFonts w:hint="eastAsia" w:ascii="仿宋_GB2312" w:hAnsi="仿宋_GB2312" w:eastAsia="仿宋_GB2312" w:cs="仿宋_GB2312"/>
          <w:b/>
          <w:bCs/>
          <w:color w:val="auto"/>
          <w:spacing w:val="0"/>
          <w:sz w:val="32"/>
          <w:szCs w:val="32"/>
          <w:highlight w:val="none"/>
          <w:lang w:val="zh-CN" w:eastAsia="zh-CN"/>
        </w:rPr>
        <w:t>8,481.77</w:t>
      </w:r>
      <w:r>
        <w:rPr>
          <w:rFonts w:hint="eastAsia" w:ascii="仿宋_GB2312" w:hAnsi="仿宋_GB2312" w:eastAsia="仿宋_GB2312" w:cs="仿宋_GB2312"/>
          <w:b/>
          <w:bCs/>
          <w:color w:val="auto"/>
          <w:spacing w:val="0"/>
          <w:sz w:val="32"/>
          <w:szCs w:val="32"/>
          <w:highlight w:val="none"/>
          <w:lang w:eastAsia="zh-CN"/>
        </w:rPr>
        <w:t>万元，</w:t>
      </w:r>
      <w:r>
        <w:rPr>
          <w:rFonts w:hint="eastAsia" w:ascii="仿宋_GB2312" w:hAnsi="仿宋_GB2312" w:eastAsia="仿宋_GB2312" w:cs="仿宋_GB2312"/>
          <w:color w:val="auto"/>
          <w:spacing w:val="0"/>
          <w:sz w:val="32"/>
          <w:szCs w:val="32"/>
          <w:highlight w:val="none"/>
          <w:lang w:val="en-US" w:eastAsia="zh-CN"/>
        </w:rPr>
        <w:t>其中：年初财政拨款结转和结余</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万元，</w:t>
      </w:r>
      <w:r>
        <w:rPr>
          <w:rFonts w:hint="eastAsia" w:ascii="仿宋_GB2312" w:hAnsi="仿宋_GB2312" w:eastAsia="仿宋_GB2312" w:cs="仿宋_GB2312"/>
          <w:color w:val="auto"/>
          <w:spacing w:val="0"/>
          <w:sz w:val="32"/>
          <w:szCs w:val="32"/>
          <w:highlight w:val="none"/>
          <w:lang w:val="en-US" w:eastAsia="zh-CN"/>
        </w:rPr>
        <w:t>本年财政拨款收入</w:t>
      </w:r>
      <w:r>
        <w:rPr>
          <w:rFonts w:hint="eastAsia" w:ascii="仿宋_GB2312" w:hAnsi="仿宋_GB2312" w:eastAsia="仿宋_GB2312" w:cs="仿宋_GB2312"/>
          <w:color w:val="auto"/>
          <w:spacing w:val="0"/>
          <w:sz w:val="32"/>
          <w:szCs w:val="32"/>
          <w:highlight w:val="none"/>
          <w:lang w:val="zh-CN" w:eastAsia="zh-CN"/>
        </w:rPr>
        <w:t>8,481.77</w:t>
      </w:r>
      <w:r>
        <w:rPr>
          <w:rFonts w:hint="eastAsia" w:ascii="仿宋_GB2312" w:hAnsi="仿宋_GB2312" w:eastAsia="仿宋_GB2312" w:cs="仿宋_GB2312"/>
          <w:color w:val="auto"/>
          <w:spacing w:val="0"/>
          <w:sz w:val="32"/>
          <w:szCs w:val="32"/>
          <w:highlight w:val="none"/>
          <w:lang w:eastAsia="zh-CN"/>
        </w:rPr>
        <w:t>万元。</w:t>
      </w:r>
      <w:r>
        <w:rPr>
          <w:rFonts w:hint="eastAsia" w:ascii="仿宋_GB2312" w:hAnsi="仿宋_GB2312" w:eastAsia="仿宋_GB2312" w:cs="仿宋_GB2312"/>
          <w:b/>
          <w:bCs/>
          <w:color w:val="auto"/>
          <w:spacing w:val="0"/>
          <w:sz w:val="32"/>
          <w:szCs w:val="32"/>
          <w:highlight w:val="none"/>
          <w:lang w:eastAsia="zh-CN"/>
        </w:rPr>
        <w:t>财政拨款支出</w:t>
      </w:r>
      <w:r>
        <w:rPr>
          <w:rFonts w:hint="eastAsia" w:ascii="仿宋_GB2312" w:hAnsi="仿宋_GB2312" w:eastAsia="仿宋_GB2312" w:cs="仿宋_GB2312"/>
          <w:b/>
          <w:bCs/>
          <w:color w:val="auto"/>
          <w:spacing w:val="0"/>
          <w:sz w:val="32"/>
          <w:szCs w:val="32"/>
          <w:highlight w:val="none"/>
          <w:lang w:val="en-US" w:eastAsia="zh-CN"/>
        </w:rPr>
        <w:t>总计</w:t>
      </w:r>
      <w:r>
        <w:rPr>
          <w:rFonts w:hint="eastAsia" w:ascii="仿宋_GB2312" w:hAnsi="仿宋_GB2312" w:eastAsia="仿宋_GB2312" w:cs="仿宋_GB2312"/>
          <w:b/>
          <w:bCs/>
          <w:color w:val="auto"/>
          <w:spacing w:val="0"/>
          <w:sz w:val="32"/>
          <w:szCs w:val="32"/>
          <w:highlight w:val="none"/>
          <w:lang w:val="zh-CN" w:eastAsia="zh-CN"/>
        </w:rPr>
        <w:t>8,481.77</w:t>
      </w:r>
      <w:r>
        <w:rPr>
          <w:rFonts w:hint="eastAsia" w:ascii="仿宋_GB2312" w:hAnsi="仿宋_GB2312" w:eastAsia="仿宋_GB2312" w:cs="仿宋_GB2312"/>
          <w:b/>
          <w:bCs/>
          <w:color w:val="auto"/>
          <w:spacing w:val="0"/>
          <w:sz w:val="32"/>
          <w:szCs w:val="32"/>
          <w:highlight w:val="none"/>
          <w:lang w:eastAsia="zh-CN"/>
        </w:rPr>
        <w:t>万元，</w:t>
      </w:r>
      <w:r>
        <w:rPr>
          <w:rFonts w:hint="eastAsia" w:ascii="仿宋_GB2312" w:hAnsi="仿宋_GB2312" w:eastAsia="仿宋_GB2312" w:cs="仿宋_GB2312"/>
          <w:color w:val="auto"/>
          <w:spacing w:val="0"/>
          <w:sz w:val="32"/>
          <w:szCs w:val="32"/>
          <w:highlight w:val="none"/>
          <w:lang w:val="en-US" w:eastAsia="zh-CN"/>
        </w:rPr>
        <w:t>其中：年末财政拨款结转和结余</w:t>
      </w:r>
      <w:r>
        <w:rPr>
          <w:rFonts w:hint="eastAsia" w:ascii="仿宋_GB2312" w:hAnsi="仿宋_GB2312" w:eastAsia="仿宋_GB2312" w:cs="仿宋_GB2312"/>
          <w:color w:val="auto"/>
          <w:spacing w:val="0"/>
          <w:sz w:val="32"/>
          <w:szCs w:val="32"/>
          <w:highlight w:val="none"/>
          <w:lang w:val="zh-CN" w:eastAsia="zh-CN"/>
        </w:rPr>
        <w:t>0.00</w:t>
      </w:r>
      <w:r>
        <w:rPr>
          <w:rFonts w:hint="eastAsia" w:ascii="仿宋_GB2312" w:hAnsi="仿宋_GB2312" w:eastAsia="仿宋_GB2312" w:cs="仿宋_GB2312"/>
          <w:color w:val="auto"/>
          <w:spacing w:val="0"/>
          <w:sz w:val="32"/>
          <w:szCs w:val="32"/>
          <w:highlight w:val="none"/>
          <w:lang w:eastAsia="zh-CN"/>
        </w:rPr>
        <w:t>万元，</w:t>
      </w:r>
      <w:r>
        <w:rPr>
          <w:rFonts w:hint="eastAsia" w:ascii="仿宋_GB2312" w:hAnsi="仿宋_GB2312" w:eastAsia="仿宋_GB2312" w:cs="仿宋_GB2312"/>
          <w:color w:val="auto"/>
          <w:spacing w:val="0"/>
          <w:sz w:val="32"/>
          <w:szCs w:val="32"/>
          <w:highlight w:val="none"/>
          <w:lang w:val="en-US" w:eastAsia="zh-CN"/>
        </w:rPr>
        <w:t>本年财政拨款支出</w:t>
      </w:r>
      <w:r>
        <w:rPr>
          <w:rFonts w:hint="eastAsia" w:ascii="仿宋_GB2312" w:hAnsi="仿宋_GB2312" w:eastAsia="仿宋_GB2312" w:cs="仿宋_GB2312"/>
          <w:color w:val="auto"/>
          <w:spacing w:val="0"/>
          <w:sz w:val="32"/>
          <w:szCs w:val="32"/>
          <w:highlight w:val="none"/>
          <w:lang w:val="zh-CN" w:eastAsia="zh-CN"/>
        </w:rPr>
        <w:t>8,481.77</w:t>
      </w:r>
      <w:r>
        <w:rPr>
          <w:rFonts w:hint="eastAsia" w:ascii="仿宋_GB2312" w:hAnsi="仿宋_GB2312" w:eastAsia="仿宋_GB2312" w:cs="仿宋_GB2312"/>
          <w:color w:val="auto"/>
          <w:spacing w:val="0"/>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auto"/>
          <w:spacing w:val="0"/>
          <w:sz w:val="32"/>
          <w:szCs w:val="32"/>
          <w:highlight w:val="yellow"/>
          <w:lang w:val="en-US" w:eastAsia="zh-CN"/>
        </w:rPr>
      </w:pPr>
      <w:r>
        <w:rPr>
          <w:rFonts w:hint="eastAsia" w:ascii="仿宋_GB2312" w:hAnsi="仿宋_GB2312" w:eastAsia="仿宋_GB2312" w:cs="仿宋_GB2312"/>
          <w:b/>
          <w:bCs/>
          <w:color w:val="auto"/>
          <w:spacing w:val="0"/>
          <w:sz w:val="32"/>
          <w:szCs w:val="32"/>
          <w:highlight w:val="none"/>
          <w:lang w:eastAsia="zh-CN"/>
        </w:rPr>
        <w:t>财政拨款收入支出总体与上年相比</w:t>
      </w:r>
      <w:r>
        <w:rPr>
          <w:rFonts w:hint="eastAsia" w:ascii="仿宋_GB2312" w:hAnsi="仿宋_GB2312" w:eastAsia="仿宋_GB2312" w:cs="仿宋_GB2312"/>
          <w:b/>
          <w:bCs/>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val="zh-CN" w:eastAsia="zh-CN"/>
        </w:rPr>
        <w:t>增加3,041.74万元</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zh-CN" w:eastAsia="zh-CN"/>
        </w:rPr>
        <w:t>增长55.91%，</w:t>
      </w:r>
      <w:r>
        <w:rPr>
          <w:rFonts w:hint="eastAsia" w:ascii="仿宋_GB2312" w:hAnsi="仿宋_GB2312" w:eastAsia="仿宋_GB2312" w:cs="仿宋_GB2312"/>
          <w:color w:val="auto"/>
          <w:spacing w:val="0"/>
          <w:sz w:val="32"/>
          <w:szCs w:val="32"/>
          <w:highlight w:val="none"/>
          <w:lang w:eastAsia="zh-CN"/>
        </w:rPr>
        <w:t>主要原因是：</w:t>
      </w:r>
      <w:r>
        <w:rPr>
          <w:rFonts w:hint="eastAsia" w:ascii="仿宋_GB2312" w:hAnsi="仿宋_GB2312" w:eastAsia="仿宋_GB2312" w:cs="仿宋_GB2312"/>
          <w:color w:val="auto"/>
          <w:sz w:val="32"/>
          <w:szCs w:val="32"/>
          <w:highlight w:val="none"/>
          <w:lang w:val="en-US" w:eastAsia="zh-CN"/>
        </w:rPr>
        <w:t>养老机构服务能力提升项目、支持乡村振兴公益事业发展项目、自治区“福康工程”项目等项目资金较上年增加。</w:t>
      </w:r>
      <w:r>
        <w:rPr>
          <w:rFonts w:hint="eastAsia" w:ascii="仿宋_GB2312" w:hAnsi="仿宋_GB2312" w:eastAsia="仿宋_GB2312" w:cs="仿宋_GB2312"/>
          <w:b/>
          <w:bCs/>
          <w:color w:val="auto"/>
          <w:spacing w:val="0"/>
          <w:sz w:val="32"/>
          <w:szCs w:val="32"/>
          <w:highlight w:val="none"/>
          <w:lang w:eastAsia="zh-CN"/>
        </w:rPr>
        <w:t>与年初预算相比，</w:t>
      </w:r>
      <w:r>
        <w:rPr>
          <w:rFonts w:hint="eastAsia" w:ascii="仿宋_GB2312" w:hAnsi="仿宋_GB2312" w:eastAsia="仿宋_GB2312" w:cs="仿宋_GB2312"/>
          <w:color w:val="auto"/>
          <w:spacing w:val="0"/>
          <w:sz w:val="32"/>
          <w:szCs w:val="32"/>
          <w:highlight w:val="none"/>
          <w:lang w:eastAsia="zh-CN"/>
        </w:rPr>
        <w:t>年初预算数</w:t>
      </w:r>
      <w:r>
        <w:rPr>
          <w:rFonts w:hint="eastAsia" w:ascii="仿宋_GB2312" w:hAnsi="仿宋_GB2312" w:eastAsia="仿宋_GB2312" w:cs="仿宋_GB2312"/>
          <w:color w:val="auto"/>
          <w:spacing w:val="0"/>
          <w:sz w:val="32"/>
          <w:szCs w:val="32"/>
          <w:highlight w:val="none"/>
          <w:lang w:val="zh-CN" w:eastAsia="zh-CN"/>
        </w:rPr>
        <w:t>7,906.20</w:t>
      </w:r>
      <w:r>
        <w:rPr>
          <w:rFonts w:hint="eastAsia" w:ascii="仿宋_GB2312" w:hAnsi="仿宋_GB2312" w:eastAsia="仿宋_GB2312" w:cs="仿宋_GB2312"/>
          <w:color w:val="auto"/>
          <w:spacing w:val="0"/>
          <w:sz w:val="32"/>
          <w:szCs w:val="32"/>
          <w:highlight w:val="none"/>
          <w:lang w:eastAsia="zh-CN"/>
        </w:rPr>
        <w:t>万元，决算数</w:t>
      </w:r>
      <w:r>
        <w:rPr>
          <w:rFonts w:hint="eastAsia" w:ascii="仿宋_GB2312" w:hAnsi="仿宋_GB2312" w:eastAsia="仿宋_GB2312" w:cs="仿宋_GB2312"/>
          <w:color w:val="auto"/>
          <w:spacing w:val="0"/>
          <w:sz w:val="32"/>
          <w:szCs w:val="32"/>
          <w:highlight w:val="none"/>
          <w:lang w:val="zh-CN" w:eastAsia="zh-CN"/>
        </w:rPr>
        <w:t>8,481.77</w:t>
      </w:r>
      <w:r>
        <w:rPr>
          <w:rFonts w:hint="eastAsia" w:ascii="仿宋_GB2312" w:hAnsi="仿宋_GB2312" w:eastAsia="仿宋_GB2312" w:cs="仿宋_GB2312"/>
          <w:color w:val="auto"/>
          <w:spacing w:val="0"/>
          <w:sz w:val="32"/>
          <w:szCs w:val="32"/>
          <w:highlight w:val="none"/>
          <w:lang w:eastAsia="zh-CN"/>
        </w:rPr>
        <w:t>万元，预决算差异率7.28%，主要原因是：</w:t>
      </w:r>
      <w:r>
        <w:rPr>
          <w:rFonts w:hint="eastAsia" w:ascii="仿宋_GB2312" w:hAnsi="仿宋_GB2312" w:eastAsia="仿宋_GB2312" w:cs="仿宋_GB2312"/>
          <w:color w:val="auto"/>
          <w:sz w:val="32"/>
          <w:szCs w:val="32"/>
        </w:rPr>
        <w:t>追加人员经费，如人员晋升、退休人员职业年金、丧葬抚恤金、“访惠聚”驻村专项经费等。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16" w:name="_Toc20360"/>
      <w:bookmarkStart w:id="17" w:name="_Toc13833"/>
      <w:r>
        <w:rPr>
          <w:rFonts w:hint="default" w:ascii="Times New Roman" w:hAnsi="Times New Roman" w:eastAsia="黑体" w:cs="Times New Roman"/>
          <w:bCs/>
          <w:color w:val="auto"/>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pacing w:val="0"/>
          <w:sz w:val="32"/>
          <w:szCs w:val="32"/>
          <w:highlight w:val="yellow"/>
          <w:lang w:val="en-US" w:eastAsia="zh-CN"/>
        </w:rPr>
      </w:pPr>
      <w:r>
        <w:rPr>
          <w:rFonts w:hint="eastAsia" w:ascii="仿宋_GB2312" w:hAnsi="仿宋_GB2312" w:eastAsia="仿宋_GB2312" w:cs="仿宋_GB2312"/>
          <w:b/>
          <w:bCs/>
          <w:color w:val="auto"/>
          <w:spacing w:val="0"/>
          <w:sz w:val="32"/>
          <w:szCs w:val="32"/>
          <w:highlight w:val="none"/>
          <w:lang w:eastAsia="zh-CN"/>
        </w:rPr>
        <w:t>2023年度一般公共预算财政拨款支出4,543.01万元，</w:t>
      </w:r>
      <w:r>
        <w:rPr>
          <w:rFonts w:hint="eastAsia" w:ascii="仿宋_GB2312" w:hAnsi="仿宋_GB2312" w:eastAsia="仿宋_GB2312" w:cs="仿宋_GB2312"/>
          <w:color w:val="auto"/>
          <w:spacing w:val="0"/>
          <w:sz w:val="32"/>
          <w:szCs w:val="32"/>
          <w:highlight w:val="none"/>
          <w:lang w:eastAsia="zh-CN"/>
        </w:rPr>
        <w:t>占本年支出合计的</w:t>
      </w:r>
      <w:r>
        <w:rPr>
          <w:rFonts w:hint="eastAsia" w:ascii="仿宋_GB2312" w:hAnsi="仿宋_GB2312" w:eastAsia="仿宋_GB2312" w:cs="仿宋_GB2312"/>
          <w:color w:val="auto"/>
          <w:spacing w:val="0"/>
          <w:sz w:val="32"/>
          <w:szCs w:val="32"/>
          <w:highlight w:val="none"/>
          <w:lang w:val="zh-CN" w:eastAsia="zh-CN"/>
        </w:rPr>
        <w:t>49.81%</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b/>
          <w:bCs/>
          <w:color w:val="auto"/>
          <w:spacing w:val="0"/>
          <w:sz w:val="32"/>
          <w:szCs w:val="32"/>
          <w:highlight w:val="none"/>
          <w:lang w:eastAsia="zh-CN"/>
        </w:rPr>
        <w:t>与上年相比，</w:t>
      </w:r>
      <w:r>
        <w:rPr>
          <w:rFonts w:hint="eastAsia" w:ascii="仿宋_GB2312" w:hAnsi="仿宋_GB2312" w:eastAsia="仿宋_GB2312" w:cs="仿宋_GB2312"/>
          <w:color w:val="auto"/>
          <w:spacing w:val="0"/>
          <w:sz w:val="32"/>
          <w:szCs w:val="32"/>
          <w:highlight w:val="none"/>
          <w:lang w:val="zh-CN" w:eastAsia="zh-CN"/>
        </w:rPr>
        <w:t>减少330.78万元</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zh-CN" w:eastAsia="zh-CN"/>
        </w:rPr>
        <w:t>下降6.79%，</w:t>
      </w:r>
      <w:r>
        <w:rPr>
          <w:rFonts w:hint="eastAsia" w:ascii="仿宋_GB2312" w:hAnsi="仿宋_GB2312" w:eastAsia="仿宋_GB2312" w:cs="仿宋_GB2312"/>
          <w:color w:val="auto"/>
          <w:spacing w:val="0"/>
          <w:sz w:val="32"/>
          <w:szCs w:val="32"/>
          <w:highlight w:val="none"/>
          <w:lang w:eastAsia="zh-CN"/>
        </w:rPr>
        <w:t>主要原因是：</w:t>
      </w:r>
      <w:r>
        <w:rPr>
          <w:rFonts w:hint="eastAsia" w:ascii="仿宋_GB2312" w:hAnsi="仿宋_GB2312" w:eastAsia="仿宋_GB2312" w:cs="仿宋_GB2312"/>
          <w:color w:val="auto"/>
          <w:kern w:val="2"/>
          <w:sz w:val="32"/>
          <w:szCs w:val="32"/>
          <w:highlight w:val="none"/>
          <w:lang w:val="en-US" w:eastAsia="zh-CN" w:bidi="ar-SA"/>
        </w:rPr>
        <w:t>2022AKTD工程项目资金已执行完毕，2023年预算未安排此项目，经费支出较上年减少</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b/>
          <w:bCs/>
          <w:color w:val="auto"/>
          <w:spacing w:val="0"/>
          <w:sz w:val="32"/>
          <w:szCs w:val="32"/>
          <w:highlight w:val="none"/>
          <w:lang w:eastAsia="zh-CN"/>
        </w:rPr>
        <w:t>与年初预算相比，</w:t>
      </w:r>
      <w:r>
        <w:rPr>
          <w:rFonts w:hint="eastAsia" w:ascii="仿宋_GB2312" w:hAnsi="仿宋_GB2312" w:eastAsia="仿宋_GB2312" w:cs="仿宋_GB2312"/>
          <w:color w:val="auto"/>
          <w:spacing w:val="0"/>
          <w:sz w:val="32"/>
          <w:szCs w:val="32"/>
          <w:highlight w:val="none"/>
          <w:lang w:eastAsia="zh-CN"/>
        </w:rPr>
        <w:t>年初预算数</w:t>
      </w:r>
      <w:r>
        <w:rPr>
          <w:rFonts w:hint="eastAsia" w:ascii="仿宋_GB2312" w:hAnsi="仿宋_GB2312" w:eastAsia="仿宋_GB2312" w:cs="仿宋_GB2312"/>
          <w:color w:val="auto"/>
          <w:spacing w:val="0"/>
          <w:sz w:val="32"/>
          <w:szCs w:val="32"/>
          <w:highlight w:val="none"/>
          <w:lang w:val="zh-CN" w:eastAsia="zh-CN"/>
        </w:rPr>
        <w:t>3,967.44</w:t>
      </w:r>
      <w:r>
        <w:rPr>
          <w:rFonts w:hint="eastAsia" w:ascii="仿宋_GB2312" w:hAnsi="仿宋_GB2312" w:eastAsia="仿宋_GB2312" w:cs="仿宋_GB2312"/>
          <w:color w:val="auto"/>
          <w:spacing w:val="0"/>
          <w:sz w:val="32"/>
          <w:szCs w:val="32"/>
          <w:highlight w:val="none"/>
          <w:lang w:eastAsia="zh-CN"/>
        </w:rPr>
        <w:t>万元，决算数</w:t>
      </w:r>
      <w:r>
        <w:rPr>
          <w:rFonts w:hint="eastAsia" w:ascii="仿宋_GB2312" w:hAnsi="仿宋_GB2312" w:eastAsia="仿宋_GB2312" w:cs="仿宋_GB2312"/>
          <w:color w:val="auto"/>
          <w:spacing w:val="0"/>
          <w:sz w:val="32"/>
          <w:szCs w:val="32"/>
          <w:highlight w:val="none"/>
          <w:lang w:val="zh-CN" w:eastAsia="zh-CN"/>
        </w:rPr>
        <w:t>4,543.01</w:t>
      </w:r>
      <w:r>
        <w:rPr>
          <w:rFonts w:hint="eastAsia" w:ascii="仿宋_GB2312" w:hAnsi="仿宋_GB2312" w:eastAsia="仿宋_GB2312" w:cs="仿宋_GB2312"/>
          <w:color w:val="auto"/>
          <w:spacing w:val="0"/>
          <w:sz w:val="32"/>
          <w:szCs w:val="32"/>
          <w:highlight w:val="none"/>
          <w:lang w:eastAsia="zh-CN"/>
        </w:rPr>
        <w:t>万元，预决算差异</w:t>
      </w:r>
      <w:r>
        <w:rPr>
          <w:rFonts w:hint="eastAsia" w:ascii="仿宋_GB2312" w:hAnsi="仿宋_GB2312" w:eastAsia="仿宋_GB2312" w:cs="仿宋_GB2312"/>
          <w:color w:val="auto"/>
          <w:spacing w:val="0"/>
          <w:sz w:val="32"/>
          <w:szCs w:val="32"/>
          <w:highlight w:val="none"/>
          <w:lang w:val="en-US" w:eastAsia="zh-CN"/>
        </w:rPr>
        <w:t>率</w:t>
      </w:r>
      <w:r>
        <w:rPr>
          <w:rFonts w:hint="eastAsia" w:ascii="仿宋_GB2312" w:hAnsi="仿宋_GB2312" w:eastAsia="仿宋_GB2312" w:cs="仿宋_GB2312"/>
          <w:color w:val="auto"/>
          <w:spacing w:val="0"/>
          <w:sz w:val="32"/>
          <w:szCs w:val="32"/>
          <w:highlight w:val="none"/>
          <w:lang w:val="zh-CN" w:eastAsia="zh-CN"/>
        </w:rPr>
        <w:t>14.51%</w:t>
      </w:r>
      <w:r>
        <w:rPr>
          <w:rFonts w:hint="eastAsia" w:ascii="仿宋_GB2312" w:hAnsi="仿宋_GB2312" w:eastAsia="仿宋_GB2312" w:cs="仿宋_GB2312"/>
          <w:color w:val="auto"/>
          <w:spacing w:val="0"/>
          <w:sz w:val="32"/>
          <w:szCs w:val="32"/>
          <w:highlight w:val="none"/>
          <w:lang w:eastAsia="zh-CN"/>
        </w:rPr>
        <w:t>，主要原因是：</w:t>
      </w:r>
      <w:r>
        <w:rPr>
          <w:rFonts w:hint="eastAsia" w:ascii="仿宋_GB2312" w:hAnsi="仿宋_GB2312" w:eastAsia="仿宋_GB2312" w:cs="仿宋_GB2312"/>
          <w:color w:val="auto"/>
          <w:sz w:val="32"/>
          <w:szCs w:val="32"/>
        </w:rPr>
        <w:t>追加人员经费，如人员晋升、退休人员职业年金、丧葬抚恤金、“访惠聚”驻村专项经费等。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2"/>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eastAsia="zh-CN"/>
        </w:rPr>
        <w:t>）一般公共预算</w:t>
      </w:r>
      <w:r>
        <w:rPr>
          <w:rFonts w:hint="default" w:ascii="Times New Roman" w:hAnsi="Times New Roman" w:eastAsia="黑体" w:cs="Times New Roman"/>
          <w:color w:val="auto"/>
          <w:sz w:val="32"/>
          <w:szCs w:val="32"/>
          <w:highlight w:val="none"/>
          <w:lang w:val="en-US" w:eastAsia="zh-CN"/>
        </w:rPr>
        <w:t>财政拨款支出决算</w:t>
      </w:r>
      <w:r>
        <w:rPr>
          <w:rFonts w:hint="default" w:ascii="Times New Roman" w:hAnsi="Times New Roman" w:eastAsia="黑体" w:cs="Times New Roman"/>
          <w:color w:val="auto"/>
          <w:sz w:val="32"/>
          <w:szCs w:val="32"/>
          <w:highlight w:val="none"/>
          <w:lang w:eastAsia="zh-CN"/>
        </w:rPr>
        <w:t>结构情况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zh-CN" w:eastAsia="zh-CN" w:bidi="ar-SA"/>
        </w:rPr>
      </w:pPr>
      <w:r>
        <w:rPr>
          <w:rFonts w:hint="eastAsia" w:ascii="仿宋_GB2312" w:hAnsi="仿宋_GB2312" w:eastAsia="仿宋_GB2312" w:cs="仿宋_GB2312"/>
          <w:color w:val="auto"/>
          <w:spacing w:val="0"/>
          <w:kern w:val="2"/>
          <w:sz w:val="32"/>
          <w:szCs w:val="32"/>
          <w:highlight w:val="none"/>
          <w:lang w:val="en-US" w:eastAsia="zh-CN" w:bidi="ar-SA"/>
        </w:rPr>
        <w:t>1</w:t>
      </w:r>
      <w:r>
        <w:rPr>
          <w:rFonts w:hint="eastAsia" w:ascii="仿宋_GB2312" w:hAnsi="仿宋_GB2312" w:eastAsia="仿宋_GB2312" w:cs="仿宋_GB2312"/>
          <w:color w:val="auto"/>
          <w:spacing w:val="0"/>
          <w:kern w:val="2"/>
          <w:sz w:val="32"/>
          <w:szCs w:val="32"/>
          <w:highlight w:val="none"/>
          <w:lang w:val="zh-CN" w:eastAsia="zh-CN" w:bidi="ar-SA"/>
        </w:rPr>
        <w:t>.社会保障和就业支出（类）4,130.27万元，占90.91%。</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ascii="仿宋_GB2312" w:hAnsi="仿宋_GB2312" w:eastAsia="仿宋_GB2312" w:cs="仿宋_GB2312"/>
          <w:color w:val="auto"/>
          <w:spacing w:val="0"/>
          <w:kern w:val="2"/>
          <w:sz w:val="32"/>
          <w:szCs w:val="32"/>
          <w:highlight w:val="none"/>
          <w:lang w:val="zh-CN" w:eastAsia="zh-CN" w:bidi="ar-SA"/>
        </w:rPr>
      </w:pPr>
      <w:r>
        <w:rPr>
          <w:rFonts w:hint="eastAsia" w:ascii="仿宋_GB2312" w:hAnsi="仿宋_GB2312" w:eastAsia="仿宋_GB2312" w:cs="仿宋_GB2312"/>
          <w:color w:val="auto"/>
          <w:spacing w:val="0"/>
          <w:kern w:val="2"/>
          <w:sz w:val="32"/>
          <w:szCs w:val="32"/>
          <w:highlight w:val="none"/>
          <w:lang w:val="en-US" w:eastAsia="zh-CN" w:bidi="ar-SA"/>
        </w:rPr>
        <w:t>2</w:t>
      </w:r>
      <w:r>
        <w:rPr>
          <w:rFonts w:hint="eastAsia" w:ascii="仿宋_GB2312" w:hAnsi="仿宋_GB2312" w:eastAsia="仿宋_GB2312" w:cs="仿宋_GB2312"/>
          <w:color w:val="auto"/>
          <w:spacing w:val="0"/>
          <w:kern w:val="2"/>
          <w:sz w:val="32"/>
          <w:szCs w:val="32"/>
          <w:highlight w:val="none"/>
          <w:lang w:val="zh-CN" w:eastAsia="zh-CN" w:bidi="ar-SA"/>
        </w:rPr>
        <w:t>.卫生健康支出（类）225.84万元，占4.97%。</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Times New Roman" w:hAnsi="Times New Roman" w:eastAsia="仿宋_GB2312" w:cs="Times New Roman"/>
          <w:color w:val="auto"/>
          <w:spacing w:val="0"/>
          <w:kern w:val="2"/>
          <w:sz w:val="32"/>
          <w:szCs w:val="32"/>
          <w:highlight w:val="none"/>
          <w:lang w:val="zh-CN" w:eastAsia="zh-CN" w:bidi="ar-SA"/>
        </w:rPr>
      </w:pPr>
      <w:r>
        <w:rPr>
          <w:rFonts w:hint="eastAsia" w:ascii="仿宋_GB2312" w:hAnsi="仿宋_GB2312" w:eastAsia="仿宋_GB2312" w:cs="仿宋_GB2312"/>
          <w:color w:val="auto"/>
          <w:spacing w:val="0"/>
          <w:kern w:val="2"/>
          <w:sz w:val="32"/>
          <w:szCs w:val="32"/>
          <w:highlight w:val="none"/>
          <w:lang w:val="en-US" w:eastAsia="zh-CN" w:bidi="ar-SA"/>
        </w:rPr>
        <w:t>3.</w:t>
      </w:r>
      <w:r>
        <w:rPr>
          <w:rFonts w:hint="eastAsia" w:ascii="仿宋_GB2312" w:hAnsi="仿宋_GB2312" w:eastAsia="仿宋_GB2312" w:cs="仿宋_GB2312"/>
          <w:color w:val="auto"/>
          <w:spacing w:val="0"/>
          <w:kern w:val="2"/>
          <w:sz w:val="32"/>
          <w:szCs w:val="32"/>
          <w:highlight w:val="none"/>
          <w:lang w:val="zh-CN" w:eastAsia="zh-CN" w:bidi="ar-SA"/>
        </w:rPr>
        <w:t>住房保障支出（类）186.90万元，占4.1</w:t>
      </w:r>
      <w:r>
        <w:rPr>
          <w:rFonts w:hint="eastAsia" w:ascii="仿宋_GB2312" w:hAnsi="仿宋_GB2312" w:eastAsia="仿宋_GB2312" w:cs="仿宋_GB2312"/>
          <w:color w:val="auto"/>
          <w:spacing w:val="0"/>
          <w:kern w:val="2"/>
          <w:sz w:val="32"/>
          <w:szCs w:val="32"/>
          <w:highlight w:val="none"/>
          <w:lang w:val="en-US" w:eastAsia="zh-CN" w:bidi="ar-SA"/>
        </w:rPr>
        <w:t>2</w:t>
      </w:r>
      <w:r>
        <w:rPr>
          <w:rFonts w:hint="eastAsia" w:ascii="仿宋_GB2312" w:hAnsi="仿宋_GB2312" w:eastAsia="仿宋_GB2312" w:cs="仿宋_GB2312"/>
          <w:color w:val="auto"/>
          <w:spacing w:val="0"/>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社会保障和就业支出（类）民政管理事务（款）行政运行（项）:支出决算数为2,375.78万元，比上年决算增加58.68万元，增长2.53%，主要原因是：在职</w:t>
      </w:r>
      <w:r>
        <w:rPr>
          <w:rFonts w:hint="eastAsia" w:ascii="仿宋_GB2312" w:hAnsi="仿宋_GB2312" w:eastAsia="仿宋_GB2312" w:cs="仿宋_GB2312"/>
          <w:color w:val="auto"/>
          <w:spacing w:val="0"/>
          <w:sz w:val="32"/>
          <w:szCs w:val="32"/>
          <w:highlight w:val="none"/>
          <w:lang w:val="en-US" w:eastAsia="zh-CN"/>
        </w:rPr>
        <w:t>人员职级正常晋升，经费支出较上年增加</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社会保障和就业支出（类）民政管理事务（款）机关服务（项）:支出决算数为392.31万元，比上年决算增加2.31万元，增长0.59%，主要原因是：在职</w:t>
      </w:r>
      <w:r>
        <w:rPr>
          <w:rFonts w:hint="eastAsia" w:ascii="仿宋_GB2312" w:hAnsi="仿宋_GB2312" w:eastAsia="仿宋_GB2312" w:cs="仿宋_GB2312"/>
          <w:color w:val="auto"/>
          <w:spacing w:val="0"/>
          <w:sz w:val="32"/>
          <w:szCs w:val="32"/>
          <w:highlight w:val="none"/>
          <w:lang w:val="en-US" w:eastAsia="zh-CN"/>
        </w:rPr>
        <w:t>人员职级正常晋升，经费支出较上年增加</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spacing w:val="0"/>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社会保障和就业支出（类）民政管理事务（款）其他民政管理事务支出（项）:支出决算数为695.00万元，比上年决算减少341.37万元，下降32.94%，主要原因是：2022AKTD工程项目资金已执行完毕，2023年预算未安排此项目，支出较上年减少</w:t>
      </w:r>
      <w:r>
        <w:rPr>
          <w:rFonts w:hint="eastAsia" w:ascii="仿宋_GB2312" w:hAnsi="仿宋_GB2312" w:eastAsia="仿宋_GB2312" w:cs="仿宋_GB2312"/>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highlight w:val="yellow"/>
          <w:lang w:val="zh-CN" w:eastAsia="zh-CN" w:bidi="ar-SA"/>
        </w:rPr>
      </w:pPr>
      <w:r>
        <w:rPr>
          <w:rFonts w:hint="eastAsia" w:ascii="仿宋_GB2312" w:hAnsi="仿宋_GB2312" w:eastAsia="仿宋_GB2312" w:cs="仿宋_GB2312"/>
          <w:color w:val="auto"/>
          <w:spacing w:val="0"/>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社会保障和就业支出（类）行政事业单位养老支出（款）行政单位离退休（项）:支出决算数为383.54万元，比上年决算减少145.31万元，下降27.48%，主要原因是：2023年按照自治区财政通知要求退回离退休人员医疗费补助，支出较上年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spacing w:val="0"/>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社会保障和就业支出（类）行政事业单位养老支出（款）机关事业单位基本养老保险缴费支出（项）:支出决算数为249.20万元，比上年决算增加45.16万元，增长22.13%，主要原因是：在职</w:t>
      </w:r>
      <w:r>
        <w:rPr>
          <w:rFonts w:hint="eastAsia" w:ascii="仿宋_GB2312" w:hAnsi="仿宋_GB2312" w:eastAsia="仿宋_GB2312" w:cs="仿宋_GB2312"/>
          <w:color w:val="auto"/>
          <w:spacing w:val="0"/>
          <w:sz w:val="32"/>
          <w:szCs w:val="32"/>
          <w:highlight w:val="none"/>
          <w:lang w:val="en-US" w:eastAsia="zh-CN"/>
        </w:rPr>
        <w:t>人员职级正常晋升，养老保险基数调整，经费支出较上年增加</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spacing w:val="0"/>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en-US" w:eastAsia="zh-CN" w:bidi="ar-SA"/>
        </w:rPr>
        <w:t>社会保障和就业支出（类）行政事业单位养老支出（款）机关事业单位职业年金缴费支出（项）:支出决算数为34.44万元，比上年决算减少14.07万元，下降29.00%，主要原因是：在职转退休人员较上年减少，经费支出较上年减少</w:t>
      </w:r>
      <w:r>
        <w:rPr>
          <w:rFonts w:hint="eastAsia" w:ascii="仿宋_GB2312" w:hAnsi="仿宋_GB2312" w:eastAsia="仿宋_GB2312" w:cs="仿宋_GB2312"/>
          <w:color w:val="auto"/>
          <w:kern w:val="2"/>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bidi="ar-SA"/>
        </w:rPr>
        <w:t>7.</w:t>
      </w:r>
      <w:r>
        <w:rPr>
          <w:rFonts w:hint="eastAsia" w:ascii="仿宋_GB2312" w:hAnsi="仿宋_GB2312" w:eastAsia="仿宋_GB2312" w:cs="仿宋_GB2312"/>
          <w:color w:val="auto"/>
          <w:kern w:val="2"/>
          <w:sz w:val="32"/>
          <w:szCs w:val="32"/>
          <w:highlight w:val="none"/>
          <w:lang w:val="en-US" w:eastAsia="zh-CN" w:bidi="ar-SA"/>
        </w:rPr>
        <w:t>卫生健康支出（类）行政事业单位医疗（款）行政单位医疗（项）:支出决算数为93.48万元，比上年决算增加4.41万元，增长4.95%，主要原因是：在职</w:t>
      </w:r>
      <w:r>
        <w:rPr>
          <w:rFonts w:hint="eastAsia" w:ascii="仿宋_GB2312" w:hAnsi="仿宋_GB2312" w:eastAsia="仿宋_GB2312" w:cs="仿宋_GB2312"/>
          <w:color w:val="auto"/>
          <w:spacing w:val="0"/>
          <w:sz w:val="32"/>
          <w:szCs w:val="32"/>
          <w:highlight w:val="none"/>
          <w:lang w:val="en-US" w:eastAsia="zh-CN"/>
        </w:rPr>
        <w:t>人员职级正常晋升，医疗保险基数调整，经费支出较上年增加</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bidi="ar-SA"/>
        </w:rPr>
        <w:t>8.</w:t>
      </w:r>
      <w:r>
        <w:rPr>
          <w:rFonts w:hint="eastAsia" w:ascii="仿宋_GB2312" w:hAnsi="仿宋_GB2312" w:eastAsia="仿宋_GB2312" w:cs="仿宋_GB2312"/>
          <w:color w:val="auto"/>
          <w:kern w:val="2"/>
          <w:sz w:val="32"/>
          <w:szCs w:val="32"/>
          <w:highlight w:val="none"/>
          <w:lang w:val="en-US" w:eastAsia="zh-CN" w:bidi="ar-SA"/>
        </w:rPr>
        <w:t>卫生健康支出（类）行政事业单位医疗（款）事业单位医疗（项）:支出决算数为23.34万元，比上年决算增加2.21万元，增长10.46%，主要原因是：在职</w:t>
      </w:r>
      <w:r>
        <w:rPr>
          <w:rFonts w:hint="eastAsia" w:ascii="仿宋_GB2312" w:hAnsi="仿宋_GB2312" w:eastAsia="仿宋_GB2312" w:cs="仿宋_GB2312"/>
          <w:color w:val="auto"/>
          <w:spacing w:val="0"/>
          <w:sz w:val="32"/>
          <w:szCs w:val="32"/>
          <w:highlight w:val="none"/>
          <w:lang w:val="en-US" w:eastAsia="zh-CN"/>
        </w:rPr>
        <w:t>人员职级正常晋升，医疗保险基数调整，经费支出较上年增加</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bidi="ar-SA"/>
        </w:rPr>
        <w:t>9.</w:t>
      </w:r>
      <w:r>
        <w:rPr>
          <w:rFonts w:hint="eastAsia" w:ascii="仿宋_GB2312" w:hAnsi="仿宋_GB2312" w:eastAsia="仿宋_GB2312" w:cs="仿宋_GB2312"/>
          <w:color w:val="auto"/>
          <w:kern w:val="2"/>
          <w:sz w:val="32"/>
          <w:szCs w:val="32"/>
          <w:highlight w:val="none"/>
          <w:lang w:val="en-US" w:eastAsia="zh-CN" w:bidi="ar-SA"/>
        </w:rPr>
        <w:t>卫生健康支出（类）行政事业单位医疗（款）公务员医疗补助（项）:支出决算数为109.03万元，比上年决算增加23.32万元，增长27.21%，主要原因是：在职</w:t>
      </w:r>
      <w:r>
        <w:rPr>
          <w:rFonts w:hint="eastAsia" w:ascii="仿宋_GB2312" w:hAnsi="仿宋_GB2312" w:eastAsia="仿宋_GB2312" w:cs="仿宋_GB2312"/>
          <w:color w:val="auto"/>
          <w:spacing w:val="0"/>
          <w:sz w:val="32"/>
          <w:szCs w:val="32"/>
          <w:highlight w:val="none"/>
          <w:lang w:val="en-US" w:eastAsia="zh-CN"/>
        </w:rPr>
        <w:t>人员职级正常晋升，医疗保险基数调整，经费支出较上年增加</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bidi="ar-SA"/>
        </w:rPr>
        <w:t>10.</w:t>
      </w:r>
      <w:r>
        <w:rPr>
          <w:rFonts w:hint="eastAsia" w:ascii="仿宋_GB2312" w:hAnsi="仿宋_GB2312" w:eastAsia="仿宋_GB2312" w:cs="仿宋_GB2312"/>
          <w:color w:val="auto"/>
          <w:kern w:val="2"/>
          <w:sz w:val="32"/>
          <w:szCs w:val="32"/>
          <w:highlight w:val="none"/>
          <w:lang w:val="en-US" w:eastAsia="zh-CN" w:bidi="ar-SA"/>
        </w:rPr>
        <w:t>住房保障支出（类）住房改革支出（款）住房公积金（项）:支出决算数为186.90万元，比上年决算增加33.87万元，增长22.13%，主要原因是：在职</w:t>
      </w:r>
      <w:r>
        <w:rPr>
          <w:rFonts w:hint="eastAsia" w:ascii="仿宋_GB2312" w:hAnsi="仿宋_GB2312" w:eastAsia="仿宋_GB2312" w:cs="仿宋_GB2312"/>
          <w:color w:val="auto"/>
          <w:spacing w:val="0"/>
          <w:sz w:val="32"/>
          <w:szCs w:val="32"/>
          <w:highlight w:val="none"/>
          <w:lang w:val="en-US" w:eastAsia="zh-CN"/>
        </w:rPr>
        <w:t>人员职级正常晋升，住房公积金基数调整，经费支出较上年增加</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lang w:eastAsia="zh-CN"/>
        </w:rPr>
        <w:t>六、一般公共预算财政拨款基本支出决算情况说明</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2023年度</w:t>
      </w:r>
      <w:r>
        <w:rPr>
          <w:rFonts w:hint="eastAsia" w:ascii="仿宋_GB2312" w:hAnsi="仿宋_GB2312" w:eastAsia="仿宋_GB2312" w:cs="仿宋_GB2312"/>
          <w:color w:val="auto"/>
          <w:sz w:val="32"/>
          <w:szCs w:val="32"/>
          <w:highlight w:val="none"/>
        </w:rPr>
        <w:t>一般公共预算财政拨款基本支出</w:t>
      </w:r>
      <w:r>
        <w:rPr>
          <w:rFonts w:hint="eastAsia" w:ascii="仿宋_GB2312" w:hAnsi="仿宋_GB2312" w:eastAsia="仿宋_GB2312" w:cs="仿宋_GB2312"/>
          <w:color w:val="auto"/>
          <w:sz w:val="32"/>
          <w:szCs w:val="32"/>
          <w:highlight w:val="none"/>
          <w:lang w:eastAsia="zh-CN"/>
        </w:rPr>
        <w:t>3,848.01</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b/>
          <w:bCs/>
          <w:color w:val="auto"/>
          <w:sz w:val="32"/>
          <w:szCs w:val="32"/>
          <w:highlight w:val="none"/>
        </w:rPr>
        <w:t>人员经费</w:t>
      </w:r>
      <w:r>
        <w:rPr>
          <w:rFonts w:hint="eastAsia" w:ascii="仿宋_GB2312" w:hAnsi="仿宋_GB2312" w:eastAsia="仿宋_GB2312" w:cs="仿宋_GB2312"/>
          <w:b/>
          <w:bCs/>
          <w:color w:val="auto"/>
          <w:sz w:val="32"/>
          <w:szCs w:val="32"/>
          <w:highlight w:val="none"/>
          <w:lang w:eastAsia="zh-CN"/>
        </w:rPr>
        <w:t>3,315.60</w:t>
      </w:r>
      <w:r>
        <w:rPr>
          <w:rFonts w:hint="eastAsia" w:ascii="仿宋_GB2312" w:hAnsi="仿宋_GB2312" w:eastAsia="仿宋_GB2312" w:cs="仿宋_GB2312"/>
          <w:b/>
          <w:bCs/>
          <w:color w:val="auto"/>
          <w:sz w:val="32"/>
          <w:szCs w:val="32"/>
          <w:highlight w:val="none"/>
        </w:rPr>
        <w:t>万元，</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val="en-US" w:eastAsia="zh-CN"/>
        </w:rPr>
        <w:t>基本工资、津贴补贴、奖金、绩效工资、机关事业单位基本养老保险缴费、职业年金缴费、职工基本医疗保险缴费、公务员医疗补助缴费、其他社会保障缴费、住房公积金、其他工资福利支出、离休费、退休费、抚恤金、生活补助、其他对个人和家庭的补助。</w:t>
      </w:r>
    </w:p>
    <w:p>
      <w:pPr>
        <w:keepNext w:val="0"/>
        <w:keepLines w:val="0"/>
        <w:pageBreakBefore w:val="0"/>
        <w:widowControl w:val="0"/>
        <w:kinsoku/>
        <w:wordWrap/>
        <w:overflowPunct/>
        <w:topLinePunct w:val="0"/>
        <w:bidi w:val="0"/>
        <w:adjustRightInd/>
        <w:snapToGrid/>
        <w:spacing w:line="240" w:lineRule="auto"/>
        <w:ind w:firstLine="642" w:firstLineChars="200"/>
        <w:jc w:val="both"/>
        <w:textAlignment w:val="auto"/>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b/>
          <w:bCs/>
          <w:color w:val="auto"/>
          <w:sz w:val="32"/>
          <w:szCs w:val="32"/>
          <w:highlight w:val="none"/>
        </w:rPr>
        <w:t>公用经费</w:t>
      </w:r>
      <w:r>
        <w:rPr>
          <w:rFonts w:hint="eastAsia" w:ascii="仿宋_GB2312" w:hAnsi="仿宋_GB2312" w:eastAsia="仿宋_GB2312" w:cs="仿宋_GB2312"/>
          <w:b/>
          <w:bCs/>
          <w:color w:val="auto"/>
          <w:sz w:val="32"/>
          <w:szCs w:val="32"/>
          <w:highlight w:val="none"/>
          <w:lang w:eastAsia="zh-CN"/>
        </w:rPr>
        <w:t>532.41</w:t>
      </w:r>
      <w:r>
        <w:rPr>
          <w:rFonts w:hint="eastAsia" w:ascii="仿宋_GB2312" w:hAnsi="仿宋_GB2312" w:eastAsia="仿宋_GB2312" w:cs="仿宋_GB2312"/>
          <w:b/>
          <w:bCs/>
          <w:color w:val="auto"/>
          <w:sz w:val="32"/>
          <w:szCs w:val="32"/>
          <w:highlight w:val="none"/>
        </w:rPr>
        <w:t>万元，</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val="en-US" w:eastAsia="zh-CN"/>
        </w:rPr>
        <w:t>办公费、印刷费、手续费、水费、电费、邮电费、取暖费、物业管理费、差旅费、维修（护）费、培训费、公务接待费、劳务费、工会经费、福利费、公务用车运行维护费、其他交通费用、其他商品和服务支出。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lang w:val="en-US" w:eastAsia="zh-CN"/>
        </w:rPr>
        <w:t>七、</w:t>
      </w:r>
      <w:r>
        <w:rPr>
          <w:rFonts w:hint="default" w:ascii="Times New Roman" w:hAnsi="Times New Roman" w:eastAsia="黑体" w:cs="Times New Roman"/>
          <w:bCs/>
          <w:color w:val="auto"/>
          <w:kern w:val="0"/>
          <w:sz w:val="32"/>
          <w:szCs w:val="32"/>
          <w:highlight w:val="none"/>
          <w:lang w:eastAsia="zh-CN"/>
        </w:rPr>
        <w:t>财政拨款</w:t>
      </w:r>
      <w:r>
        <w:rPr>
          <w:rFonts w:hint="default" w:ascii="Times New Roman" w:hAnsi="Times New Roman" w:eastAsia="黑体" w:cs="Times New Roman"/>
          <w:bCs/>
          <w:color w:val="auto"/>
          <w:kern w:val="0"/>
          <w:sz w:val="32"/>
          <w:szCs w:val="32"/>
          <w:highlight w:val="none"/>
        </w:rPr>
        <w:t>“三公”经费支出</w:t>
      </w:r>
      <w:r>
        <w:rPr>
          <w:rFonts w:hint="default" w:ascii="Times New Roman" w:hAnsi="Times New Roman" w:eastAsia="黑体" w:cs="Times New Roman"/>
          <w:bCs/>
          <w:color w:val="auto"/>
          <w:kern w:val="0"/>
          <w:sz w:val="32"/>
          <w:szCs w:val="32"/>
          <w:highlight w:val="none"/>
          <w:lang w:eastAsia="zh-CN"/>
        </w:rPr>
        <w:t>决算</w:t>
      </w:r>
      <w:r>
        <w:rPr>
          <w:rFonts w:hint="default" w:ascii="Times New Roman" w:hAnsi="Times New Roman" w:eastAsia="黑体" w:cs="Times New Roman"/>
          <w:bCs/>
          <w:color w:val="auto"/>
          <w:kern w:val="0"/>
          <w:sz w:val="32"/>
          <w:szCs w:val="32"/>
          <w:highlight w:val="none"/>
        </w:rPr>
        <w:t>情况</w:t>
      </w:r>
      <w:r>
        <w:rPr>
          <w:rFonts w:hint="default" w:ascii="Times New Roman" w:hAnsi="Times New Roman" w:eastAsia="黑体" w:cs="Times New Roman"/>
          <w:bCs/>
          <w:color w:val="auto"/>
          <w:kern w:val="0"/>
          <w:sz w:val="32"/>
          <w:szCs w:val="32"/>
          <w:highlight w:val="none"/>
          <w:lang w:eastAsia="zh-CN"/>
        </w:rPr>
        <w:t>说明</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zh-CN" w:eastAsia="zh-CN"/>
        </w:rPr>
        <w:t>2023年度</w:t>
      </w:r>
      <w:r>
        <w:rPr>
          <w:rFonts w:hint="eastAsia" w:ascii="仿宋_GB2312" w:hAnsi="仿宋_GB2312" w:eastAsia="仿宋_GB2312" w:cs="仿宋_GB2312"/>
          <w:b/>
          <w:bCs/>
          <w:color w:val="auto"/>
          <w:sz w:val="32"/>
          <w:szCs w:val="32"/>
          <w:highlight w:val="none"/>
          <w:lang w:val="en-US" w:eastAsia="zh-CN"/>
        </w:rPr>
        <w:t>财政拨款</w:t>
      </w:r>
      <w:r>
        <w:rPr>
          <w:rFonts w:hint="eastAsia" w:ascii="仿宋_GB2312" w:hAnsi="仿宋_GB2312" w:eastAsia="仿宋_GB2312" w:cs="仿宋_GB2312"/>
          <w:b/>
          <w:bCs/>
          <w:color w:val="auto"/>
          <w:sz w:val="32"/>
          <w:szCs w:val="32"/>
          <w:highlight w:val="none"/>
          <w:lang w:val="zh-CN" w:eastAsia="zh-CN"/>
        </w:rPr>
        <w:t>“三公”经费支出</w:t>
      </w:r>
      <w:r>
        <w:rPr>
          <w:rFonts w:hint="eastAsia" w:ascii="仿宋_GB2312" w:hAnsi="仿宋_GB2312" w:eastAsia="仿宋_GB2312" w:cs="仿宋_GB2312"/>
          <w:b/>
          <w:bCs/>
          <w:color w:val="auto"/>
          <w:sz w:val="32"/>
          <w:szCs w:val="32"/>
          <w:highlight w:val="none"/>
          <w:lang w:val="en-US" w:eastAsia="zh-CN"/>
        </w:rPr>
        <w:t>决算41.30</w:t>
      </w:r>
      <w:r>
        <w:rPr>
          <w:rFonts w:hint="eastAsia" w:ascii="仿宋_GB2312" w:hAnsi="仿宋_GB2312" w:eastAsia="仿宋_GB2312" w:cs="仿宋_GB2312"/>
          <w:b/>
          <w:bCs/>
          <w:color w:val="auto"/>
          <w:sz w:val="32"/>
          <w:szCs w:val="32"/>
          <w:highlight w:val="none"/>
          <w:lang w:val="zh-CN" w:eastAsia="zh-CN"/>
        </w:rPr>
        <w:t>万元，</w:t>
      </w:r>
      <w:r>
        <w:rPr>
          <w:rFonts w:hint="eastAsia" w:ascii="仿宋_GB2312" w:hAnsi="仿宋_GB2312" w:eastAsia="仿宋_GB2312" w:cs="仿宋_GB2312"/>
          <w:color w:val="auto"/>
          <w:sz w:val="32"/>
          <w:szCs w:val="32"/>
          <w:highlight w:val="none"/>
          <w:lang w:val="en-US" w:eastAsia="zh-CN"/>
        </w:rPr>
        <w:t>比上年</w:t>
      </w:r>
      <w:r>
        <w:rPr>
          <w:rFonts w:hint="eastAsia" w:ascii="仿宋_GB2312" w:hAnsi="仿宋_GB2312" w:eastAsia="仿宋_GB2312" w:cs="仿宋_GB2312"/>
          <w:color w:val="auto"/>
          <w:sz w:val="32"/>
          <w:szCs w:val="32"/>
          <w:highlight w:val="none"/>
          <w:lang w:val="zh-CN" w:eastAsia="zh-CN"/>
        </w:rPr>
        <w:t>增加1.30万元，增长3.2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2022年因疫情影响未开展公务接待，2023年正常开展，经费支出较上年增加。</w:t>
      </w:r>
      <w:r>
        <w:rPr>
          <w:rFonts w:hint="eastAsia" w:ascii="仿宋_GB2312" w:hAnsi="仿宋_GB2312" w:eastAsia="仿宋_GB2312" w:cs="仿宋_GB2312"/>
          <w:color w:val="auto"/>
          <w:sz w:val="32"/>
          <w:szCs w:val="32"/>
          <w:highlight w:val="none"/>
          <w:lang w:val="zh-CN" w:eastAsia="zh-CN"/>
        </w:rPr>
        <w:t>其中：因公出国（境）费支出0.00万元，占0.00%，比上年增加0.00万元，增长0.00%，主要原因是：</w:t>
      </w:r>
      <w:r>
        <w:rPr>
          <w:rFonts w:hint="eastAsia" w:ascii="仿宋_GB2312" w:hAnsi="仿宋_GB2312" w:eastAsia="仿宋_GB2312" w:cs="仿宋_GB2312"/>
          <w:color w:val="auto"/>
          <w:sz w:val="32"/>
          <w:szCs w:val="32"/>
          <w:highlight w:val="none"/>
          <w:lang w:val="en-US" w:eastAsia="zh-CN"/>
        </w:rPr>
        <w:t>我单位无因公出国（境）费支出</w:t>
      </w:r>
      <w:r>
        <w:rPr>
          <w:rFonts w:hint="eastAsia" w:ascii="仿宋_GB2312" w:hAnsi="仿宋_GB2312" w:eastAsia="仿宋_GB2312" w:cs="仿宋_GB2312"/>
          <w:color w:val="auto"/>
          <w:sz w:val="32"/>
          <w:szCs w:val="32"/>
          <w:highlight w:val="none"/>
          <w:lang w:val="zh-CN" w:eastAsia="zh-CN"/>
        </w:rPr>
        <w:t>；公务用车购置及运行维护费支出40.00万元，占96.8</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eastAsia="zh-CN"/>
        </w:rPr>
        <w:t>%，比上年增加0.00万元，增长0.00%，主要原因是：</w:t>
      </w:r>
      <w:r>
        <w:rPr>
          <w:rFonts w:hint="eastAsia" w:ascii="仿宋_GB2312" w:hAnsi="仿宋_GB2312" w:eastAsia="仿宋_GB2312" w:cs="仿宋_GB2312"/>
          <w:color w:val="auto"/>
          <w:sz w:val="32"/>
          <w:szCs w:val="32"/>
          <w:highlight w:val="none"/>
          <w:lang w:val="en-US" w:eastAsia="zh-CN"/>
        </w:rPr>
        <w:t>严格按照预算安排使用公务用车购置及运行维护费，与上年一致</w:t>
      </w:r>
      <w:r>
        <w:rPr>
          <w:rFonts w:hint="eastAsia" w:ascii="仿宋_GB2312" w:hAnsi="仿宋_GB2312" w:eastAsia="仿宋_GB2312" w:cs="仿宋_GB2312"/>
          <w:color w:val="auto"/>
          <w:sz w:val="32"/>
          <w:szCs w:val="32"/>
          <w:highlight w:val="none"/>
          <w:lang w:val="zh-CN" w:eastAsia="zh-CN"/>
        </w:rPr>
        <w:t>；公务接待费支出1.30万元，占3.14%，比上年增加1.30万元，增长</w:t>
      </w:r>
      <w:r>
        <w:rPr>
          <w:rFonts w:hint="eastAsia" w:ascii="仿宋_GB2312" w:hAnsi="仿宋_GB2312" w:eastAsia="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2022年因疫情影响未开展公务接待，2023年正常开展，经费支出较上年增加。</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default" w:ascii="Times New Roman" w:hAnsi="Times New Roman" w:eastAsia="仿宋_GB2312" w:cs="Times New Roman"/>
          <w:b/>
          <w:bCs/>
          <w:color w:val="auto"/>
          <w:sz w:val="32"/>
          <w:szCs w:val="32"/>
          <w:highlight w:val="none"/>
          <w:lang w:val="zh-CN" w:eastAsia="zh-CN"/>
        </w:rPr>
      </w:pPr>
      <w:r>
        <w:rPr>
          <w:rFonts w:hint="default" w:ascii="Times New Roman" w:hAnsi="Times New Roman" w:eastAsia="仿宋_GB2312" w:cs="Times New Roman"/>
          <w:b/>
          <w:bCs/>
          <w:color w:val="auto"/>
          <w:sz w:val="32"/>
          <w:szCs w:val="32"/>
          <w:highlight w:val="none"/>
          <w:lang w:val="zh-CN" w:eastAsia="zh-CN"/>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因公出国（境）费支出0.00万元，开支内容包括我单位无因公出国（境）费支出。单位全年安排的因公出国（境）团组0个，因公出国（境）0人次。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zh-CN" w:eastAsia="zh-CN"/>
        </w:rPr>
        <w:t>公务用车购置及运行维护费40.00万元，其中：公务用车购置费0.00万元，公务用车运行维护费40.00万元。公务用车运行维护费开支内容包括</w:t>
      </w:r>
      <w:r>
        <w:rPr>
          <w:rFonts w:hint="eastAsia" w:ascii="仿宋_GB2312" w:hAnsi="仿宋_GB2312" w:eastAsia="仿宋_GB2312" w:cs="仿宋_GB2312"/>
          <w:color w:val="auto"/>
          <w:sz w:val="32"/>
          <w:szCs w:val="32"/>
          <w:highlight w:val="none"/>
          <w:lang w:val="en-US" w:eastAsia="zh-CN"/>
        </w:rPr>
        <w:t>加油费、车辆保险费、停车及过路费、维修费、检测费</w:t>
      </w:r>
      <w:r>
        <w:rPr>
          <w:rFonts w:hint="eastAsia" w:ascii="仿宋_GB2312" w:hAnsi="仿宋_GB2312" w:eastAsia="仿宋_GB2312" w:cs="仿宋_GB2312"/>
          <w:color w:val="auto"/>
          <w:sz w:val="32"/>
          <w:szCs w:val="32"/>
          <w:highlight w:val="none"/>
          <w:lang w:val="zh-CN" w:eastAsia="zh-CN"/>
        </w:rPr>
        <w:t>。公务用车购置数0辆，公务用车保有量17辆。国有资产占用情况</w:t>
      </w:r>
      <w:r>
        <w:rPr>
          <w:rFonts w:hint="eastAsia" w:ascii="仿宋_GB2312" w:hAnsi="仿宋_GB2312" w:eastAsia="仿宋_GB2312" w:cs="仿宋_GB2312"/>
          <w:color w:val="auto"/>
          <w:sz w:val="32"/>
          <w:szCs w:val="32"/>
          <w:highlight w:val="none"/>
          <w:lang w:val="en-US" w:eastAsia="zh-CN"/>
        </w:rPr>
        <w:t>中固定资产车辆</w:t>
      </w:r>
      <w:r>
        <w:rPr>
          <w:rFonts w:hint="eastAsia" w:ascii="仿宋_GB2312" w:hAnsi="仿宋_GB2312" w:eastAsia="仿宋_GB2312" w:cs="仿宋_GB2312"/>
          <w:color w:val="auto"/>
          <w:sz w:val="32"/>
          <w:szCs w:val="32"/>
          <w:highlight w:val="none"/>
          <w:lang w:val="zh-CN" w:eastAsia="zh-CN"/>
        </w:rPr>
        <w:t>62辆，</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lang w:val="zh-CN" w:eastAsia="zh-CN"/>
        </w:rPr>
        <w:t>公务用车</w:t>
      </w:r>
      <w:r>
        <w:rPr>
          <w:rFonts w:hint="eastAsia" w:ascii="仿宋_GB2312" w:hAnsi="仿宋_GB2312" w:eastAsia="仿宋_GB2312" w:cs="仿宋_GB2312"/>
          <w:color w:val="auto"/>
          <w:sz w:val="32"/>
          <w:szCs w:val="32"/>
          <w:highlight w:val="none"/>
          <w:lang w:val="en-US" w:eastAsia="zh-CN"/>
        </w:rPr>
        <w:t>保有量差异</w:t>
      </w:r>
      <w:r>
        <w:rPr>
          <w:rFonts w:hint="eastAsia" w:ascii="仿宋_GB2312" w:hAnsi="仿宋_GB2312" w:eastAsia="仿宋_GB2312" w:cs="仿宋_GB2312"/>
          <w:color w:val="auto"/>
          <w:sz w:val="32"/>
          <w:szCs w:val="32"/>
          <w:highlight w:val="none"/>
          <w:lang w:val="zh-CN" w:eastAsia="zh-CN"/>
        </w:rPr>
        <w:t>原因是：</w:t>
      </w:r>
      <w:r>
        <w:rPr>
          <w:rFonts w:hint="eastAsia" w:ascii="仿宋_GB2312" w:hAnsi="仿宋_GB2312" w:eastAsia="仿宋_GB2312" w:cs="仿宋_GB2312"/>
          <w:color w:val="auto"/>
          <w:sz w:val="32"/>
          <w:szCs w:val="32"/>
          <w:highlight w:val="none"/>
          <w:lang w:val="en-US" w:eastAsia="zh-CN"/>
        </w:rPr>
        <w:t>历史遗留问题造成待报废车辆。</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公务接待费1.30万元，开支内容包括</w:t>
      </w:r>
      <w:r>
        <w:rPr>
          <w:rFonts w:hint="eastAsia" w:ascii="仿宋_GB2312" w:hAnsi="仿宋_GB2312" w:eastAsia="仿宋_GB2312" w:cs="仿宋_GB2312"/>
          <w:color w:val="auto"/>
          <w:sz w:val="32"/>
          <w:szCs w:val="32"/>
          <w:highlight w:val="none"/>
          <w:lang w:val="en-US" w:eastAsia="zh-CN"/>
        </w:rPr>
        <w:t>接待民政部及对口援疆省份民政厅人员餐费。</w:t>
      </w:r>
      <w:r>
        <w:rPr>
          <w:rFonts w:hint="eastAsia" w:ascii="仿宋_GB2312" w:hAnsi="仿宋_GB2312" w:eastAsia="仿宋_GB2312" w:cs="仿宋_GB2312"/>
          <w:color w:val="auto"/>
          <w:sz w:val="32"/>
          <w:szCs w:val="32"/>
          <w:highlight w:val="none"/>
          <w:lang w:val="zh-CN" w:eastAsia="zh-CN"/>
        </w:rPr>
        <w:t>单位全年安排的国内公务接待16批次，136人次。</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bCs/>
          <w:color w:val="auto"/>
          <w:sz w:val="32"/>
          <w:szCs w:val="32"/>
          <w:highlight w:val="none"/>
          <w:lang w:val="zh-CN" w:eastAsia="zh-CN"/>
        </w:rPr>
        <w:t>与</w:t>
      </w:r>
      <w:r>
        <w:rPr>
          <w:rFonts w:hint="eastAsia" w:ascii="仿宋_GB2312" w:hAnsi="仿宋_GB2312" w:eastAsia="仿宋_GB2312" w:cs="仿宋_GB2312"/>
          <w:b/>
          <w:bCs/>
          <w:color w:val="auto"/>
          <w:sz w:val="32"/>
          <w:szCs w:val="32"/>
          <w:highlight w:val="none"/>
          <w:lang w:val="en-US" w:eastAsia="zh-CN"/>
        </w:rPr>
        <w:t>全年</w:t>
      </w:r>
      <w:r>
        <w:rPr>
          <w:rFonts w:hint="eastAsia" w:ascii="仿宋_GB2312" w:hAnsi="仿宋_GB2312" w:eastAsia="仿宋_GB2312" w:cs="仿宋_GB2312"/>
          <w:b/>
          <w:bCs/>
          <w:color w:val="auto"/>
          <w:sz w:val="32"/>
          <w:szCs w:val="32"/>
          <w:highlight w:val="none"/>
          <w:lang w:val="zh-CN" w:eastAsia="zh-CN"/>
        </w:rPr>
        <w:t>预算相比</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eastAsia="zh-CN"/>
        </w:rPr>
        <w:t>财政拨款“三公”经费支出</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color w:val="auto"/>
          <w:sz w:val="32"/>
          <w:szCs w:val="32"/>
          <w:highlight w:val="none"/>
          <w:lang w:val="zh-CN" w:eastAsia="zh-CN"/>
        </w:rPr>
        <w:t>预算数</w:t>
      </w:r>
      <w:r>
        <w:rPr>
          <w:rFonts w:hint="eastAsia" w:ascii="仿宋_GB2312" w:hAnsi="仿宋_GB2312" w:eastAsia="仿宋_GB2312" w:cs="仿宋_GB2312"/>
          <w:color w:val="auto"/>
          <w:sz w:val="32"/>
          <w:szCs w:val="32"/>
          <w:highlight w:val="none"/>
          <w:lang w:val="en-US" w:eastAsia="zh-CN"/>
        </w:rPr>
        <w:t>41.30</w:t>
      </w:r>
      <w:r>
        <w:rPr>
          <w:rFonts w:hint="eastAsia" w:ascii="仿宋_GB2312" w:hAnsi="仿宋_GB2312" w:eastAsia="仿宋_GB2312" w:cs="仿宋_GB2312"/>
          <w:color w:val="auto"/>
          <w:sz w:val="32"/>
          <w:szCs w:val="32"/>
          <w:highlight w:val="none"/>
          <w:lang w:val="zh-CN" w:eastAsia="zh-CN"/>
        </w:rPr>
        <w:t>万元，决算数41.30万元，预决算差异率</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严格按照预算安排使用“三公”经费。</w:t>
      </w:r>
      <w:r>
        <w:rPr>
          <w:rFonts w:hint="eastAsia" w:ascii="仿宋_GB2312" w:hAnsi="仿宋_GB2312" w:eastAsia="仿宋_GB2312" w:cs="仿宋_GB2312"/>
          <w:color w:val="auto"/>
          <w:sz w:val="32"/>
          <w:szCs w:val="32"/>
          <w:highlight w:val="none"/>
          <w:lang w:val="zh-CN" w:eastAsia="zh-CN"/>
        </w:rPr>
        <w:t>其中：因公出国（境）费</w:t>
      </w:r>
      <w:r>
        <w:rPr>
          <w:rFonts w:hint="eastAsia" w:ascii="仿宋_GB2312" w:hAnsi="仿宋_GB2312" w:eastAsia="仿宋_GB2312" w:cs="仿宋_GB2312"/>
          <w:color w:val="auto"/>
          <w:sz w:val="32"/>
          <w:szCs w:val="32"/>
          <w:highlight w:val="none"/>
          <w:lang w:val="en-US" w:eastAsia="zh-CN"/>
        </w:rPr>
        <w:t>全年预算数</w:t>
      </w:r>
      <w:r>
        <w:rPr>
          <w:rFonts w:hint="eastAsia" w:ascii="仿宋_GB2312" w:hAnsi="仿宋_GB2312" w:eastAsia="仿宋_GB2312" w:cs="仿宋_GB2312"/>
          <w:color w:val="auto"/>
          <w:sz w:val="32"/>
          <w:szCs w:val="32"/>
          <w:highlight w:val="none"/>
          <w:lang w:val="zh-CN" w:eastAsia="zh-CN"/>
        </w:rPr>
        <w:t>0.00万元，决算数0.00万元，预决算差异率0.00%，主要原因是：</w:t>
      </w:r>
      <w:r>
        <w:rPr>
          <w:rFonts w:hint="eastAsia" w:ascii="仿宋_GB2312" w:hAnsi="仿宋_GB2312" w:eastAsia="仿宋_GB2312" w:cs="仿宋_GB2312"/>
          <w:color w:val="auto"/>
          <w:sz w:val="32"/>
          <w:szCs w:val="32"/>
          <w:highlight w:val="none"/>
          <w:lang w:val="en-US" w:eastAsia="zh-CN"/>
        </w:rPr>
        <w:t>2023年未安排因公出国（境）费</w:t>
      </w:r>
      <w:r>
        <w:rPr>
          <w:rFonts w:hint="eastAsia" w:ascii="仿宋_GB2312" w:hAnsi="仿宋_GB2312" w:eastAsia="仿宋_GB2312" w:cs="仿宋_GB2312"/>
          <w:color w:val="auto"/>
          <w:sz w:val="32"/>
          <w:szCs w:val="32"/>
          <w:highlight w:val="none"/>
          <w:lang w:val="zh-CN" w:eastAsia="zh-CN"/>
        </w:rPr>
        <w:t>；公务用车购置费</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color w:val="auto"/>
          <w:sz w:val="32"/>
          <w:szCs w:val="32"/>
          <w:highlight w:val="none"/>
          <w:lang w:val="zh-CN" w:eastAsia="zh-CN"/>
        </w:rPr>
        <w:t>预算数0.00万元，决算数0.00万元，预决算差异率0.00%，主要原因是：</w:t>
      </w:r>
      <w:r>
        <w:rPr>
          <w:rFonts w:hint="eastAsia" w:ascii="仿宋_GB2312" w:hAnsi="仿宋_GB2312" w:eastAsia="仿宋_GB2312" w:cs="仿宋_GB2312"/>
          <w:color w:val="auto"/>
          <w:sz w:val="32"/>
          <w:szCs w:val="32"/>
          <w:highlight w:val="none"/>
          <w:lang w:val="en-US" w:eastAsia="zh-CN"/>
        </w:rPr>
        <w:t>2023年未安排公务用车购置费</w:t>
      </w:r>
      <w:r>
        <w:rPr>
          <w:rFonts w:hint="eastAsia" w:ascii="仿宋_GB2312" w:hAnsi="仿宋_GB2312" w:eastAsia="仿宋_GB2312" w:cs="仿宋_GB2312"/>
          <w:color w:val="auto"/>
          <w:sz w:val="32"/>
          <w:szCs w:val="32"/>
          <w:highlight w:val="none"/>
          <w:lang w:val="zh-CN" w:eastAsia="zh-CN"/>
        </w:rPr>
        <w:t>；公务用车运行费</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color w:val="auto"/>
          <w:sz w:val="32"/>
          <w:szCs w:val="32"/>
          <w:highlight w:val="none"/>
          <w:lang w:val="zh-CN" w:eastAsia="zh-CN"/>
        </w:rPr>
        <w:t>预算数40.00万元，决算数40.00万元，预决算差异率0.00%，主要原因是：</w:t>
      </w:r>
      <w:r>
        <w:rPr>
          <w:rFonts w:hint="eastAsia" w:ascii="仿宋_GB2312" w:hAnsi="仿宋_GB2312" w:eastAsia="仿宋_GB2312" w:cs="仿宋_GB2312"/>
          <w:color w:val="auto"/>
          <w:sz w:val="32"/>
          <w:szCs w:val="32"/>
          <w:highlight w:val="none"/>
          <w:lang w:val="en-US" w:eastAsia="zh-CN"/>
        </w:rPr>
        <w:t>严格按照预算安排使用公务用车运行费</w:t>
      </w:r>
      <w:r>
        <w:rPr>
          <w:rFonts w:hint="eastAsia" w:ascii="仿宋_GB2312" w:hAnsi="仿宋_GB2312" w:eastAsia="仿宋_GB2312" w:cs="仿宋_GB2312"/>
          <w:color w:val="auto"/>
          <w:sz w:val="32"/>
          <w:szCs w:val="32"/>
          <w:highlight w:val="none"/>
          <w:lang w:val="zh-CN" w:eastAsia="zh-CN"/>
        </w:rPr>
        <w:t>；公务接待费</w:t>
      </w:r>
      <w:r>
        <w:rPr>
          <w:rFonts w:hint="eastAsia" w:ascii="仿宋_GB2312" w:hAnsi="仿宋_GB2312" w:eastAsia="仿宋_GB2312" w:cs="仿宋_GB2312"/>
          <w:color w:val="auto"/>
          <w:sz w:val="32"/>
          <w:szCs w:val="32"/>
          <w:highlight w:val="none"/>
          <w:lang w:val="en-US" w:eastAsia="zh-CN"/>
        </w:rPr>
        <w:t>全年</w:t>
      </w:r>
      <w:r>
        <w:rPr>
          <w:rFonts w:hint="eastAsia" w:ascii="仿宋_GB2312" w:hAnsi="仿宋_GB2312" w:eastAsia="仿宋_GB2312" w:cs="仿宋_GB2312"/>
          <w:color w:val="auto"/>
          <w:sz w:val="32"/>
          <w:szCs w:val="32"/>
          <w:highlight w:val="none"/>
          <w:lang w:val="zh-CN" w:eastAsia="zh-CN"/>
        </w:rPr>
        <w:t>预算数</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lang w:val="zh-CN" w:eastAsia="zh-CN"/>
        </w:rPr>
        <w:t>万元，决算数1.30万元，预决算差异率</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严格按照预算安排使用公务接待费。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color w:val="auto"/>
          <w:kern w:val="0"/>
          <w:sz w:val="32"/>
          <w:szCs w:val="32"/>
          <w:highlight w:val="none"/>
          <w:lang w:eastAsia="zh-CN"/>
        </w:rPr>
      </w:pPr>
      <w:bookmarkStart w:id="18" w:name="_Toc5810"/>
      <w:bookmarkStart w:id="19" w:name="_Toc7927"/>
      <w:r>
        <w:rPr>
          <w:rFonts w:hint="default" w:ascii="Times New Roman" w:hAnsi="Times New Roman" w:eastAsia="黑体" w:cs="Times New Roman"/>
          <w:bCs/>
          <w:color w:val="auto"/>
          <w:kern w:val="0"/>
          <w:sz w:val="32"/>
          <w:szCs w:val="32"/>
          <w:highlight w:val="none"/>
          <w:lang w:val="en-US" w:eastAsia="zh-CN"/>
        </w:rPr>
        <w:t>八</w:t>
      </w:r>
      <w:r>
        <w:rPr>
          <w:rFonts w:hint="default" w:ascii="Times New Roman" w:hAnsi="Times New Roman" w:eastAsia="黑体" w:cs="Times New Roman"/>
          <w:bCs/>
          <w:color w:val="auto"/>
          <w:kern w:val="0"/>
          <w:sz w:val="32"/>
          <w:szCs w:val="32"/>
          <w:highlight w:val="none"/>
          <w:lang w:eastAsia="zh-CN"/>
        </w:rPr>
        <w:t>、政府性基金预算财政拨款收入支出决算情况说明</w:t>
      </w:r>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bCs/>
          <w:color w:val="auto"/>
          <w:sz w:val="32"/>
          <w:szCs w:val="32"/>
          <w:highlight w:val="none"/>
          <w:lang w:val="zh-CN" w:eastAsia="zh-CN"/>
        </w:rPr>
        <w:t>2023年度</w:t>
      </w:r>
      <w:r>
        <w:rPr>
          <w:rFonts w:hint="eastAsia" w:ascii="仿宋_GB2312" w:hAnsi="仿宋_GB2312" w:eastAsia="仿宋_GB2312" w:cs="仿宋_GB2312"/>
          <w:b/>
          <w:bCs/>
          <w:color w:val="auto"/>
          <w:sz w:val="32"/>
          <w:szCs w:val="32"/>
          <w:highlight w:val="none"/>
          <w:lang w:val="zh-CN"/>
        </w:rPr>
        <w:t>政府性基金预算</w:t>
      </w:r>
      <w:r>
        <w:rPr>
          <w:rFonts w:hint="eastAsia" w:ascii="仿宋_GB2312" w:hAnsi="仿宋_GB2312" w:eastAsia="仿宋_GB2312" w:cs="仿宋_GB2312"/>
          <w:b/>
          <w:bCs/>
          <w:color w:val="auto"/>
          <w:sz w:val="32"/>
          <w:szCs w:val="32"/>
          <w:highlight w:val="none"/>
          <w:lang w:val="en-US" w:eastAsia="zh-CN"/>
        </w:rPr>
        <w:t>财政拨款</w:t>
      </w:r>
      <w:r>
        <w:rPr>
          <w:rFonts w:hint="eastAsia" w:ascii="仿宋_GB2312" w:hAnsi="仿宋_GB2312" w:eastAsia="仿宋_GB2312" w:cs="仿宋_GB2312"/>
          <w:b/>
          <w:bCs/>
          <w:color w:val="auto"/>
          <w:sz w:val="32"/>
          <w:szCs w:val="32"/>
          <w:highlight w:val="none"/>
          <w:lang w:val="zh-CN"/>
        </w:rPr>
        <w:t>收入</w:t>
      </w:r>
      <w:r>
        <w:rPr>
          <w:rFonts w:hint="eastAsia" w:ascii="仿宋_GB2312" w:hAnsi="仿宋_GB2312" w:eastAsia="仿宋_GB2312" w:cs="仿宋_GB2312"/>
          <w:b/>
          <w:bCs/>
          <w:color w:val="auto"/>
          <w:sz w:val="32"/>
          <w:szCs w:val="32"/>
          <w:highlight w:val="none"/>
          <w:lang w:val="en-US" w:eastAsia="zh-CN"/>
        </w:rPr>
        <w:t>总计3,938.76</w:t>
      </w:r>
      <w:r>
        <w:rPr>
          <w:rFonts w:hint="eastAsia" w:ascii="仿宋_GB2312" w:hAnsi="仿宋_GB2312" w:eastAsia="仿宋_GB2312" w:cs="仿宋_GB2312"/>
          <w:b/>
          <w:bCs/>
          <w:color w:val="auto"/>
          <w:sz w:val="32"/>
          <w:szCs w:val="32"/>
          <w:highlight w:val="none"/>
          <w:lang w:val="zh-CN"/>
        </w:rPr>
        <w:t>万元，</w:t>
      </w:r>
      <w:r>
        <w:rPr>
          <w:rFonts w:hint="eastAsia" w:ascii="仿宋_GB2312" w:hAnsi="仿宋_GB2312" w:eastAsia="仿宋_GB2312" w:cs="仿宋_GB2312"/>
          <w:color w:val="auto"/>
          <w:sz w:val="32"/>
          <w:szCs w:val="32"/>
          <w:highlight w:val="none"/>
          <w:lang w:val="en-US" w:eastAsia="zh-CN"/>
        </w:rPr>
        <w:t>其中：年初结转和结余0.00</w:t>
      </w:r>
      <w:r>
        <w:rPr>
          <w:rFonts w:hint="eastAsia" w:ascii="仿宋_GB2312" w:hAnsi="仿宋_GB2312" w:eastAsia="仿宋_GB2312" w:cs="仿宋_GB2312"/>
          <w:color w:val="auto"/>
          <w:sz w:val="32"/>
          <w:szCs w:val="32"/>
          <w:highlight w:val="none"/>
          <w:lang w:val="zh-CN"/>
        </w:rPr>
        <w:t>万元</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本年收入3,938.76</w:t>
      </w:r>
      <w:r>
        <w:rPr>
          <w:rFonts w:hint="eastAsia" w:ascii="仿宋_GB2312" w:hAnsi="仿宋_GB2312" w:eastAsia="仿宋_GB2312" w:cs="仿宋_GB2312"/>
          <w:color w:val="auto"/>
          <w:sz w:val="32"/>
          <w:szCs w:val="32"/>
          <w:highlight w:val="none"/>
          <w:lang w:val="zh-CN"/>
        </w:rPr>
        <w:t>万元</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b/>
          <w:bCs/>
          <w:color w:val="auto"/>
          <w:sz w:val="32"/>
          <w:szCs w:val="32"/>
          <w:highlight w:val="none"/>
          <w:lang w:val="zh-CN"/>
        </w:rPr>
        <w:t>政府性基金预算财政拨款支出</w:t>
      </w:r>
      <w:r>
        <w:rPr>
          <w:rFonts w:hint="eastAsia" w:ascii="仿宋_GB2312" w:hAnsi="仿宋_GB2312" w:eastAsia="仿宋_GB2312" w:cs="仿宋_GB2312"/>
          <w:b/>
          <w:bCs/>
          <w:color w:val="auto"/>
          <w:sz w:val="32"/>
          <w:szCs w:val="32"/>
          <w:highlight w:val="none"/>
          <w:lang w:val="en-US" w:eastAsia="zh-CN"/>
        </w:rPr>
        <w:t>总计3,938.76</w:t>
      </w:r>
      <w:r>
        <w:rPr>
          <w:rFonts w:hint="eastAsia" w:ascii="仿宋_GB2312" w:hAnsi="仿宋_GB2312" w:eastAsia="仿宋_GB2312" w:cs="仿宋_GB2312"/>
          <w:b/>
          <w:bCs/>
          <w:color w:val="auto"/>
          <w:sz w:val="32"/>
          <w:szCs w:val="32"/>
          <w:highlight w:val="none"/>
          <w:lang w:val="zh-CN"/>
        </w:rPr>
        <w:t>万元，</w:t>
      </w:r>
      <w:r>
        <w:rPr>
          <w:rFonts w:hint="eastAsia" w:ascii="仿宋_GB2312" w:hAnsi="仿宋_GB2312" w:eastAsia="仿宋_GB2312" w:cs="仿宋_GB2312"/>
          <w:color w:val="auto"/>
          <w:sz w:val="32"/>
          <w:szCs w:val="32"/>
          <w:highlight w:val="none"/>
          <w:lang w:val="en-US" w:eastAsia="zh-CN"/>
        </w:rPr>
        <w:t>其中：年末结转和结余0.00</w:t>
      </w:r>
      <w:r>
        <w:rPr>
          <w:rFonts w:hint="eastAsia" w:ascii="仿宋_GB2312" w:hAnsi="仿宋_GB2312" w:eastAsia="仿宋_GB2312" w:cs="仿宋_GB2312"/>
          <w:color w:val="auto"/>
          <w:sz w:val="32"/>
          <w:szCs w:val="32"/>
          <w:highlight w:val="none"/>
          <w:lang w:val="zh-CN"/>
        </w:rPr>
        <w:t>万元</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本年支出3,938.76</w:t>
      </w:r>
      <w:r>
        <w:rPr>
          <w:rFonts w:hint="eastAsia" w:ascii="仿宋_GB2312" w:hAnsi="仿宋_GB2312" w:eastAsia="仿宋_GB2312" w:cs="仿宋_GB2312"/>
          <w:color w:val="auto"/>
          <w:sz w:val="32"/>
          <w:szCs w:val="32"/>
          <w:highlight w:val="none"/>
          <w:lang w:val="zh-CN"/>
        </w:rPr>
        <w:t>万元</w:t>
      </w:r>
      <w:r>
        <w:rPr>
          <w:rFonts w:hint="eastAsia" w:ascii="仿宋_GB2312" w:hAnsi="仿宋_GB2312" w:eastAsia="仿宋_GB2312" w:cs="仿宋_GB2312"/>
          <w:color w:val="auto"/>
          <w:sz w:val="32"/>
          <w:szCs w:val="32"/>
          <w:highlight w:val="none"/>
          <w:lang w:val="zh-CN" w:eastAsia="zh-CN"/>
        </w:rPr>
        <w:t>。</w:t>
      </w:r>
    </w:p>
    <w:p>
      <w:pPr>
        <w:ind w:firstLine="642" w:firstLineChars="200"/>
        <w:jc w:val="both"/>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bCs/>
          <w:color w:val="auto"/>
          <w:sz w:val="32"/>
          <w:szCs w:val="32"/>
          <w:highlight w:val="none"/>
          <w:lang w:val="zh-CN"/>
        </w:rPr>
        <w:t>政府性基金预算财政拨款</w:t>
      </w:r>
      <w:r>
        <w:rPr>
          <w:rFonts w:hint="eastAsia" w:ascii="仿宋_GB2312" w:hAnsi="仿宋_GB2312" w:eastAsia="仿宋_GB2312" w:cs="仿宋_GB2312"/>
          <w:b/>
          <w:bCs/>
          <w:color w:val="auto"/>
          <w:sz w:val="32"/>
          <w:szCs w:val="32"/>
          <w:highlight w:val="none"/>
          <w:lang w:val="en-US" w:eastAsia="zh-CN"/>
        </w:rPr>
        <w:t>收入支出</w:t>
      </w:r>
      <w:r>
        <w:rPr>
          <w:rFonts w:hint="eastAsia" w:ascii="仿宋_GB2312" w:hAnsi="仿宋_GB2312" w:eastAsia="仿宋_GB2312" w:cs="仿宋_GB2312"/>
          <w:b/>
          <w:bCs/>
          <w:color w:val="auto"/>
          <w:sz w:val="32"/>
          <w:szCs w:val="32"/>
          <w:highlight w:val="none"/>
          <w:lang w:val="zh-CN"/>
        </w:rPr>
        <w:t>与上年相比，</w:t>
      </w:r>
      <w:r>
        <w:rPr>
          <w:rFonts w:hint="eastAsia" w:ascii="仿宋_GB2312" w:hAnsi="仿宋_GB2312" w:eastAsia="仿宋_GB2312" w:cs="仿宋_GB2312"/>
          <w:color w:val="auto"/>
          <w:sz w:val="32"/>
          <w:szCs w:val="32"/>
          <w:highlight w:val="none"/>
          <w:lang w:val="zh-CN"/>
        </w:rPr>
        <w:t>增加3,372.52万元，增长595.60%，</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养老机构服务能力提升项目、支持乡村振兴公益事业发展项目、自治区“福康工程”项目等项目资金较上年增加。</w:t>
      </w:r>
      <w:r>
        <w:rPr>
          <w:rFonts w:hint="eastAsia" w:ascii="仿宋_GB2312" w:hAnsi="仿宋_GB2312" w:eastAsia="仿宋_GB2312" w:cs="仿宋_GB2312"/>
          <w:b/>
          <w:bCs/>
          <w:color w:val="auto"/>
          <w:sz w:val="32"/>
          <w:szCs w:val="32"/>
          <w:highlight w:val="none"/>
          <w:lang w:val="zh-CN"/>
        </w:rPr>
        <w:t>与</w:t>
      </w:r>
      <w:r>
        <w:rPr>
          <w:rFonts w:hint="eastAsia" w:ascii="仿宋_GB2312" w:hAnsi="仿宋_GB2312" w:eastAsia="仿宋_GB2312" w:cs="仿宋_GB2312"/>
          <w:b/>
          <w:bCs/>
          <w:color w:val="auto"/>
          <w:sz w:val="32"/>
          <w:szCs w:val="32"/>
          <w:highlight w:val="none"/>
          <w:lang w:val="zh-CN" w:eastAsia="zh-CN"/>
        </w:rPr>
        <w:t>年初预算</w:t>
      </w:r>
      <w:r>
        <w:rPr>
          <w:rFonts w:hint="eastAsia" w:ascii="仿宋_GB2312" w:hAnsi="仿宋_GB2312" w:eastAsia="仿宋_GB2312" w:cs="仿宋_GB2312"/>
          <w:b/>
          <w:bCs/>
          <w:color w:val="auto"/>
          <w:sz w:val="32"/>
          <w:szCs w:val="32"/>
          <w:highlight w:val="none"/>
          <w:lang w:val="zh-CN"/>
        </w:rPr>
        <w:t>相比</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eastAsia="zh-CN"/>
        </w:rPr>
        <w:t>年初预算数</w:t>
      </w:r>
      <w:r>
        <w:rPr>
          <w:rFonts w:hint="eastAsia" w:ascii="仿宋_GB2312" w:hAnsi="仿宋_GB2312" w:eastAsia="仿宋_GB2312" w:cs="仿宋_GB2312"/>
          <w:color w:val="auto"/>
          <w:sz w:val="32"/>
          <w:szCs w:val="32"/>
          <w:highlight w:val="none"/>
          <w:lang w:val="en-US" w:eastAsia="zh-CN"/>
        </w:rPr>
        <w:t>3,938.76</w:t>
      </w:r>
      <w:r>
        <w:rPr>
          <w:rFonts w:hint="eastAsia" w:ascii="仿宋_GB2312" w:hAnsi="仿宋_GB2312" w:eastAsia="仿宋_GB2312" w:cs="仿宋_GB2312"/>
          <w:color w:val="auto"/>
          <w:sz w:val="32"/>
          <w:szCs w:val="32"/>
          <w:highlight w:val="none"/>
          <w:lang w:val="zh-CN"/>
        </w:rPr>
        <w:t>万元，决算数</w:t>
      </w:r>
      <w:r>
        <w:rPr>
          <w:rFonts w:hint="eastAsia" w:ascii="仿宋_GB2312" w:hAnsi="仿宋_GB2312" w:eastAsia="仿宋_GB2312" w:cs="仿宋_GB2312"/>
          <w:color w:val="auto"/>
          <w:sz w:val="32"/>
          <w:szCs w:val="32"/>
          <w:highlight w:val="none"/>
          <w:lang w:val="en-US" w:eastAsia="zh-CN"/>
        </w:rPr>
        <w:t>3,938.76</w:t>
      </w:r>
      <w:r>
        <w:rPr>
          <w:rFonts w:hint="eastAsia" w:ascii="仿宋_GB2312" w:hAnsi="仿宋_GB2312" w:eastAsia="仿宋_GB2312" w:cs="仿宋_GB2312"/>
          <w:color w:val="auto"/>
          <w:sz w:val="32"/>
          <w:szCs w:val="32"/>
          <w:highlight w:val="none"/>
          <w:lang w:val="zh-CN"/>
        </w:rPr>
        <w:t>万元，预决算差异率</w:t>
      </w:r>
      <w:r>
        <w:rPr>
          <w:rFonts w:hint="eastAsia" w:ascii="仿宋_GB2312" w:hAnsi="仿宋_GB2312" w:eastAsia="仿宋_GB2312" w:cs="仿宋_GB2312"/>
          <w:color w:val="auto"/>
          <w:sz w:val="32"/>
          <w:szCs w:val="32"/>
          <w:highlight w:val="none"/>
          <w:lang w:val="zh-CN" w:eastAsia="zh-CN"/>
        </w:rPr>
        <w:t>0.00%，主要原因是：</w:t>
      </w:r>
      <w:r>
        <w:rPr>
          <w:rFonts w:hint="eastAsia" w:ascii="仿宋_GB2312" w:hAnsi="仿宋_GB2312" w:eastAsia="仿宋_GB2312" w:cs="仿宋_GB2312"/>
          <w:color w:val="auto"/>
          <w:sz w:val="32"/>
          <w:szCs w:val="32"/>
          <w:highlight w:val="none"/>
          <w:lang w:val="en-US" w:eastAsia="zh-CN"/>
        </w:rPr>
        <w:t>严格按照预算安排使用项目资金</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zh-CN"/>
        </w:rPr>
        <w:t>政府性基金预算财政拨款支出</w:t>
      </w:r>
      <w:r>
        <w:rPr>
          <w:rFonts w:hint="default" w:ascii="Times New Roman" w:hAnsi="Times New Roman" w:eastAsia="仿宋_GB2312" w:cs="Times New Roman"/>
          <w:b/>
          <w:bCs/>
          <w:color w:val="auto"/>
          <w:sz w:val="32"/>
          <w:szCs w:val="32"/>
          <w:highlight w:val="none"/>
          <w:lang w:val="zh-CN" w:eastAsia="zh-CN"/>
        </w:rPr>
        <w:t>3,938.76</w:t>
      </w:r>
      <w:r>
        <w:rPr>
          <w:rFonts w:hint="default" w:ascii="Times New Roman" w:hAnsi="Times New Roman" w:eastAsia="仿宋_GB2312" w:cs="Times New Roman"/>
          <w:b/>
          <w:bCs/>
          <w:color w:val="auto"/>
          <w:sz w:val="32"/>
          <w:szCs w:val="32"/>
          <w:highlight w:val="none"/>
          <w:lang w:val="zh-CN"/>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z w:val="32"/>
          <w:szCs w:val="32"/>
          <w:highlight w:val="none"/>
          <w:lang w:val="zh-CN"/>
        </w:rPr>
        <w:t>其他支出（类）彩票公益金安排的支出（款）用于社会福利的彩票公益金支出（项）:支出决算数为3,938.76</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zh-CN"/>
        </w:rPr>
        <w:t>，比上年决算</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lang w:val="zh-CN"/>
        </w:rPr>
        <w:t>3,372.52</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en-US" w:eastAsia="zh-CN"/>
        </w:rPr>
        <w:t>增长</w:t>
      </w:r>
      <w:r>
        <w:rPr>
          <w:rFonts w:hint="eastAsia" w:ascii="仿宋_GB2312" w:hAnsi="仿宋_GB2312" w:eastAsia="仿宋_GB2312" w:cs="仿宋_GB2312"/>
          <w:color w:val="auto"/>
          <w:sz w:val="32"/>
          <w:szCs w:val="32"/>
          <w:highlight w:val="none"/>
          <w:lang w:val="zh-CN"/>
        </w:rPr>
        <w:t>595.60%，主要原因是：</w:t>
      </w:r>
      <w:r>
        <w:rPr>
          <w:rFonts w:hint="eastAsia" w:ascii="仿宋_GB2312" w:hAnsi="仿宋_GB2312" w:eastAsia="仿宋_GB2312" w:cs="仿宋_GB2312"/>
          <w:color w:val="auto"/>
          <w:sz w:val="32"/>
          <w:szCs w:val="32"/>
          <w:highlight w:val="none"/>
          <w:lang w:val="en-US" w:eastAsia="zh-CN"/>
        </w:rPr>
        <w:t>养老机构服务能力提升项目、支持乡村振兴公益事业发展项目、自治区“福康工程”项目等项目资金较上年增加。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lang w:val="en-US" w:eastAsia="zh-CN"/>
        </w:rPr>
        <w:t xml:space="preserve">    九</w:t>
      </w:r>
      <w:r>
        <w:rPr>
          <w:rFonts w:hint="default" w:ascii="Times New Roman" w:hAnsi="Times New Roman" w:eastAsia="黑体" w:cs="Times New Roman"/>
          <w:bCs/>
          <w:color w:val="auto"/>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eastAsia="zh-CN"/>
        </w:rPr>
        <w:t>本年度无国有资本经营预算财政拨款收入、支出</w:t>
      </w:r>
      <w:r>
        <w:rPr>
          <w:rFonts w:hint="default" w:ascii="Times New Roman" w:hAnsi="Times New Roman" w:eastAsia="仿宋_GB2312" w:cs="Times New Roman"/>
          <w:color w:val="auto"/>
          <w:sz w:val="32"/>
          <w:szCs w:val="32"/>
          <w:highlight w:val="none"/>
          <w:lang w:val="en-US" w:eastAsia="zh-CN"/>
        </w:rPr>
        <w:t>及结转和结余</w:t>
      </w:r>
      <w:r>
        <w:rPr>
          <w:rFonts w:hint="default" w:ascii="Times New Roman" w:hAnsi="Times New Roman" w:eastAsia="仿宋_GB2312" w:cs="Times New Roman"/>
          <w:color w:val="auto"/>
          <w:sz w:val="32"/>
          <w:szCs w:val="32"/>
          <w:highlight w:val="none"/>
          <w:lang w:eastAsia="zh-CN"/>
        </w:rPr>
        <w:t>，国有资本经营</w:t>
      </w:r>
      <w:r>
        <w:rPr>
          <w:rFonts w:hint="default" w:ascii="Times New Roman" w:hAnsi="Times New Roman" w:eastAsia="仿宋_GB2312" w:cs="Times New Roman"/>
          <w:color w:val="auto"/>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20" w:name="_Toc1235"/>
      <w:bookmarkStart w:id="21" w:name="_Toc7314"/>
      <w:r>
        <w:rPr>
          <w:rFonts w:hint="default" w:ascii="Times New Roman" w:hAnsi="Times New Roman" w:eastAsia="黑体" w:cs="Times New Roman"/>
          <w:bCs/>
          <w:color w:val="auto"/>
          <w:kern w:val="0"/>
          <w:sz w:val="32"/>
          <w:szCs w:val="32"/>
          <w:highlight w:val="none"/>
          <w:lang w:eastAsia="zh-CN"/>
        </w:rPr>
        <w:t>十</w:t>
      </w:r>
      <w:r>
        <w:rPr>
          <w:rFonts w:hint="default" w:ascii="Times New Roman" w:hAnsi="Times New Roman" w:eastAsia="黑体" w:cs="Times New Roman"/>
          <w:bCs/>
          <w:color w:val="auto"/>
          <w:kern w:val="0"/>
          <w:sz w:val="32"/>
          <w:szCs w:val="32"/>
          <w:highlight w:val="none"/>
        </w:rPr>
        <w:t>、其他重要事项的情况</w:t>
      </w:r>
      <w:r>
        <w:rPr>
          <w:rFonts w:hint="default" w:ascii="Times New Roman" w:hAnsi="Times New Roman" w:eastAsia="黑体" w:cs="Times New Roman"/>
          <w:bCs/>
          <w:color w:val="auto"/>
          <w:kern w:val="0"/>
          <w:sz w:val="32"/>
          <w:szCs w:val="32"/>
          <w:highlight w:val="none"/>
          <w:lang w:eastAsia="zh-CN"/>
        </w:rPr>
        <w:t>说明</w:t>
      </w:r>
      <w:bookmarkEnd w:id="20"/>
      <w:bookmarkEnd w:id="21"/>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2"/>
        <w:rPr>
          <w:rFonts w:hint="default" w:ascii="Times New Roman" w:hAnsi="Times New Roman" w:eastAsia="黑体" w:cs="Times New Roman"/>
          <w:color w:val="auto"/>
          <w:sz w:val="32"/>
          <w:szCs w:val="32"/>
          <w:highlight w:val="none"/>
        </w:rPr>
      </w:pPr>
      <w:bookmarkStart w:id="22" w:name="_Toc14519"/>
      <w:bookmarkStart w:id="23" w:name="_Toc13105"/>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机关运行经费支出情况</w:t>
      </w:r>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lang w:val="en-US" w:eastAsia="zh-CN"/>
        </w:rPr>
      </w:pPr>
      <w:bookmarkStart w:id="24" w:name="_Toc227"/>
      <w:bookmarkStart w:id="25" w:name="_Toc26704"/>
      <w:r>
        <w:rPr>
          <w:rFonts w:hint="eastAsia" w:ascii="仿宋_GB2312" w:hAnsi="仿宋_GB2312" w:eastAsia="仿宋_GB2312" w:cs="仿宋_GB2312"/>
          <w:color w:val="auto"/>
          <w:sz w:val="32"/>
          <w:szCs w:val="32"/>
          <w:highlight w:val="none"/>
          <w:lang w:val="zh-CN" w:eastAsia="zh-CN"/>
        </w:rPr>
        <w:t>2023年度</w:t>
      </w:r>
      <w:r>
        <w:rPr>
          <w:rFonts w:hint="eastAsia" w:ascii="仿宋_GB2312" w:hAnsi="仿宋_GB2312" w:eastAsia="仿宋_GB2312" w:cs="仿宋_GB2312"/>
          <w:color w:val="auto"/>
          <w:sz w:val="32"/>
          <w:szCs w:val="32"/>
          <w:highlight w:val="none"/>
          <w:lang w:val="en-US" w:eastAsia="zh-CN"/>
        </w:rPr>
        <w:t>新疆维吾尔自治区民政厅（本级）机关运行经费支出532.41万元，比上年增加40.06万元，增长8.14%,主要原因是：2022年因疫情原因，居家办公，机关运行经费开支减少，2023年恢复正常，经费支出较上年增加</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auto"/>
          <w:sz w:val="32"/>
          <w:szCs w:val="30"/>
          <w:highlight w:val="none"/>
          <w:lang w:val="zh-CN" w:eastAsia="zh-CN"/>
        </w:rPr>
      </w:pPr>
      <w:r>
        <w:rPr>
          <w:rFonts w:hint="default" w:ascii="Times New Roman" w:hAnsi="Times New Roman" w:eastAsia="黑体" w:cs="Times New Roman"/>
          <w:color w:val="auto"/>
          <w:sz w:val="32"/>
          <w:szCs w:val="30"/>
          <w:highlight w:val="none"/>
          <w:lang w:val="en-US" w:eastAsia="zh-CN"/>
        </w:rPr>
        <w:t xml:space="preserve">   </w:t>
      </w:r>
      <w:r>
        <w:rPr>
          <w:rFonts w:hint="default" w:ascii="Times New Roman" w:hAnsi="Times New Roman" w:eastAsia="黑体" w:cs="Times New Roman"/>
          <w:color w:val="auto"/>
          <w:sz w:val="32"/>
          <w:szCs w:val="30"/>
          <w:highlight w:val="none"/>
          <w:lang w:val="zh-CN" w:eastAsia="zh-CN"/>
        </w:rPr>
        <w:t>（二）政府采购情况</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eastAsia="zh-CN"/>
        </w:rPr>
        <w:t>2023年度</w:t>
      </w:r>
      <w:r>
        <w:rPr>
          <w:rFonts w:hint="eastAsia" w:ascii="仿宋_GB2312" w:hAnsi="仿宋_GB2312" w:eastAsia="仿宋_GB2312" w:cs="仿宋_GB2312"/>
          <w:color w:val="auto"/>
          <w:sz w:val="32"/>
          <w:szCs w:val="32"/>
          <w:highlight w:val="none"/>
          <w:lang w:val="zh-CN"/>
        </w:rPr>
        <w:t>政府采购支出总额</w:t>
      </w:r>
      <w:r>
        <w:rPr>
          <w:rFonts w:hint="eastAsia" w:ascii="仿宋_GB2312" w:hAnsi="仿宋_GB2312" w:eastAsia="仿宋_GB2312" w:cs="仿宋_GB2312"/>
          <w:color w:val="auto"/>
          <w:sz w:val="32"/>
          <w:szCs w:val="32"/>
          <w:highlight w:val="none"/>
          <w:lang w:val="zh-CN" w:eastAsia="zh-CN"/>
        </w:rPr>
        <w:t>899.83万元</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zh-CN" w:eastAsia="zh-CN"/>
        </w:rPr>
        <w:t>其中：政府采购货物支出135.91万元、政府采购工程支出0.00万元、政府采购服务支出763.92万元。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授予中小企业合同金额899.83万元，占政府采购支出总额的100.00%，其中：授予小微企业合同金额633.31万元，占政府采购支出总额的70.38%</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黑体" w:cs="Times New Roman"/>
          <w:color w:val="auto"/>
          <w:sz w:val="32"/>
          <w:szCs w:val="30"/>
          <w:highlight w:val="none"/>
          <w:lang w:val="zh-CN" w:eastAsia="zh-CN"/>
        </w:rPr>
      </w:pPr>
      <w:bookmarkStart w:id="26" w:name="_Toc4591"/>
      <w:bookmarkStart w:id="27" w:name="_Toc8391"/>
      <w:r>
        <w:rPr>
          <w:rFonts w:hint="default" w:ascii="Times New Roman" w:hAnsi="Times New Roman" w:eastAsia="黑体" w:cs="Times New Roman"/>
          <w:color w:val="auto"/>
          <w:sz w:val="32"/>
          <w:szCs w:val="30"/>
          <w:highlight w:val="none"/>
          <w:lang w:val="zh-CN" w:eastAsia="zh-CN"/>
        </w:rPr>
        <w:t>（三）国有资产占用情况说明</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截至2023</w:t>
      </w:r>
      <w:r>
        <w:rPr>
          <w:rFonts w:hint="eastAsia" w:ascii="仿宋_GB2312" w:hAnsi="仿宋_GB2312" w:eastAsia="仿宋_GB2312" w:cs="仿宋_GB2312"/>
          <w:color w:val="auto"/>
          <w:sz w:val="32"/>
          <w:szCs w:val="32"/>
          <w:highlight w:val="none"/>
          <w:lang w:val="zh-CN" w:eastAsia="zh-CN"/>
        </w:rPr>
        <w:t>年</w:t>
      </w:r>
      <w:r>
        <w:rPr>
          <w:rFonts w:hint="eastAsia" w:ascii="仿宋_GB2312" w:hAnsi="仿宋_GB2312" w:eastAsia="仿宋_GB2312" w:cs="仿宋_GB2312"/>
          <w:color w:val="auto"/>
          <w:sz w:val="32"/>
          <w:szCs w:val="32"/>
          <w:highlight w:val="none"/>
          <w:lang w:val="en-US" w:eastAsia="zh-CN"/>
        </w:rPr>
        <w:t>12月31日</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固定资产原值</w:t>
      </w:r>
      <w:r>
        <w:rPr>
          <w:rFonts w:hint="eastAsia" w:ascii="仿宋_GB2312" w:hAnsi="仿宋_GB2312" w:eastAsia="仿宋_GB2312" w:cs="仿宋_GB2312"/>
          <w:color w:val="auto"/>
          <w:sz w:val="32"/>
          <w:szCs w:val="32"/>
          <w:highlight w:val="none"/>
          <w:lang w:val="zh-CN" w:eastAsia="zh-CN"/>
        </w:rPr>
        <w:t>14,343.58</w:t>
      </w:r>
      <w:r>
        <w:rPr>
          <w:rFonts w:hint="eastAsia" w:ascii="仿宋_GB2312" w:hAnsi="仿宋_GB2312" w:eastAsia="仿宋_GB2312" w:cs="仿宋_GB2312"/>
          <w:color w:val="auto"/>
          <w:sz w:val="32"/>
          <w:szCs w:val="32"/>
          <w:highlight w:val="none"/>
          <w:lang w:val="en-US" w:eastAsia="zh-CN"/>
        </w:rPr>
        <w:t>万元，房</w:t>
      </w:r>
      <w:r>
        <w:rPr>
          <w:rFonts w:hint="eastAsia" w:ascii="仿宋_GB2312" w:hAnsi="仿宋_GB2312" w:eastAsia="仿宋_GB2312" w:cs="仿宋_GB2312"/>
          <w:color w:val="auto"/>
          <w:sz w:val="32"/>
          <w:szCs w:val="32"/>
          <w:highlight w:val="none"/>
          <w:lang w:val="zh-CN" w:eastAsia="zh-CN"/>
        </w:rPr>
        <w:t>屋42260.86平方米，价值7,678.03万元。车辆62辆，价值1,070.10万元，其中：副部（省）级及以上领导用车0辆、主要</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lang w:val="zh-CN" w:eastAsia="zh-CN"/>
        </w:rPr>
        <w:t>用车6辆、机要通信用车0辆、应急保障用车0辆、执法执勤用车1辆、特种专业技术用车0辆、离退休干部</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lang w:val="zh-CN" w:eastAsia="zh-CN"/>
        </w:rPr>
        <w:t>用车2辆、其他用车53辆，其他用车主要是：</w:t>
      </w:r>
      <w:r>
        <w:rPr>
          <w:rFonts w:hint="eastAsia" w:ascii="仿宋_GB2312" w:hAnsi="仿宋_GB2312" w:eastAsia="仿宋_GB2312" w:cs="仿宋_GB2312"/>
          <w:color w:val="auto"/>
          <w:sz w:val="32"/>
          <w:szCs w:val="32"/>
          <w:highlight w:val="none"/>
          <w:lang w:val="en-US" w:eastAsia="zh-CN"/>
        </w:rPr>
        <w:t>一般公务用车8辆，历史遗留问题造成待报废车辆45辆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zh-CN" w:eastAsia="zh-CN"/>
        </w:rPr>
        <w:t>单价100万元（含）以上设备（不含车辆）1</w:t>
      </w:r>
      <w:r>
        <w:rPr>
          <w:rFonts w:hint="eastAsia" w:ascii="仿宋_GB2312" w:hAnsi="仿宋_GB2312" w:eastAsia="仿宋_GB2312" w:cs="仿宋_GB2312"/>
          <w:color w:val="auto"/>
          <w:sz w:val="32"/>
          <w:szCs w:val="32"/>
          <w:highlight w:val="none"/>
          <w:lang w:val="en-US" w:eastAsia="zh-CN"/>
        </w:rPr>
        <w:t>台（</w:t>
      </w:r>
      <w:r>
        <w:rPr>
          <w:rFonts w:hint="eastAsia" w:ascii="仿宋_GB2312" w:hAnsi="仿宋_GB2312" w:eastAsia="仿宋_GB2312" w:cs="仿宋_GB2312"/>
          <w:color w:val="auto"/>
          <w:sz w:val="32"/>
          <w:szCs w:val="32"/>
          <w:highlight w:val="none"/>
          <w:lang w:val="zh-CN" w:eastAsia="zh-CN"/>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黑体" w:cs="Times New Roman"/>
          <w:bCs/>
          <w:color w:val="auto"/>
          <w:kern w:val="0"/>
          <w:sz w:val="32"/>
          <w:szCs w:val="32"/>
          <w:highlight w:val="none"/>
          <w:lang w:eastAsia="zh-CN"/>
        </w:rPr>
      </w:pPr>
      <w:bookmarkStart w:id="28" w:name="_Toc435"/>
      <w:bookmarkStart w:id="29" w:name="_Toc11283"/>
      <w:r>
        <w:rPr>
          <w:rFonts w:hint="default" w:ascii="Times New Roman" w:hAnsi="Times New Roman" w:eastAsia="黑体" w:cs="Times New Roman"/>
          <w:bCs/>
          <w:color w:val="auto"/>
          <w:kern w:val="0"/>
          <w:sz w:val="32"/>
          <w:szCs w:val="32"/>
          <w:highlight w:val="none"/>
          <w:lang w:eastAsia="zh-CN"/>
        </w:rPr>
        <w:t>十</w:t>
      </w:r>
      <w:r>
        <w:rPr>
          <w:rFonts w:hint="default" w:ascii="Times New Roman" w:hAnsi="Times New Roman" w:eastAsia="黑体" w:cs="Times New Roman"/>
          <w:bCs/>
          <w:color w:val="auto"/>
          <w:kern w:val="0"/>
          <w:sz w:val="32"/>
          <w:szCs w:val="32"/>
          <w:highlight w:val="none"/>
          <w:lang w:val="en-US" w:eastAsia="zh-CN"/>
        </w:rPr>
        <w:t>一</w:t>
      </w:r>
      <w:r>
        <w:rPr>
          <w:rFonts w:hint="default" w:ascii="Times New Roman" w:hAnsi="Times New Roman" w:eastAsia="黑体" w:cs="Times New Roman"/>
          <w:bCs/>
          <w:color w:val="auto"/>
          <w:kern w:val="0"/>
          <w:sz w:val="32"/>
          <w:szCs w:val="32"/>
          <w:highlight w:val="none"/>
          <w:lang w:eastAsia="zh-CN"/>
        </w:rPr>
        <w:t>、预算绩效的情况说明</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根据预算绩效管理要求，我</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lang w:eastAsia="zh-CN"/>
        </w:rPr>
        <w:t>2023年度</w:t>
      </w:r>
      <w:r>
        <w:rPr>
          <w:rFonts w:hint="eastAsia" w:ascii="仿宋_GB2312" w:hAnsi="仿宋_GB2312" w:eastAsia="仿宋_GB2312" w:cs="仿宋_GB2312"/>
          <w:color w:val="auto"/>
          <w:kern w:val="0"/>
          <w:sz w:val="32"/>
          <w:szCs w:val="32"/>
          <w:highlight w:val="none"/>
        </w:rPr>
        <w:t>预算绩效管理整体</w:t>
      </w:r>
      <w:r>
        <w:rPr>
          <w:rFonts w:hint="eastAsia" w:ascii="仿宋_GB2312" w:hAnsi="仿宋_GB2312" w:eastAsia="仿宋_GB2312" w:cs="仿宋_GB2312"/>
          <w:color w:val="auto"/>
          <w:kern w:val="0"/>
          <w:sz w:val="32"/>
          <w:szCs w:val="32"/>
          <w:highlight w:val="none"/>
          <w:lang w:val="en-US" w:eastAsia="zh-CN"/>
        </w:rPr>
        <w:t>支出</w:t>
      </w:r>
      <w:r>
        <w:rPr>
          <w:rFonts w:hint="eastAsia" w:ascii="仿宋_GB2312" w:hAnsi="仿宋_GB2312" w:eastAsia="仿宋_GB2312" w:cs="仿宋_GB2312"/>
          <w:color w:val="auto"/>
          <w:kern w:val="0"/>
          <w:sz w:val="32"/>
          <w:szCs w:val="32"/>
          <w:highlight w:val="none"/>
        </w:rPr>
        <w:t>绩效自评表</w:t>
      </w:r>
      <w:r>
        <w:rPr>
          <w:rFonts w:hint="eastAsia" w:ascii="仿宋_GB2312" w:hAnsi="仿宋_GB2312" w:eastAsia="仿宋_GB2312" w:cs="仿宋_GB2312"/>
          <w:color w:val="auto"/>
          <w:kern w:val="0"/>
          <w:sz w:val="32"/>
          <w:szCs w:val="32"/>
          <w:highlight w:val="none"/>
          <w:lang w:val="en-US" w:eastAsia="zh-CN"/>
        </w:rPr>
        <w:t>0个，全年</w:t>
      </w:r>
      <w:r>
        <w:rPr>
          <w:rFonts w:hint="eastAsia" w:ascii="仿宋_GB2312" w:hAnsi="仿宋_GB2312" w:eastAsia="仿宋_GB2312" w:cs="仿宋_GB2312"/>
          <w:color w:val="auto"/>
          <w:sz w:val="32"/>
          <w:szCs w:val="32"/>
          <w:highlight w:val="none"/>
          <w:lang w:val="en-US" w:eastAsia="zh-CN"/>
        </w:rPr>
        <w:t>预算总额0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实际执行总额0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我单位整体</w:t>
      </w:r>
      <w:r>
        <w:rPr>
          <w:rFonts w:hint="eastAsia" w:ascii="仿宋_GB2312" w:hAnsi="仿宋_GB2312" w:eastAsia="仿宋_GB2312" w:cs="仿宋_GB2312"/>
          <w:color w:val="auto"/>
          <w:kern w:val="0"/>
          <w:sz w:val="32"/>
          <w:szCs w:val="32"/>
          <w:highlight w:val="none"/>
          <w:lang w:eastAsia="zh-CN"/>
        </w:rPr>
        <w:t>支出</w:t>
      </w:r>
      <w:r>
        <w:rPr>
          <w:rFonts w:hint="eastAsia" w:ascii="仿宋_GB2312" w:hAnsi="仿宋_GB2312" w:eastAsia="仿宋_GB2312" w:cs="仿宋_GB2312"/>
          <w:sz w:val="32"/>
          <w:szCs w:val="32"/>
          <w:lang w:val="en-US" w:eastAsia="zh-CN"/>
        </w:rPr>
        <w:t>绩效自评表由主管部门编报并公开。</w:t>
      </w:r>
      <w:r>
        <w:rPr>
          <w:rFonts w:hint="eastAsia" w:ascii="仿宋_GB2312" w:hAnsi="仿宋_GB2312" w:eastAsia="仿宋_GB2312" w:cs="仿宋_GB2312"/>
          <w:color w:val="auto"/>
          <w:sz w:val="32"/>
          <w:szCs w:val="32"/>
          <w:highlight w:val="none"/>
          <w:lang w:eastAsia="zh-CN"/>
        </w:rPr>
        <w:t>预算绩效评价项目</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lang w:val="en-US" w:eastAsia="zh-CN"/>
        </w:rPr>
        <w:t>全年预算数2456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全年执行数2456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。预算绩效管理取得的成效：一是</w:t>
      </w:r>
      <w:r>
        <w:rPr>
          <w:rFonts w:hint="eastAsia" w:ascii="仿宋_GB2312" w:hAnsi="仿宋_GB2312" w:eastAsia="仿宋_GB2312" w:cs="仿宋_GB2312"/>
          <w:color w:val="auto"/>
          <w:sz w:val="32"/>
          <w:szCs w:val="32"/>
          <w:highlight w:val="none"/>
          <w:lang w:val="en-US" w:eastAsia="zh-CN"/>
        </w:rPr>
        <w:t>绩效目标管理日益加强，绩效评价范围不断扩大，促进了财政资金使用效益的提高</w:t>
      </w:r>
      <w:r>
        <w:rPr>
          <w:rFonts w:hint="eastAsia" w:ascii="仿宋_GB2312" w:hAnsi="仿宋_GB2312" w:eastAsia="仿宋_GB2312" w:cs="仿宋_GB2312"/>
          <w:color w:val="auto"/>
          <w:sz w:val="32"/>
          <w:szCs w:val="32"/>
          <w:highlight w:val="none"/>
          <w:lang w:eastAsia="zh-CN"/>
        </w:rPr>
        <w:t>；二是</w:t>
      </w:r>
      <w:r>
        <w:rPr>
          <w:rFonts w:hint="eastAsia" w:ascii="仿宋_GB2312" w:hAnsi="仿宋_GB2312" w:eastAsia="仿宋_GB2312" w:cs="仿宋_GB2312"/>
          <w:color w:val="auto"/>
          <w:sz w:val="32"/>
          <w:szCs w:val="32"/>
          <w:highlight w:val="none"/>
          <w:lang w:val="en-US" w:eastAsia="zh-CN"/>
        </w:rPr>
        <w:t>增强了结果导向的管理理念和部门支出责任意识</w:t>
      </w:r>
      <w:r>
        <w:rPr>
          <w:rFonts w:hint="eastAsia" w:ascii="仿宋_GB2312" w:hAnsi="仿宋_GB2312" w:eastAsia="仿宋_GB2312" w:cs="仿宋_GB2312"/>
          <w:color w:val="auto"/>
          <w:sz w:val="32"/>
          <w:szCs w:val="32"/>
          <w:highlight w:val="none"/>
          <w:lang w:eastAsia="zh-CN"/>
        </w:rPr>
        <w:t>。发现的问题及原因：一是绩效工作认识不够深入，对预算绩效管理认识有局限，持续改善管理的重视程度不够，绩效目标管理、绩效运行监控、绩效评价、评价结果应用</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全过程绩效管理理念仍未形成；</w:t>
      </w:r>
      <w:r>
        <w:rPr>
          <w:rFonts w:hint="eastAsia" w:ascii="仿宋_GB2312" w:hAnsi="仿宋_GB2312" w:eastAsia="仿宋_GB2312" w:cs="仿宋_GB2312"/>
          <w:color w:val="auto"/>
          <w:sz w:val="32"/>
          <w:szCs w:val="32"/>
          <w:highlight w:val="none"/>
          <w:lang w:val="en-US" w:eastAsia="zh-CN"/>
        </w:rPr>
        <w:t>二是绩效目标设定科学性、合理性不够，难以量化和考核的现象仍普遍存在；三是人员更换、交接不清、报送资料不及时现象，没有充分发挥预算绩效管理促进资金高效使用的作用。</w:t>
      </w:r>
      <w:r>
        <w:rPr>
          <w:rFonts w:hint="eastAsia" w:ascii="仿宋_GB2312" w:hAnsi="仿宋_GB2312" w:eastAsia="仿宋_GB2312" w:cs="仿宋_GB2312"/>
          <w:color w:val="auto"/>
          <w:sz w:val="32"/>
          <w:szCs w:val="32"/>
          <w:highlight w:val="none"/>
          <w:lang w:eastAsia="zh-CN"/>
        </w:rPr>
        <w:t>下一步改进措施：一是持续强化预算绩效管理意识，从传统预算管理方式向绩效管理方式转型，从重资金投入管理转向重预算编制、执行和监管全过程绩效管理，深入开展财政绩效管理宣传工作，宣传预算绩效管理的重要性，让预算绩效管理完全渗透到单位的资金和项目管理中，进一步牢固树立绩效管理意识；二是更深入的将绩效管理结果同预算编制相结合，完善绩效评价结果的反馈和运用机制；</w:t>
      </w:r>
      <w:r>
        <w:rPr>
          <w:rFonts w:hint="eastAsia" w:ascii="仿宋_GB2312" w:hAnsi="仿宋_GB2312" w:eastAsia="仿宋_GB2312" w:cs="仿宋_GB2312"/>
          <w:color w:val="auto"/>
          <w:sz w:val="32"/>
          <w:szCs w:val="32"/>
          <w:highlight w:val="none"/>
          <w:lang w:val="en-US" w:eastAsia="zh-CN"/>
        </w:rPr>
        <w:t>三是加强评价结果应用，</w:t>
      </w:r>
      <w:r>
        <w:rPr>
          <w:rFonts w:hint="eastAsia" w:ascii="仿宋_GB2312" w:hAnsi="仿宋_GB2312" w:eastAsia="仿宋_GB2312" w:cs="仿宋_GB2312"/>
          <w:color w:val="auto"/>
          <w:sz w:val="32"/>
          <w:szCs w:val="32"/>
          <w:highlight w:val="none"/>
          <w:lang w:eastAsia="zh-CN"/>
        </w:rPr>
        <w:t>将评价结果作为安排以后年度预算的重要依据，切实发挥绩效评价工作的应有作用。具体</w:t>
      </w:r>
      <w:r>
        <w:rPr>
          <w:rFonts w:hint="eastAsia" w:ascii="仿宋_GB2312" w:hAnsi="仿宋_GB2312" w:eastAsia="仿宋_GB2312" w:cs="仿宋_GB2312"/>
          <w:color w:val="auto"/>
          <w:sz w:val="32"/>
          <w:szCs w:val="32"/>
          <w:highlight w:val="none"/>
        </w:rPr>
        <w:t>项目自评情况附绩效自评表。</w:t>
      </w:r>
      <w:bookmarkStart w:id="48" w:name="_GoBack"/>
      <w:bookmarkEnd w:id="48"/>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lang w:eastAsia="zh-CN"/>
        </w:rPr>
        <w:t>十</w:t>
      </w:r>
      <w:r>
        <w:rPr>
          <w:rFonts w:hint="default" w:ascii="Times New Roman" w:hAnsi="Times New Roman" w:eastAsia="黑体" w:cs="Times New Roman"/>
          <w:bCs/>
          <w:color w:val="auto"/>
          <w:kern w:val="0"/>
          <w:sz w:val="32"/>
          <w:szCs w:val="32"/>
          <w:highlight w:val="none"/>
          <w:lang w:val="en-US" w:eastAsia="zh-CN"/>
        </w:rPr>
        <w:t>二</w:t>
      </w:r>
      <w:r>
        <w:rPr>
          <w:rFonts w:hint="default" w:ascii="Times New Roman" w:hAnsi="Times New Roman" w:eastAsia="黑体" w:cs="Times New Roman"/>
          <w:bCs/>
          <w:color w:val="auto"/>
          <w:kern w:val="0"/>
          <w:sz w:val="32"/>
          <w:szCs w:val="32"/>
          <w:highlight w:val="none"/>
          <w:lang w:eastAsia="zh-CN"/>
        </w:rPr>
        <w:t>、其他需说明的事项</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default" w:ascii="Times New Roman" w:hAnsi="Times New Roman" w:eastAsia="仿宋_GB2312" w:cs="Times New Roman"/>
          <w:color w:val="auto"/>
          <w:kern w:val="0"/>
          <w:sz w:val="32"/>
          <w:szCs w:val="32"/>
          <w:highlight w:val="none"/>
          <w:lang w:val="en-US" w:eastAsia="zh-CN"/>
        </w:rPr>
        <w:t>本单位无其他需说明事项</w:t>
      </w:r>
      <w:bookmarkStart w:id="30" w:name="_Toc3250"/>
      <w:bookmarkStart w:id="31" w:name="_Toc24143"/>
      <w:r>
        <w:rPr>
          <w:rFonts w:hint="default" w:ascii="仿宋_GB2312" w:hAnsi="Times New Roman" w:eastAsia="仿宋_GB2312" w:cs="Times New Roman"/>
          <w:color w:val="auto"/>
          <w:spacing w:val="0"/>
          <w:kern w:val="2"/>
          <w:sz w:val="32"/>
          <w:szCs w:val="32"/>
          <w:highlight w:val="none"/>
          <w:lang w:val="zh-CN" w:eastAsia="zh-CN" w:bidi="ar-SA"/>
        </w:rPr>
        <w:br w:type="page"/>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部分 专业名词解释</w:t>
      </w:r>
      <w:bookmarkEnd w:id="30"/>
      <w:bookmarkEnd w:id="31"/>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rPr>
        <w:t>财政拨款收入：</w:t>
      </w:r>
      <w:r>
        <w:rPr>
          <w:rFonts w:hint="default" w:ascii="Times New Roman" w:hAnsi="Times New Roman" w:eastAsia="仿宋_GB2312" w:cs="Times New Roman"/>
          <w:color w:val="auto"/>
          <w:sz w:val="32"/>
          <w:szCs w:val="32"/>
          <w:highlight w:val="none"/>
        </w:rPr>
        <w:t>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rPr>
        <w:t>上级补助收入：</w:t>
      </w:r>
      <w:r>
        <w:rPr>
          <w:rFonts w:hint="default" w:ascii="Times New Roman" w:hAnsi="Times New Roman" w:eastAsia="仿宋_GB2312" w:cs="Times New Roman"/>
          <w:color w:val="auto"/>
          <w:sz w:val="32"/>
          <w:szCs w:val="32"/>
          <w:highlight w:val="none"/>
        </w:rPr>
        <w:t>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事业收入：</w:t>
      </w:r>
      <w:r>
        <w:rPr>
          <w:rFonts w:hint="default" w:ascii="Times New Roman" w:hAnsi="Times New Roman" w:eastAsia="仿宋_GB2312" w:cs="Times New Roman"/>
          <w:color w:val="auto"/>
          <w:sz w:val="32"/>
          <w:szCs w:val="32"/>
          <w:highlight w:val="none"/>
        </w:rPr>
        <w:t>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经营收入：</w:t>
      </w:r>
      <w:r>
        <w:rPr>
          <w:rFonts w:hint="default" w:ascii="Times New Roman" w:hAnsi="Times New Roman" w:eastAsia="仿宋_GB2312" w:cs="Times New Roman"/>
          <w:color w:val="auto"/>
          <w:sz w:val="32"/>
          <w:szCs w:val="32"/>
          <w:highlight w:val="none"/>
        </w:rPr>
        <w:t>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rPr>
        <w:t>附属单位上缴收入：</w:t>
      </w:r>
      <w:r>
        <w:rPr>
          <w:rFonts w:hint="default" w:ascii="Times New Roman" w:hAnsi="Times New Roman" w:eastAsia="仿宋_GB2312" w:cs="Times New Roman"/>
          <w:color w:val="auto"/>
          <w:sz w:val="32"/>
          <w:szCs w:val="32"/>
          <w:highlight w:val="none"/>
        </w:rPr>
        <w:t>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六、</w:t>
      </w:r>
      <w:r>
        <w:rPr>
          <w:rFonts w:hint="default" w:ascii="Times New Roman" w:hAnsi="Times New Roman" w:eastAsia="仿宋_GB2312" w:cs="Times New Roman"/>
          <w:b/>
          <w:bCs/>
          <w:color w:val="auto"/>
          <w:sz w:val="32"/>
          <w:szCs w:val="32"/>
          <w:highlight w:val="none"/>
        </w:rPr>
        <w:t>其他收入：</w:t>
      </w:r>
      <w:r>
        <w:rPr>
          <w:rFonts w:hint="default" w:ascii="Times New Roman" w:hAnsi="Times New Roman" w:eastAsia="仿宋_GB2312" w:cs="Times New Roman"/>
          <w:color w:val="auto"/>
          <w:sz w:val="32"/>
          <w:szCs w:val="32"/>
          <w:highlight w:val="none"/>
        </w:rPr>
        <w:t>指除上述“财政拨款收入”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lang w:eastAsia="zh-CN"/>
        </w:rPr>
        <w:t>年初</w:t>
      </w:r>
      <w:r>
        <w:rPr>
          <w:rFonts w:hint="default" w:ascii="Times New Roman" w:hAnsi="Times New Roman" w:eastAsia="仿宋_GB2312" w:cs="Times New Roman"/>
          <w:b/>
          <w:bCs/>
          <w:color w:val="auto"/>
          <w:sz w:val="32"/>
          <w:szCs w:val="32"/>
          <w:highlight w:val="none"/>
        </w:rPr>
        <w:t>结转和结余：</w:t>
      </w:r>
      <w:r>
        <w:rPr>
          <w:rFonts w:hint="default" w:ascii="Times New Roman" w:hAnsi="Times New Roman" w:eastAsia="仿宋_GB2312" w:cs="Times New Roman"/>
          <w:color w:val="auto"/>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rPr>
        <w:t>年末结转和结余：</w:t>
      </w:r>
      <w:r>
        <w:rPr>
          <w:rFonts w:hint="default" w:ascii="Times New Roman" w:hAnsi="Times New Roman" w:eastAsia="仿宋_GB2312" w:cs="Times New Roman"/>
          <w:color w:val="auto"/>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rPr>
        <w:t>基本支出：</w:t>
      </w:r>
      <w:r>
        <w:rPr>
          <w:rFonts w:hint="default" w:ascii="Times New Roman" w:hAnsi="Times New Roman" w:eastAsia="仿宋_GB2312" w:cs="Times New Roman"/>
          <w:color w:val="auto"/>
          <w:sz w:val="32"/>
          <w:szCs w:val="32"/>
          <w:highlight w:val="none"/>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w:t>
      </w:r>
      <w:r>
        <w:rPr>
          <w:rFonts w:hint="default" w:ascii="Times New Roman" w:hAnsi="Times New Roman" w:eastAsia="仿宋_GB2312" w:cs="Times New Roman"/>
          <w:b/>
          <w:bCs/>
          <w:color w:val="auto"/>
          <w:sz w:val="32"/>
          <w:szCs w:val="32"/>
          <w:highlight w:val="none"/>
        </w:rPr>
        <w:t>项目支出：</w:t>
      </w:r>
      <w:r>
        <w:rPr>
          <w:rFonts w:hint="default" w:ascii="Times New Roman" w:hAnsi="Times New Roman" w:eastAsia="仿宋_GB2312" w:cs="Times New Roman"/>
          <w:color w:val="auto"/>
          <w:sz w:val="32"/>
          <w:szCs w:val="32"/>
          <w:highlight w:val="none"/>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十一、</w:t>
      </w:r>
      <w:r>
        <w:rPr>
          <w:rFonts w:hint="default" w:ascii="Times New Roman" w:hAnsi="Times New Roman" w:eastAsia="仿宋_GB2312" w:cs="Times New Roman"/>
          <w:b/>
          <w:bCs/>
          <w:color w:val="auto"/>
          <w:sz w:val="32"/>
          <w:szCs w:val="32"/>
          <w:highlight w:val="none"/>
        </w:rPr>
        <w:t>经营支出：</w:t>
      </w:r>
      <w:r>
        <w:rPr>
          <w:rFonts w:hint="default" w:ascii="Times New Roman" w:hAnsi="Times New Roman" w:eastAsia="仿宋_GB2312" w:cs="Times New Roman"/>
          <w:color w:val="auto"/>
          <w:sz w:val="32"/>
          <w:szCs w:val="32"/>
          <w:highlight w:val="none"/>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十二、</w:t>
      </w:r>
      <w:r>
        <w:rPr>
          <w:rFonts w:hint="default" w:ascii="Times New Roman" w:hAnsi="Times New Roman" w:eastAsia="仿宋_GB2312" w:cs="Times New Roman"/>
          <w:b/>
          <w:bCs/>
          <w:color w:val="auto"/>
          <w:sz w:val="32"/>
          <w:szCs w:val="32"/>
          <w:highlight w:val="none"/>
        </w:rPr>
        <w:t>对附属单位补助支出：</w:t>
      </w:r>
      <w:r>
        <w:rPr>
          <w:rFonts w:hint="default" w:ascii="Times New Roman" w:hAnsi="Times New Roman" w:eastAsia="仿宋_GB2312" w:cs="Times New Roman"/>
          <w:color w:val="auto"/>
          <w:sz w:val="32"/>
          <w:szCs w:val="32"/>
          <w:highlight w:val="none"/>
        </w:rPr>
        <w:t>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十三、</w:t>
      </w:r>
      <w:r>
        <w:rPr>
          <w:rFonts w:hint="default" w:ascii="Times New Roman" w:hAnsi="Times New Roman" w:eastAsia="仿宋_GB2312" w:cs="Times New Roman"/>
          <w:b/>
          <w:bCs/>
          <w:color w:val="auto"/>
          <w:sz w:val="32"/>
          <w:szCs w:val="32"/>
          <w:highlight w:val="none"/>
        </w:rPr>
        <w:t>“三公”经费：</w:t>
      </w:r>
      <w:r>
        <w:rPr>
          <w:rFonts w:hint="default" w:ascii="Times New Roman" w:hAnsi="Times New Roman" w:eastAsia="仿宋_GB2312" w:cs="Times New Roman"/>
          <w:color w:val="auto"/>
          <w:sz w:val="32"/>
          <w:szCs w:val="32"/>
          <w:highlight w:val="none"/>
        </w:rPr>
        <w:t>指用财政拨款安排的因公出国（境）费、公务用车购置及运行费和公务接待费。其中，因公出国（境）费反映单位公务出国（境）的</w:t>
      </w:r>
      <w:r>
        <w:rPr>
          <w:rFonts w:hint="default" w:ascii="Times New Roman" w:hAnsi="Times New Roman" w:eastAsia="仿宋_GB2312" w:cs="Times New Roman"/>
          <w:color w:val="auto"/>
          <w:sz w:val="32"/>
          <w:szCs w:val="32"/>
          <w:highlight w:val="none"/>
          <w:lang w:eastAsia="zh-CN"/>
        </w:rPr>
        <w:t>国际旅费、国外城市间交通费、</w:t>
      </w:r>
      <w:r>
        <w:rPr>
          <w:rFonts w:hint="default" w:ascii="Times New Roman" w:hAnsi="Times New Roman" w:eastAsia="仿宋_GB2312" w:cs="Times New Roman"/>
          <w:color w:val="auto"/>
          <w:sz w:val="32"/>
          <w:szCs w:val="32"/>
          <w:highlight w:val="none"/>
        </w:rPr>
        <w:t>住宿费、伙食费、培训费、</w:t>
      </w:r>
      <w:r>
        <w:rPr>
          <w:rFonts w:hint="default" w:ascii="Times New Roman" w:hAnsi="Times New Roman" w:eastAsia="仿宋_GB2312" w:cs="Times New Roman"/>
          <w:color w:val="auto"/>
          <w:sz w:val="32"/>
          <w:szCs w:val="32"/>
          <w:highlight w:val="none"/>
          <w:lang w:eastAsia="zh-CN"/>
        </w:rPr>
        <w:t>公</w:t>
      </w:r>
      <w:r>
        <w:rPr>
          <w:rFonts w:hint="default" w:ascii="Times New Roman" w:hAnsi="Times New Roman" w:eastAsia="仿宋_GB2312" w:cs="Times New Roman"/>
          <w:color w:val="auto"/>
          <w:sz w:val="32"/>
          <w:szCs w:val="32"/>
          <w:highlight w:val="none"/>
        </w:rPr>
        <w:t>杂费等支出；公务用车购置费</w:t>
      </w:r>
      <w:r>
        <w:rPr>
          <w:rFonts w:hint="default" w:ascii="Times New Roman" w:hAnsi="Times New Roman" w:eastAsia="仿宋_GB2312" w:cs="Times New Roman"/>
          <w:color w:val="auto"/>
          <w:sz w:val="32"/>
          <w:szCs w:val="32"/>
          <w:highlight w:val="none"/>
          <w:lang w:eastAsia="zh-CN"/>
        </w:rPr>
        <w:t>反映公务用车购置支出（含车辆购置税、牌照费）；</w:t>
      </w:r>
      <w:r>
        <w:rPr>
          <w:rFonts w:hint="default" w:ascii="Times New Roman" w:hAnsi="Times New Roman" w:eastAsia="仿宋_GB2312" w:cs="Times New Roman"/>
          <w:color w:val="auto"/>
          <w:sz w:val="32"/>
          <w:szCs w:val="32"/>
          <w:highlight w:val="none"/>
        </w:rPr>
        <w:t>公务用车运行</w:t>
      </w:r>
      <w:r>
        <w:rPr>
          <w:rFonts w:hint="default" w:ascii="Times New Roman" w:hAnsi="Times New Roman" w:eastAsia="仿宋_GB2312" w:cs="Times New Roman"/>
          <w:color w:val="auto"/>
          <w:sz w:val="32"/>
          <w:szCs w:val="32"/>
          <w:highlight w:val="none"/>
          <w:lang w:eastAsia="zh-CN"/>
        </w:rPr>
        <w:t>维护</w:t>
      </w:r>
      <w:r>
        <w:rPr>
          <w:rFonts w:hint="default" w:ascii="Times New Roman" w:hAnsi="Times New Roman" w:eastAsia="仿宋_GB2312" w:cs="Times New Roman"/>
          <w:color w:val="auto"/>
          <w:sz w:val="32"/>
          <w:szCs w:val="32"/>
          <w:highlight w:val="none"/>
        </w:rPr>
        <w:t>费反映</w:t>
      </w:r>
      <w:r>
        <w:rPr>
          <w:rFonts w:hint="default" w:ascii="Times New Roman" w:hAnsi="Times New Roman" w:eastAsia="仿宋_GB2312" w:cs="Times New Roman"/>
          <w:color w:val="auto"/>
          <w:sz w:val="32"/>
          <w:szCs w:val="32"/>
          <w:highlight w:val="none"/>
          <w:lang w:eastAsia="zh-CN"/>
        </w:rPr>
        <w:t>单位按规定保留的公务用车燃料费、维修费、</w:t>
      </w:r>
      <w:r>
        <w:rPr>
          <w:rFonts w:hint="default" w:ascii="Times New Roman" w:hAnsi="Times New Roman" w:eastAsia="仿宋_GB2312" w:cs="Times New Roman"/>
          <w:color w:val="auto"/>
          <w:sz w:val="32"/>
          <w:szCs w:val="32"/>
          <w:highlight w:val="none"/>
        </w:rPr>
        <w:t>过路过桥费、保险费、安全奖励费用等支出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公务接待费反映单位按规定开支的各类公务接待（含外宾接待）</w:t>
      </w:r>
      <w:r>
        <w:rPr>
          <w:rFonts w:hint="default" w:ascii="Times New Roman" w:hAnsi="Times New Roman" w:eastAsia="仿宋_GB2312" w:cs="Times New Roman"/>
          <w:color w:val="auto"/>
          <w:sz w:val="32"/>
          <w:szCs w:val="32"/>
          <w:highlight w:val="none"/>
          <w:lang w:eastAsia="zh-CN"/>
        </w:rPr>
        <w:t>费用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十四、</w:t>
      </w:r>
      <w:r>
        <w:rPr>
          <w:rFonts w:hint="default" w:ascii="Times New Roman" w:hAnsi="Times New Roman" w:eastAsia="仿宋_GB2312" w:cs="Times New Roman"/>
          <w:b/>
          <w:bCs/>
          <w:color w:val="auto"/>
          <w:sz w:val="32"/>
          <w:szCs w:val="32"/>
          <w:highlight w:val="none"/>
        </w:rPr>
        <w:t>机关运行经费：</w:t>
      </w:r>
      <w:r>
        <w:rPr>
          <w:rFonts w:hint="default" w:ascii="Times New Roman" w:hAnsi="Times New Roman" w:eastAsia="仿宋_GB2312" w:cs="Times New Roman"/>
          <w:color w:val="auto"/>
          <w:sz w:val="32"/>
          <w:szCs w:val="32"/>
          <w:highlight w:val="none"/>
        </w:rPr>
        <w:t>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黑体" w:cs="Times New Roman"/>
          <w:color w:val="auto"/>
          <w:sz w:val="32"/>
          <w:szCs w:val="32"/>
          <w:highlight w:val="none"/>
        </w:rPr>
        <w:t>第四部分 部门决算报表（见附表）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32" w:name="_Toc2183"/>
      <w:bookmarkStart w:id="33" w:name="_Toc6062"/>
      <w:r>
        <w:rPr>
          <w:rFonts w:hint="default" w:ascii="Times New Roman" w:hAnsi="Times New Roman" w:eastAsia="仿宋_GB2312" w:cs="Times New Roman"/>
          <w:bCs/>
          <w:color w:val="auto"/>
          <w:kern w:val="0"/>
          <w:sz w:val="32"/>
          <w:szCs w:val="32"/>
          <w:highlight w:val="none"/>
        </w:rPr>
        <w:t>一、《收入支出决算总表》</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34" w:name="_Toc30364"/>
      <w:bookmarkStart w:id="35" w:name="_Toc24532"/>
      <w:r>
        <w:rPr>
          <w:rFonts w:hint="default" w:ascii="Times New Roman" w:hAnsi="Times New Roman" w:eastAsia="仿宋_GB2312" w:cs="Times New Roman"/>
          <w:bCs/>
          <w:color w:val="auto"/>
          <w:kern w:val="0"/>
          <w:sz w:val="32"/>
          <w:szCs w:val="32"/>
          <w:highlight w:val="none"/>
        </w:rPr>
        <w:t>二、《收入决算表》</w:t>
      </w:r>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36" w:name="_Toc21304"/>
      <w:bookmarkStart w:id="37" w:name="_Toc32434"/>
      <w:r>
        <w:rPr>
          <w:rFonts w:hint="default" w:ascii="Times New Roman" w:hAnsi="Times New Roman" w:eastAsia="仿宋_GB2312" w:cs="Times New Roman"/>
          <w:bCs/>
          <w:color w:val="auto"/>
          <w:kern w:val="0"/>
          <w:sz w:val="32"/>
          <w:szCs w:val="32"/>
          <w:highlight w:val="none"/>
        </w:rPr>
        <w:t>三、《支出决算表》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38" w:name="_Toc14238"/>
      <w:bookmarkStart w:id="39" w:name="_Toc28786"/>
      <w:r>
        <w:rPr>
          <w:rFonts w:hint="default" w:ascii="Times New Roman" w:hAnsi="Times New Roman" w:eastAsia="仿宋_GB2312" w:cs="Times New Roman"/>
          <w:bCs/>
          <w:color w:val="auto"/>
          <w:kern w:val="0"/>
          <w:sz w:val="32"/>
          <w:szCs w:val="32"/>
          <w:highlight w:val="none"/>
        </w:rPr>
        <w:t>四、《财政拨款收入支出决算总表》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40" w:name="_Toc14869"/>
      <w:bookmarkStart w:id="41" w:name="_Toc10347"/>
      <w:r>
        <w:rPr>
          <w:rFonts w:hint="default" w:ascii="Times New Roman" w:hAnsi="Times New Roman" w:eastAsia="仿宋_GB2312" w:cs="Times New Roman"/>
          <w:bCs/>
          <w:color w:val="auto"/>
          <w:kern w:val="0"/>
          <w:sz w:val="32"/>
          <w:szCs w:val="32"/>
          <w:highlight w:val="none"/>
        </w:rPr>
        <w:t>五、《一般公共预算财政拨款支出决算表》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42" w:name="_Toc5626"/>
      <w:bookmarkStart w:id="43" w:name="_Toc8884"/>
      <w:r>
        <w:rPr>
          <w:rFonts w:hint="default" w:ascii="Times New Roman" w:hAnsi="Times New Roman" w:eastAsia="仿宋_GB2312" w:cs="Times New Roman"/>
          <w:bCs/>
          <w:color w:val="auto"/>
          <w:kern w:val="0"/>
          <w:sz w:val="32"/>
          <w:szCs w:val="32"/>
          <w:highlight w:val="none"/>
        </w:rPr>
        <w:t>六、《一般公共预算财政拨款基本支出决算表》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七、</w:t>
      </w:r>
      <w:bookmarkStart w:id="44" w:name="_Toc29106"/>
      <w:bookmarkStart w:id="45" w:name="_Toc32663"/>
      <w:r>
        <w:rPr>
          <w:rFonts w:hint="default" w:ascii="Times New Roman" w:hAnsi="Times New Roman" w:eastAsia="仿宋_GB2312" w:cs="Times New Roman"/>
          <w:bCs/>
          <w:color w:val="auto"/>
          <w:kern w:val="0"/>
          <w:sz w:val="32"/>
          <w:szCs w:val="32"/>
          <w:highlight w:val="none"/>
        </w:rPr>
        <w:t>《财政拨款“三公”经费支出决算表》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bookmarkStart w:id="46" w:name="_Toc5453"/>
      <w:bookmarkStart w:id="47" w:name="_Toc7643"/>
      <w:r>
        <w:rPr>
          <w:rFonts w:hint="default" w:ascii="Times New Roman" w:hAnsi="Times New Roman" w:eastAsia="仿宋_GB2312" w:cs="Times New Roman"/>
          <w:bCs/>
          <w:color w:val="auto"/>
          <w:kern w:val="0"/>
          <w:sz w:val="32"/>
          <w:szCs w:val="32"/>
          <w:highlight w:val="none"/>
        </w:rPr>
        <w:t>八、《政府性基金预算财政拨款收入支出决算表》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val="en-US" w:eastAsia="zh-CN"/>
        </w:rPr>
        <w:t>九</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lang w:eastAsia="zh-CN"/>
        </w:rPr>
        <w:t>国有资本经营</w:t>
      </w:r>
      <w:r>
        <w:rPr>
          <w:rFonts w:hint="default" w:ascii="Times New Roman" w:hAnsi="Times New Roman" w:eastAsia="仿宋_GB2312" w:cs="Times New Roman"/>
          <w:bCs/>
          <w:color w:val="auto"/>
          <w:kern w:val="0"/>
          <w:sz w:val="32"/>
          <w:szCs w:val="32"/>
          <w:highlight w:val="none"/>
        </w:rPr>
        <w:t>预算财政拨款收入支出决算表》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color w:val="auto"/>
          <w:kern w:val="0"/>
          <w:sz w:val="32"/>
          <w:szCs w:val="32"/>
          <w:highlight w:val="none"/>
          <w:lang w:eastAsia="zh-CN"/>
        </w:rPr>
      </w:pPr>
    </w:p>
    <w:sectPr>
      <w:headerReference r:id="rId4" w:type="first"/>
      <w:footerReference r:id="rId6" w:type="first"/>
      <w:headerReference r:id="rId3" w:type="default"/>
      <w:footerReference r:id="rId5" w:type="default"/>
      <w:pgSz w:w="11906" w:h="16838"/>
      <w:pgMar w:top="1440" w:right="1757" w:bottom="1440" w:left="1757" w:header="851" w:footer="992" w:gutter="0"/>
      <w:pgNumType w:fmt="decimal"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TJlOTYyYzMwNDc1MWQ0MmQ0MjM2MDYyN2M3NmYifQ=="/>
    <w:docVar w:name="KSO_WPS_MARK_KEY" w:val="41ee2a61-2d54-4f93-83be-afdb9a40d732"/>
  </w:docVars>
  <w:rsids>
    <w:rsidRoot w:val="00000000"/>
    <w:rsid w:val="00020092"/>
    <w:rsid w:val="00047D12"/>
    <w:rsid w:val="00066A99"/>
    <w:rsid w:val="00213C59"/>
    <w:rsid w:val="002F7C5D"/>
    <w:rsid w:val="003210CE"/>
    <w:rsid w:val="006832BA"/>
    <w:rsid w:val="006A2F3A"/>
    <w:rsid w:val="006B423F"/>
    <w:rsid w:val="007F1046"/>
    <w:rsid w:val="008760ED"/>
    <w:rsid w:val="009E7F11"/>
    <w:rsid w:val="00B70D59"/>
    <w:rsid w:val="00B91DBF"/>
    <w:rsid w:val="00C75852"/>
    <w:rsid w:val="00CF64E1"/>
    <w:rsid w:val="00DE0CFA"/>
    <w:rsid w:val="00EC5A91"/>
    <w:rsid w:val="00F52A8D"/>
    <w:rsid w:val="010230DF"/>
    <w:rsid w:val="01027C35"/>
    <w:rsid w:val="01181DD9"/>
    <w:rsid w:val="012D42FD"/>
    <w:rsid w:val="012F7800"/>
    <w:rsid w:val="01376E0A"/>
    <w:rsid w:val="013D4597"/>
    <w:rsid w:val="017930F7"/>
    <w:rsid w:val="019404F8"/>
    <w:rsid w:val="01BF166D"/>
    <w:rsid w:val="01CB2F01"/>
    <w:rsid w:val="01CE0603"/>
    <w:rsid w:val="01D63491"/>
    <w:rsid w:val="01EF43BB"/>
    <w:rsid w:val="01F178BE"/>
    <w:rsid w:val="01F739C5"/>
    <w:rsid w:val="01F77248"/>
    <w:rsid w:val="01F9274C"/>
    <w:rsid w:val="02125874"/>
    <w:rsid w:val="023A0FB7"/>
    <w:rsid w:val="023B0C37"/>
    <w:rsid w:val="024B680E"/>
    <w:rsid w:val="0250315A"/>
    <w:rsid w:val="028C553E"/>
    <w:rsid w:val="029370C7"/>
    <w:rsid w:val="02944B48"/>
    <w:rsid w:val="02AC7FF1"/>
    <w:rsid w:val="02BD3108"/>
    <w:rsid w:val="02DB52BD"/>
    <w:rsid w:val="02E3014B"/>
    <w:rsid w:val="02F516EA"/>
    <w:rsid w:val="02F73D26"/>
    <w:rsid w:val="02F900F0"/>
    <w:rsid w:val="02FA7D70"/>
    <w:rsid w:val="02FC3273"/>
    <w:rsid w:val="03074E87"/>
    <w:rsid w:val="030F4492"/>
    <w:rsid w:val="03151C1F"/>
    <w:rsid w:val="03187320"/>
    <w:rsid w:val="031C5D26"/>
    <w:rsid w:val="032F27C8"/>
    <w:rsid w:val="03362153"/>
    <w:rsid w:val="033D1ADE"/>
    <w:rsid w:val="034D4FEF"/>
    <w:rsid w:val="035A6E90"/>
    <w:rsid w:val="035D1785"/>
    <w:rsid w:val="035D4591"/>
    <w:rsid w:val="039B78F9"/>
    <w:rsid w:val="039F47CE"/>
    <w:rsid w:val="03BD1133"/>
    <w:rsid w:val="03C52CBC"/>
    <w:rsid w:val="03C816C2"/>
    <w:rsid w:val="03E05CE8"/>
    <w:rsid w:val="03F82211"/>
    <w:rsid w:val="03F973EE"/>
    <w:rsid w:val="04174CC4"/>
    <w:rsid w:val="041B36CB"/>
    <w:rsid w:val="041D49CF"/>
    <w:rsid w:val="042033D6"/>
    <w:rsid w:val="04253FDA"/>
    <w:rsid w:val="042929E0"/>
    <w:rsid w:val="043210F1"/>
    <w:rsid w:val="04330D71"/>
    <w:rsid w:val="043E5B56"/>
    <w:rsid w:val="04485493"/>
    <w:rsid w:val="044C3E9A"/>
    <w:rsid w:val="0459572E"/>
    <w:rsid w:val="046318C1"/>
    <w:rsid w:val="046A6CCD"/>
    <w:rsid w:val="046E56D3"/>
    <w:rsid w:val="047F596D"/>
    <w:rsid w:val="0491498E"/>
    <w:rsid w:val="04945913"/>
    <w:rsid w:val="04973014"/>
    <w:rsid w:val="04A610B0"/>
    <w:rsid w:val="04AD51B8"/>
    <w:rsid w:val="04C04386"/>
    <w:rsid w:val="04C32BDF"/>
    <w:rsid w:val="04C75D62"/>
    <w:rsid w:val="04D5637C"/>
    <w:rsid w:val="04EB0520"/>
    <w:rsid w:val="04FA0B3A"/>
    <w:rsid w:val="04FA68C4"/>
    <w:rsid w:val="053D4AA7"/>
    <w:rsid w:val="053F5AE6"/>
    <w:rsid w:val="055424CE"/>
    <w:rsid w:val="05646EE5"/>
    <w:rsid w:val="05711A7E"/>
    <w:rsid w:val="057A1088"/>
    <w:rsid w:val="057C0B0F"/>
    <w:rsid w:val="05A16D4A"/>
    <w:rsid w:val="05AE605F"/>
    <w:rsid w:val="05D3081E"/>
    <w:rsid w:val="05D92727"/>
    <w:rsid w:val="05EF4B48"/>
    <w:rsid w:val="05F76ECA"/>
    <w:rsid w:val="05F77758"/>
    <w:rsid w:val="05FE70E3"/>
    <w:rsid w:val="0603356B"/>
    <w:rsid w:val="06071F71"/>
    <w:rsid w:val="06393A45"/>
    <w:rsid w:val="065B747D"/>
    <w:rsid w:val="066E2C1A"/>
    <w:rsid w:val="06792773"/>
    <w:rsid w:val="067A44AE"/>
    <w:rsid w:val="06801C3B"/>
    <w:rsid w:val="068063B8"/>
    <w:rsid w:val="06887047"/>
    <w:rsid w:val="06A430F4"/>
    <w:rsid w:val="06C30126"/>
    <w:rsid w:val="06E80366"/>
    <w:rsid w:val="06EB12EA"/>
    <w:rsid w:val="07051E94"/>
    <w:rsid w:val="07093795"/>
    <w:rsid w:val="070D72A1"/>
    <w:rsid w:val="073203DA"/>
    <w:rsid w:val="0763442C"/>
    <w:rsid w:val="077A4051"/>
    <w:rsid w:val="077C5356"/>
    <w:rsid w:val="077F3D5C"/>
    <w:rsid w:val="07804730"/>
    <w:rsid w:val="07867E64"/>
    <w:rsid w:val="079052BE"/>
    <w:rsid w:val="079216F8"/>
    <w:rsid w:val="07BF12C2"/>
    <w:rsid w:val="07CA2ED7"/>
    <w:rsid w:val="07D224E1"/>
    <w:rsid w:val="07D459E5"/>
    <w:rsid w:val="07E87F08"/>
    <w:rsid w:val="07F24F95"/>
    <w:rsid w:val="08043FB5"/>
    <w:rsid w:val="08145C21"/>
    <w:rsid w:val="082D18F6"/>
    <w:rsid w:val="08422688"/>
    <w:rsid w:val="084724A0"/>
    <w:rsid w:val="085854ED"/>
    <w:rsid w:val="085D7EC7"/>
    <w:rsid w:val="0879188F"/>
    <w:rsid w:val="08814C04"/>
    <w:rsid w:val="08876B0D"/>
    <w:rsid w:val="08A0354D"/>
    <w:rsid w:val="08A502BB"/>
    <w:rsid w:val="08B63DD9"/>
    <w:rsid w:val="08BD5962"/>
    <w:rsid w:val="08CD4C49"/>
    <w:rsid w:val="09114954"/>
    <w:rsid w:val="091C11FF"/>
    <w:rsid w:val="095A5B83"/>
    <w:rsid w:val="096466E3"/>
    <w:rsid w:val="0968304D"/>
    <w:rsid w:val="096F3207"/>
    <w:rsid w:val="097C031F"/>
    <w:rsid w:val="09AF3D17"/>
    <w:rsid w:val="09B43CFC"/>
    <w:rsid w:val="09CD6E24"/>
    <w:rsid w:val="09D1582A"/>
    <w:rsid w:val="09D232AC"/>
    <w:rsid w:val="0A1610AD"/>
    <w:rsid w:val="0A1914A2"/>
    <w:rsid w:val="0A1E20A6"/>
    <w:rsid w:val="0A23652E"/>
    <w:rsid w:val="0A3D295B"/>
    <w:rsid w:val="0A405ADE"/>
    <w:rsid w:val="0A447D68"/>
    <w:rsid w:val="0A542580"/>
    <w:rsid w:val="0A567C82"/>
    <w:rsid w:val="0A7809B7"/>
    <w:rsid w:val="0A7B4867"/>
    <w:rsid w:val="0A840954"/>
    <w:rsid w:val="0A8B04DC"/>
    <w:rsid w:val="0A8D5BDD"/>
    <w:rsid w:val="0A9928ED"/>
    <w:rsid w:val="0AAA770C"/>
    <w:rsid w:val="0AAC0A11"/>
    <w:rsid w:val="0AFA0790"/>
    <w:rsid w:val="0AFD4F98"/>
    <w:rsid w:val="0B5D0834"/>
    <w:rsid w:val="0B5E04B4"/>
    <w:rsid w:val="0B61769D"/>
    <w:rsid w:val="0B6C304D"/>
    <w:rsid w:val="0B796AE0"/>
    <w:rsid w:val="0B81776F"/>
    <w:rsid w:val="0B8C3ECC"/>
    <w:rsid w:val="0B921C08"/>
    <w:rsid w:val="0B9C639D"/>
    <w:rsid w:val="0BB052B2"/>
    <w:rsid w:val="0BD02D72"/>
    <w:rsid w:val="0BD33FFC"/>
    <w:rsid w:val="0BE97AC1"/>
    <w:rsid w:val="0BFA0333"/>
    <w:rsid w:val="0C1C4780"/>
    <w:rsid w:val="0C2E7888"/>
    <w:rsid w:val="0C3613A3"/>
    <w:rsid w:val="0C493935"/>
    <w:rsid w:val="0C5010C1"/>
    <w:rsid w:val="0C545549"/>
    <w:rsid w:val="0C5E519C"/>
    <w:rsid w:val="0C7227A7"/>
    <w:rsid w:val="0C7F757A"/>
    <w:rsid w:val="0C984D39"/>
    <w:rsid w:val="0CA52EE8"/>
    <w:rsid w:val="0CBD6988"/>
    <w:rsid w:val="0CD10396"/>
    <w:rsid w:val="0CD208AC"/>
    <w:rsid w:val="0CDF76AC"/>
    <w:rsid w:val="0CE473B7"/>
    <w:rsid w:val="0CEE1EC4"/>
    <w:rsid w:val="0CF62B54"/>
    <w:rsid w:val="0CF74D52"/>
    <w:rsid w:val="0CFD24DF"/>
    <w:rsid w:val="0D003464"/>
    <w:rsid w:val="0D0D7645"/>
    <w:rsid w:val="0D107E7B"/>
    <w:rsid w:val="0D161D84"/>
    <w:rsid w:val="0D4903E8"/>
    <w:rsid w:val="0D697610"/>
    <w:rsid w:val="0D7A4A46"/>
    <w:rsid w:val="0D7E3D32"/>
    <w:rsid w:val="0D99235D"/>
    <w:rsid w:val="0DB05806"/>
    <w:rsid w:val="0DC566A4"/>
    <w:rsid w:val="0DCD3AB1"/>
    <w:rsid w:val="0DEC6564"/>
    <w:rsid w:val="0E003006"/>
    <w:rsid w:val="0E2444C0"/>
    <w:rsid w:val="0E455CF9"/>
    <w:rsid w:val="0E4E5304"/>
    <w:rsid w:val="0E5B241B"/>
    <w:rsid w:val="0E5C7E9D"/>
    <w:rsid w:val="0E640559"/>
    <w:rsid w:val="0E871FE6"/>
    <w:rsid w:val="0EAE6622"/>
    <w:rsid w:val="0EB053A8"/>
    <w:rsid w:val="0EBE46BE"/>
    <w:rsid w:val="0EE65882"/>
    <w:rsid w:val="0EF8359E"/>
    <w:rsid w:val="0EFC1FA5"/>
    <w:rsid w:val="0F072534"/>
    <w:rsid w:val="0F075DB7"/>
    <w:rsid w:val="0F1113DA"/>
    <w:rsid w:val="0F176051"/>
    <w:rsid w:val="0F180250"/>
    <w:rsid w:val="0F1D7F5B"/>
    <w:rsid w:val="0F5C32C3"/>
    <w:rsid w:val="0F5C7A3F"/>
    <w:rsid w:val="0F6A47D7"/>
    <w:rsid w:val="0F773AEC"/>
    <w:rsid w:val="0F78534A"/>
    <w:rsid w:val="0F89358A"/>
    <w:rsid w:val="0F8C6D51"/>
    <w:rsid w:val="0F8F1193"/>
    <w:rsid w:val="0F9B0D24"/>
    <w:rsid w:val="0FBB6B5F"/>
    <w:rsid w:val="0FC33F6C"/>
    <w:rsid w:val="0FF643BB"/>
    <w:rsid w:val="100F2D66"/>
    <w:rsid w:val="101471EE"/>
    <w:rsid w:val="10242D0C"/>
    <w:rsid w:val="104963C3"/>
    <w:rsid w:val="105B0B5E"/>
    <w:rsid w:val="105D5064"/>
    <w:rsid w:val="108465A8"/>
    <w:rsid w:val="10985249"/>
    <w:rsid w:val="10A976E1"/>
    <w:rsid w:val="10AF15EB"/>
    <w:rsid w:val="10D208A6"/>
    <w:rsid w:val="10D64D2E"/>
    <w:rsid w:val="10DF7BBC"/>
    <w:rsid w:val="10EE23D4"/>
    <w:rsid w:val="11200625"/>
    <w:rsid w:val="112428AE"/>
    <w:rsid w:val="11265DB1"/>
    <w:rsid w:val="112E58D0"/>
    <w:rsid w:val="11321BC4"/>
    <w:rsid w:val="113D59D7"/>
    <w:rsid w:val="11591A84"/>
    <w:rsid w:val="1167461D"/>
    <w:rsid w:val="11731CAC"/>
    <w:rsid w:val="117C0D3F"/>
    <w:rsid w:val="118306C9"/>
    <w:rsid w:val="118B5AD6"/>
    <w:rsid w:val="119500A0"/>
    <w:rsid w:val="11AA0589"/>
    <w:rsid w:val="11B203E4"/>
    <w:rsid w:val="11C0733B"/>
    <w:rsid w:val="11C26637"/>
    <w:rsid w:val="11C46F35"/>
    <w:rsid w:val="11C955BB"/>
    <w:rsid w:val="11CF2D47"/>
    <w:rsid w:val="11D50D17"/>
    <w:rsid w:val="11E00A63"/>
    <w:rsid w:val="11E12FC7"/>
    <w:rsid w:val="11E825EC"/>
    <w:rsid w:val="120E0809"/>
    <w:rsid w:val="12160F3D"/>
    <w:rsid w:val="125B4B29"/>
    <w:rsid w:val="127F665A"/>
    <w:rsid w:val="1298498E"/>
    <w:rsid w:val="12A63CA4"/>
    <w:rsid w:val="12AF45B4"/>
    <w:rsid w:val="12EF539D"/>
    <w:rsid w:val="12F7068C"/>
    <w:rsid w:val="12FB6C31"/>
    <w:rsid w:val="130A724C"/>
    <w:rsid w:val="130B144A"/>
    <w:rsid w:val="13617C5A"/>
    <w:rsid w:val="13717EF5"/>
    <w:rsid w:val="13923D70"/>
    <w:rsid w:val="13A12C42"/>
    <w:rsid w:val="13C23177"/>
    <w:rsid w:val="13C85080"/>
    <w:rsid w:val="13E77B33"/>
    <w:rsid w:val="13EB1DBD"/>
    <w:rsid w:val="13EF07C3"/>
    <w:rsid w:val="140C5C8F"/>
    <w:rsid w:val="14197409"/>
    <w:rsid w:val="141D000D"/>
    <w:rsid w:val="14207DC0"/>
    <w:rsid w:val="1424321C"/>
    <w:rsid w:val="1426671F"/>
    <w:rsid w:val="1427091D"/>
    <w:rsid w:val="143A1B3C"/>
    <w:rsid w:val="143C08C2"/>
    <w:rsid w:val="143E0542"/>
    <w:rsid w:val="146C3610"/>
    <w:rsid w:val="148235B5"/>
    <w:rsid w:val="14A26068"/>
    <w:rsid w:val="14AC43F9"/>
    <w:rsid w:val="14B932DA"/>
    <w:rsid w:val="14BC4694"/>
    <w:rsid w:val="14BF1D95"/>
    <w:rsid w:val="14C0309A"/>
    <w:rsid w:val="14EE28E4"/>
    <w:rsid w:val="14F55AF2"/>
    <w:rsid w:val="15027387"/>
    <w:rsid w:val="150A66AF"/>
    <w:rsid w:val="150E5397"/>
    <w:rsid w:val="150F6BD4"/>
    <w:rsid w:val="1513181F"/>
    <w:rsid w:val="15381DF6"/>
    <w:rsid w:val="154126EF"/>
    <w:rsid w:val="154C1139"/>
    <w:rsid w:val="156C0FB4"/>
    <w:rsid w:val="15863D5C"/>
    <w:rsid w:val="158C5B77"/>
    <w:rsid w:val="15A54611"/>
    <w:rsid w:val="15AB651B"/>
    <w:rsid w:val="15AC1D9E"/>
    <w:rsid w:val="15B13CA7"/>
    <w:rsid w:val="15C47445"/>
    <w:rsid w:val="15CA354C"/>
    <w:rsid w:val="15E51B78"/>
    <w:rsid w:val="160D1149"/>
    <w:rsid w:val="16165BCA"/>
    <w:rsid w:val="161C7AD3"/>
    <w:rsid w:val="163563C0"/>
    <w:rsid w:val="163760FE"/>
    <w:rsid w:val="164315EF"/>
    <w:rsid w:val="1649511F"/>
    <w:rsid w:val="164C4E8A"/>
    <w:rsid w:val="16550F32"/>
    <w:rsid w:val="16557DFE"/>
    <w:rsid w:val="16576633"/>
    <w:rsid w:val="167268FB"/>
    <w:rsid w:val="1683077C"/>
    <w:rsid w:val="16915513"/>
    <w:rsid w:val="16951D1B"/>
    <w:rsid w:val="16BF2B60"/>
    <w:rsid w:val="16CC1E75"/>
    <w:rsid w:val="16D50C50"/>
    <w:rsid w:val="16DF0E96"/>
    <w:rsid w:val="16E120E1"/>
    <w:rsid w:val="16E24019"/>
    <w:rsid w:val="16F06BB2"/>
    <w:rsid w:val="16FF5B47"/>
    <w:rsid w:val="17222AA1"/>
    <w:rsid w:val="172D3193"/>
    <w:rsid w:val="172F6697"/>
    <w:rsid w:val="17385A05"/>
    <w:rsid w:val="173B3901"/>
    <w:rsid w:val="1744663C"/>
    <w:rsid w:val="174817BF"/>
    <w:rsid w:val="174C5C47"/>
    <w:rsid w:val="17515952"/>
    <w:rsid w:val="175F4C67"/>
    <w:rsid w:val="17625BEC"/>
    <w:rsid w:val="176747F9"/>
    <w:rsid w:val="1782289D"/>
    <w:rsid w:val="17954A6E"/>
    <w:rsid w:val="17AC14E3"/>
    <w:rsid w:val="17C3498C"/>
    <w:rsid w:val="17E91348"/>
    <w:rsid w:val="180059E9"/>
    <w:rsid w:val="1811250D"/>
    <w:rsid w:val="184510FD"/>
    <w:rsid w:val="18481362"/>
    <w:rsid w:val="186A2B9B"/>
    <w:rsid w:val="187A66B9"/>
    <w:rsid w:val="187C14BE"/>
    <w:rsid w:val="18B72C9A"/>
    <w:rsid w:val="18C654B3"/>
    <w:rsid w:val="18F040F9"/>
    <w:rsid w:val="190648B0"/>
    <w:rsid w:val="19071D6C"/>
    <w:rsid w:val="190D7E26"/>
    <w:rsid w:val="190E112B"/>
    <w:rsid w:val="191B29BF"/>
    <w:rsid w:val="192148C8"/>
    <w:rsid w:val="192D615C"/>
    <w:rsid w:val="19412BFE"/>
    <w:rsid w:val="194C6A11"/>
    <w:rsid w:val="1963359E"/>
    <w:rsid w:val="196440B8"/>
    <w:rsid w:val="197C1E62"/>
    <w:rsid w:val="197C5EDB"/>
    <w:rsid w:val="199D1C93"/>
    <w:rsid w:val="199E7715"/>
    <w:rsid w:val="19B263B5"/>
    <w:rsid w:val="19BD7FCA"/>
    <w:rsid w:val="19D26CD4"/>
    <w:rsid w:val="19D51DED"/>
    <w:rsid w:val="19E60D19"/>
    <w:rsid w:val="1A142BD7"/>
    <w:rsid w:val="1A1B2562"/>
    <w:rsid w:val="1A2C607F"/>
    <w:rsid w:val="1A391B12"/>
    <w:rsid w:val="1A3D0518"/>
    <w:rsid w:val="1A3E3450"/>
    <w:rsid w:val="1A551442"/>
    <w:rsid w:val="1A710D72"/>
    <w:rsid w:val="1A7154EF"/>
    <w:rsid w:val="1A8C4AF6"/>
    <w:rsid w:val="1A9234A5"/>
    <w:rsid w:val="1AAF4FD3"/>
    <w:rsid w:val="1AD807E5"/>
    <w:rsid w:val="1AE2232B"/>
    <w:rsid w:val="1AE532AF"/>
    <w:rsid w:val="1AF65748"/>
    <w:rsid w:val="1B026FDC"/>
    <w:rsid w:val="1B1A4683"/>
    <w:rsid w:val="1B2D4292"/>
    <w:rsid w:val="1B39345B"/>
    <w:rsid w:val="1B423649"/>
    <w:rsid w:val="1B515E62"/>
    <w:rsid w:val="1B6D1F0E"/>
    <w:rsid w:val="1B6D668B"/>
    <w:rsid w:val="1BA67AEA"/>
    <w:rsid w:val="1BAC5276"/>
    <w:rsid w:val="1BCC1635"/>
    <w:rsid w:val="1BD62837"/>
    <w:rsid w:val="1BE76355"/>
    <w:rsid w:val="1BF05E41"/>
    <w:rsid w:val="1BF22168"/>
    <w:rsid w:val="1BFB2A1F"/>
    <w:rsid w:val="1C015D4A"/>
    <w:rsid w:val="1C1B552A"/>
    <w:rsid w:val="1C290ED5"/>
    <w:rsid w:val="1C2B35C6"/>
    <w:rsid w:val="1C2C1048"/>
    <w:rsid w:val="1C317E4F"/>
    <w:rsid w:val="1C361957"/>
    <w:rsid w:val="1C3C5A5F"/>
    <w:rsid w:val="1C472464"/>
    <w:rsid w:val="1C535684"/>
    <w:rsid w:val="1C7339BB"/>
    <w:rsid w:val="1C8A35E0"/>
    <w:rsid w:val="1CB82E2A"/>
    <w:rsid w:val="1CBC50B4"/>
    <w:rsid w:val="1CDF436F"/>
    <w:rsid w:val="1D0C06B6"/>
    <w:rsid w:val="1D22799A"/>
    <w:rsid w:val="1D4C369E"/>
    <w:rsid w:val="1D4D111F"/>
    <w:rsid w:val="1D4E2424"/>
    <w:rsid w:val="1D5B3CB8"/>
    <w:rsid w:val="1D5C1A72"/>
    <w:rsid w:val="1D6567C6"/>
    <w:rsid w:val="1D6D1654"/>
    <w:rsid w:val="1DAF458D"/>
    <w:rsid w:val="1DB41DC8"/>
    <w:rsid w:val="1DB91AD3"/>
    <w:rsid w:val="1DC16EE0"/>
    <w:rsid w:val="1DCB5271"/>
    <w:rsid w:val="1DD55B80"/>
    <w:rsid w:val="1E086ACE"/>
    <w:rsid w:val="1E0C3ADC"/>
    <w:rsid w:val="1E192F6A"/>
    <w:rsid w:val="1E1F4CFB"/>
    <w:rsid w:val="1E297809"/>
    <w:rsid w:val="1E314C15"/>
    <w:rsid w:val="1E495B3F"/>
    <w:rsid w:val="1E62130A"/>
    <w:rsid w:val="1E757C88"/>
    <w:rsid w:val="1E8D532F"/>
    <w:rsid w:val="1E97358B"/>
    <w:rsid w:val="1E9B6843"/>
    <w:rsid w:val="1EAA4A5F"/>
    <w:rsid w:val="1ED20022"/>
    <w:rsid w:val="1EDC50AE"/>
    <w:rsid w:val="1EE869A7"/>
    <w:rsid w:val="1F0274EC"/>
    <w:rsid w:val="1F3B41CE"/>
    <w:rsid w:val="1F4437D9"/>
    <w:rsid w:val="1F47475D"/>
    <w:rsid w:val="1F6E461D"/>
    <w:rsid w:val="1F8110BF"/>
    <w:rsid w:val="1FA15E62"/>
    <w:rsid w:val="1FCC023A"/>
    <w:rsid w:val="1FD31DC3"/>
    <w:rsid w:val="1FD50B49"/>
    <w:rsid w:val="1FE91D68"/>
    <w:rsid w:val="1FED69B6"/>
    <w:rsid w:val="20143EB1"/>
    <w:rsid w:val="2017696D"/>
    <w:rsid w:val="201C12BD"/>
    <w:rsid w:val="202E4A5B"/>
    <w:rsid w:val="203330E1"/>
    <w:rsid w:val="203D7274"/>
    <w:rsid w:val="204F4F90"/>
    <w:rsid w:val="20593321"/>
    <w:rsid w:val="2064678E"/>
    <w:rsid w:val="206800B8"/>
    <w:rsid w:val="206B6ABE"/>
    <w:rsid w:val="208650E9"/>
    <w:rsid w:val="20920EFC"/>
    <w:rsid w:val="20A05C93"/>
    <w:rsid w:val="20C65ED3"/>
    <w:rsid w:val="20D25569"/>
    <w:rsid w:val="20DC1AB9"/>
    <w:rsid w:val="20DC38FA"/>
    <w:rsid w:val="20DD6197"/>
    <w:rsid w:val="20DE357A"/>
    <w:rsid w:val="20E33285"/>
    <w:rsid w:val="20F06D17"/>
    <w:rsid w:val="210821C0"/>
    <w:rsid w:val="210B3144"/>
    <w:rsid w:val="2118245A"/>
    <w:rsid w:val="211E4363"/>
    <w:rsid w:val="212152E8"/>
    <w:rsid w:val="212631E0"/>
    <w:rsid w:val="214F4B32"/>
    <w:rsid w:val="215A6747"/>
    <w:rsid w:val="215F4DCD"/>
    <w:rsid w:val="2171056A"/>
    <w:rsid w:val="21725FEC"/>
    <w:rsid w:val="217B0E7A"/>
    <w:rsid w:val="219B71B0"/>
    <w:rsid w:val="21A458C1"/>
    <w:rsid w:val="21A53757"/>
    <w:rsid w:val="21A76846"/>
    <w:rsid w:val="21B634AE"/>
    <w:rsid w:val="21B80CDF"/>
    <w:rsid w:val="21CE6705"/>
    <w:rsid w:val="21D87015"/>
    <w:rsid w:val="21DA4716"/>
    <w:rsid w:val="21E17924"/>
    <w:rsid w:val="21F71AC8"/>
    <w:rsid w:val="221236C6"/>
    <w:rsid w:val="22125EF5"/>
    <w:rsid w:val="22156E7A"/>
    <w:rsid w:val="22295B1A"/>
    <w:rsid w:val="223573AF"/>
    <w:rsid w:val="225A36A4"/>
    <w:rsid w:val="226E4F8A"/>
    <w:rsid w:val="22725EDB"/>
    <w:rsid w:val="227F6529"/>
    <w:rsid w:val="22985DCE"/>
    <w:rsid w:val="229C47D4"/>
    <w:rsid w:val="22B578FD"/>
    <w:rsid w:val="22D7662C"/>
    <w:rsid w:val="22DC55BE"/>
    <w:rsid w:val="22E826D5"/>
    <w:rsid w:val="22EB7DD7"/>
    <w:rsid w:val="2302327F"/>
    <w:rsid w:val="23225D32"/>
    <w:rsid w:val="23312AC9"/>
    <w:rsid w:val="23326B7F"/>
    <w:rsid w:val="23400B66"/>
    <w:rsid w:val="234E207A"/>
    <w:rsid w:val="236F25AE"/>
    <w:rsid w:val="237B1C44"/>
    <w:rsid w:val="2380045B"/>
    <w:rsid w:val="23906366"/>
    <w:rsid w:val="23944325"/>
    <w:rsid w:val="23BC04D2"/>
    <w:rsid w:val="23CB2CC8"/>
    <w:rsid w:val="23EF1892"/>
    <w:rsid w:val="241443C1"/>
    <w:rsid w:val="241B04C9"/>
    <w:rsid w:val="24412907"/>
    <w:rsid w:val="24634140"/>
    <w:rsid w:val="24683E4B"/>
    <w:rsid w:val="24701257"/>
    <w:rsid w:val="24780862"/>
    <w:rsid w:val="2483647E"/>
    <w:rsid w:val="248F0487"/>
    <w:rsid w:val="24A32D55"/>
    <w:rsid w:val="24AB7DB8"/>
    <w:rsid w:val="24C3545E"/>
    <w:rsid w:val="24CE7073"/>
    <w:rsid w:val="24DC0587"/>
    <w:rsid w:val="24FD0ABB"/>
    <w:rsid w:val="25292727"/>
    <w:rsid w:val="252E5CA9"/>
    <w:rsid w:val="254C7172"/>
    <w:rsid w:val="256F7692"/>
    <w:rsid w:val="257E230E"/>
    <w:rsid w:val="25970CBA"/>
    <w:rsid w:val="25BA2154"/>
    <w:rsid w:val="25BE0B79"/>
    <w:rsid w:val="25C7728B"/>
    <w:rsid w:val="25C8773F"/>
    <w:rsid w:val="25CE6C15"/>
    <w:rsid w:val="25CF4697"/>
    <w:rsid w:val="25E5683B"/>
    <w:rsid w:val="260D1F7D"/>
    <w:rsid w:val="2617030E"/>
    <w:rsid w:val="261B6D15"/>
    <w:rsid w:val="2622669F"/>
    <w:rsid w:val="26341E3D"/>
    <w:rsid w:val="263F23CC"/>
    <w:rsid w:val="26461D57"/>
    <w:rsid w:val="264A7253"/>
    <w:rsid w:val="264F0468"/>
    <w:rsid w:val="266F679F"/>
    <w:rsid w:val="26711CA2"/>
    <w:rsid w:val="267F31B6"/>
    <w:rsid w:val="269B7263"/>
    <w:rsid w:val="269C4CE4"/>
    <w:rsid w:val="269F14EC"/>
    <w:rsid w:val="26AE0482"/>
    <w:rsid w:val="26CD6B38"/>
    <w:rsid w:val="26D47358"/>
    <w:rsid w:val="26D74EC9"/>
    <w:rsid w:val="26ED706D"/>
    <w:rsid w:val="26F0170C"/>
    <w:rsid w:val="26F740F9"/>
    <w:rsid w:val="2709311A"/>
    <w:rsid w:val="27195933"/>
    <w:rsid w:val="27201D62"/>
    <w:rsid w:val="27286E73"/>
    <w:rsid w:val="273A38E9"/>
    <w:rsid w:val="27547D16"/>
    <w:rsid w:val="276B40B8"/>
    <w:rsid w:val="2775024B"/>
    <w:rsid w:val="27A6429D"/>
    <w:rsid w:val="27A7649B"/>
    <w:rsid w:val="27AB0725"/>
    <w:rsid w:val="27CE635B"/>
    <w:rsid w:val="27CF1BDE"/>
    <w:rsid w:val="27CF2642"/>
    <w:rsid w:val="27E777F5"/>
    <w:rsid w:val="27EA1D4C"/>
    <w:rsid w:val="27EA2E41"/>
    <w:rsid w:val="280255D6"/>
    <w:rsid w:val="280C74C5"/>
    <w:rsid w:val="282006E4"/>
    <w:rsid w:val="282459E2"/>
    <w:rsid w:val="283A7FE5"/>
    <w:rsid w:val="283C2212"/>
    <w:rsid w:val="28486025"/>
    <w:rsid w:val="285F51FF"/>
    <w:rsid w:val="287845F5"/>
    <w:rsid w:val="287A7AF8"/>
    <w:rsid w:val="289D3530"/>
    <w:rsid w:val="28A21BB6"/>
    <w:rsid w:val="28BD3A65"/>
    <w:rsid w:val="28CC407F"/>
    <w:rsid w:val="28DF2665"/>
    <w:rsid w:val="28EB10B1"/>
    <w:rsid w:val="29025453"/>
    <w:rsid w:val="29072599"/>
    <w:rsid w:val="2907735C"/>
    <w:rsid w:val="290E6CE7"/>
    <w:rsid w:val="291029F3"/>
    <w:rsid w:val="293427AA"/>
    <w:rsid w:val="29357C48"/>
    <w:rsid w:val="293B2135"/>
    <w:rsid w:val="2948144B"/>
    <w:rsid w:val="2948584E"/>
    <w:rsid w:val="296B4E82"/>
    <w:rsid w:val="296F5A87"/>
    <w:rsid w:val="297A769B"/>
    <w:rsid w:val="29B53FFD"/>
    <w:rsid w:val="29B61A7F"/>
    <w:rsid w:val="29C40D94"/>
    <w:rsid w:val="29CB58F0"/>
    <w:rsid w:val="29D06DA5"/>
    <w:rsid w:val="29D457AB"/>
    <w:rsid w:val="29D60CAE"/>
    <w:rsid w:val="29E028C3"/>
    <w:rsid w:val="29F205DF"/>
    <w:rsid w:val="29FD43F1"/>
    <w:rsid w:val="2A053397"/>
    <w:rsid w:val="2A145E96"/>
    <w:rsid w:val="2A3C3ED6"/>
    <w:rsid w:val="2A6A6FA4"/>
    <w:rsid w:val="2A6E122D"/>
    <w:rsid w:val="2A9248E5"/>
    <w:rsid w:val="2A994270"/>
    <w:rsid w:val="2A9A5574"/>
    <w:rsid w:val="2AB84B24"/>
    <w:rsid w:val="2AC32EB5"/>
    <w:rsid w:val="2AD021CB"/>
    <w:rsid w:val="2AD17C4D"/>
    <w:rsid w:val="2AE12465"/>
    <w:rsid w:val="2AF5378F"/>
    <w:rsid w:val="2B01299A"/>
    <w:rsid w:val="2B341EF0"/>
    <w:rsid w:val="2B623CB8"/>
    <w:rsid w:val="2B6371BC"/>
    <w:rsid w:val="2B7042D3"/>
    <w:rsid w:val="2B7277D6"/>
    <w:rsid w:val="2B7816DF"/>
    <w:rsid w:val="2BAF763B"/>
    <w:rsid w:val="2BB94DBF"/>
    <w:rsid w:val="2BCF20EE"/>
    <w:rsid w:val="2BEE4BA1"/>
    <w:rsid w:val="2C0A0C4E"/>
    <w:rsid w:val="2C276000"/>
    <w:rsid w:val="2C291503"/>
    <w:rsid w:val="2C2D4686"/>
    <w:rsid w:val="2C3A399C"/>
    <w:rsid w:val="2C43682A"/>
    <w:rsid w:val="2C645E65"/>
    <w:rsid w:val="2C6A7D6E"/>
    <w:rsid w:val="2C6F314E"/>
    <w:rsid w:val="2C727379"/>
    <w:rsid w:val="2C960832"/>
    <w:rsid w:val="2CC206BE"/>
    <w:rsid w:val="2CF808D7"/>
    <w:rsid w:val="2CFE6F5D"/>
    <w:rsid w:val="2CFF49DE"/>
    <w:rsid w:val="2D067BEC"/>
    <w:rsid w:val="2D0E4FF9"/>
    <w:rsid w:val="2D11017C"/>
    <w:rsid w:val="2D1136DF"/>
    <w:rsid w:val="2D136F02"/>
    <w:rsid w:val="2D20606D"/>
    <w:rsid w:val="2D335238"/>
    <w:rsid w:val="2D466457"/>
    <w:rsid w:val="2D4973DC"/>
    <w:rsid w:val="2D70181A"/>
    <w:rsid w:val="2D8F42CD"/>
    <w:rsid w:val="2DA42F6E"/>
    <w:rsid w:val="2DA467F1"/>
    <w:rsid w:val="2DAA06FA"/>
    <w:rsid w:val="2DAE7101"/>
    <w:rsid w:val="2DB87198"/>
    <w:rsid w:val="2DB93C54"/>
    <w:rsid w:val="2DDF78D0"/>
    <w:rsid w:val="2E105B20"/>
    <w:rsid w:val="2E3C7C69"/>
    <w:rsid w:val="2E3D144C"/>
    <w:rsid w:val="2E7013BD"/>
    <w:rsid w:val="2E7867C9"/>
    <w:rsid w:val="2E874865"/>
    <w:rsid w:val="2E891204"/>
    <w:rsid w:val="2E8F1C72"/>
    <w:rsid w:val="2E9E448B"/>
    <w:rsid w:val="2EBF49BF"/>
    <w:rsid w:val="2EFFA0DC"/>
    <w:rsid w:val="2F074DB3"/>
    <w:rsid w:val="2F1653CE"/>
    <w:rsid w:val="2F3F0A28"/>
    <w:rsid w:val="2F45269A"/>
    <w:rsid w:val="2F631C4A"/>
    <w:rsid w:val="2F7A50F2"/>
    <w:rsid w:val="2F8B2E0E"/>
    <w:rsid w:val="2FBF7029"/>
    <w:rsid w:val="2FC01FE3"/>
    <w:rsid w:val="2FCB0375"/>
    <w:rsid w:val="2FD0187F"/>
    <w:rsid w:val="2FD27414"/>
    <w:rsid w:val="2FD46A86"/>
    <w:rsid w:val="2FFB21C9"/>
    <w:rsid w:val="2FFB2449"/>
    <w:rsid w:val="2FFE4BB0"/>
    <w:rsid w:val="300E7B60"/>
    <w:rsid w:val="300F6E18"/>
    <w:rsid w:val="301607F4"/>
    <w:rsid w:val="30291A13"/>
    <w:rsid w:val="306A49FB"/>
    <w:rsid w:val="306E0E83"/>
    <w:rsid w:val="30862F5F"/>
    <w:rsid w:val="309D06CD"/>
    <w:rsid w:val="30A30058"/>
    <w:rsid w:val="30A5135D"/>
    <w:rsid w:val="30B360F4"/>
    <w:rsid w:val="30ED4FD4"/>
    <w:rsid w:val="30EE2A56"/>
    <w:rsid w:val="30F139DA"/>
    <w:rsid w:val="30F4495F"/>
    <w:rsid w:val="30FC3F6A"/>
    <w:rsid w:val="310C2006"/>
    <w:rsid w:val="313666CD"/>
    <w:rsid w:val="314029C9"/>
    <w:rsid w:val="31545C7D"/>
    <w:rsid w:val="31603C8E"/>
    <w:rsid w:val="31650116"/>
    <w:rsid w:val="3172522D"/>
    <w:rsid w:val="317503B0"/>
    <w:rsid w:val="31801FC4"/>
    <w:rsid w:val="31915AE2"/>
    <w:rsid w:val="31A93189"/>
    <w:rsid w:val="31B02B14"/>
    <w:rsid w:val="31B77F20"/>
    <w:rsid w:val="31C63837"/>
    <w:rsid w:val="31C82E39"/>
    <w:rsid w:val="31D82653"/>
    <w:rsid w:val="31F70D0A"/>
    <w:rsid w:val="32354F6B"/>
    <w:rsid w:val="323A4C76"/>
    <w:rsid w:val="32601BAD"/>
    <w:rsid w:val="328C11FD"/>
    <w:rsid w:val="329F6389"/>
    <w:rsid w:val="32BB64C9"/>
    <w:rsid w:val="32EC6C98"/>
    <w:rsid w:val="32F47928"/>
    <w:rsid w:val="32FA3A2F"/>
    <w:rsid w:val="32FC4D34"/>
    <w:rsid w:val="33070B47"/>
    <w:rsid w:val="330C4FCE"/>
    <w:rsid w:val="331D2CEA"/>
    <w:rsid w:val="33306488"/>
    <w:rsid w:val="33356193"/>
    <w:rsid w:val="334A28B5"/>
    <w:rsid w:val="335069BC"/>
    <w:rsid w:val="336C2A69"/>
    <w:rsid w:val="3389023A"/>
    <w:rsid w:val="338A589D"/>
    <w:rsid w:val="338C0DA0"/>
    <w:rsid w:val="33910AAB"/>
    <w:rsid w:val="33AC3853"/>
    <w:rsid w:val="33B850E7"/>
    <w:rsid w:val="33C029A6"/>
    <w:rsid w:val="33C2127A"/>
    <w:rsid w:val="33CB74FA"/>
    <w:rsid w:val="33CC3D88"/>
    <w:rsid w:val="33CC6306"/>
    <w:rsid w:val="33CF4D0C"/>
    <w:rsid w:val="33DA309D"/>
    <w:rsid w:val="33DB43A2"/>
    <w:rsid w:val="33EB6BBB"/>
    <w:rsid w:val="33FA4C57"/>
    <w:rsid w:val="34176785"/>
    <w:rsid w:val="341D068F"/>
    <w:rsid w:val="341E6110"/>
    <w:rsid w:val="34226D15"/>
    <w:rsid w:val="343642F2"/>
    <w:rsid w:val="343F3010"/>
    <w:rsid w:val="345D0A00"/>
    <w:rsid w:val="346A078E"/>
    <w:rsid w:val="346B6210"/>
    <w:rsid w:val="34713BFD"/>
    <w:rsid w:val="34727D99"/>
    <w:rsid w:val="34845AB5"/>
    <w:rsid w:val="349537D0"/>
    <w:rsid w:val="34A12E66"/>
    <w:rsid w:val="34A5186D"/>
    <w:rsid w:val="34A64D70"/>
    <w:rsid w:val="34BE2416"/>
    <w:rsid w:val="34C13589"/>
    <w:rsid w:val="34D57E3D"/>
    <w:rsid w:val="34D6203C"/>
    <w:rsid w:val="34F54AEF"/>
    <w:rsid w:val="350C2516"/>
    <w:rsid w:val="351C27B0"/>
    <w:rsid w:val="353369E3"/>
    <w:rsid w:val="353A1D60"/>
    <w:rsid w:val="354074ED"/>
    <w:rsid w:val="355D3219"/>
    <w:rsid w:val="3572793B"/>
    <w:rsid w:val="357566C2"/>
    <w:rsid w:val="357B604D"/>
    <w:rsid w:val="359B0B00"/>
    <w:rsid w:val="35AE1FA8"/>
    <w:rsid w:val="35C51944"/>
    <w:rsid w:val="35CE0055"/>
    <w:rsid w:val="35E00D72"/>
    <w:rsid w:val="35E72F3B"/>
    <w:rsid w:val="360175AB"/>
    <w:rsid w:val="360836B2"/>
    <w:rsid w:val="361F6B5B"/>
    <w:rsid w:val="363B7384"/>
    <w:rsid w:val="36576CB4"/>
    <w:rsid w:val="367E4976"/>
    <w:rsid w:val="367F45F6"/>
    <w:rsid w:val="368F2692"/>
    <w:rsid w:val="36965B9D"/>
    <w:rsid w:val="369F292C"/>
    <w:rsid w:val="36A622B7"/>
    <w:rsid w:val="36C26364"/>
    <w:rsid w:val="36C549FD"/>
    <w:rsid w:val="36CF347B"/>
    <w:rsid w:val="36EB4FAA"/>
    <w:rsid w:val="36EB7528"/>
    <w:rsid w:val="3733791C"/>
    <w:rsid w:val="3748403E"/>
    <w:rsid w:val="374F724D"/>
    <w:rsid w:val="375720DA"/>
    <w:rsid w:val="375E61E2"/>
    <w:rsid w:val="3775168B"/>
    <w:rsid w:val="377D6A97"/>
    <w:rsid w:val="378C70B1"/>
    <w:rsid w:val="378E0036"/>
    <w:rsid w:val="379C734C"/>
    <w:rsid w:val="37A755DD"/>
    <w:rsid w:val="37C5270E"/>
    <w:rsid w:val="37DF32B8"/>
    <w:rsid w:val="37E00D3A"/>
    <w:rsid w:val="37F94FA0"/>
    <w:rsid w:val="380D3381"/>
    <w:rsid w:val="3810637E"/>
    <w:rsid w:val="38115B1F"/>
    <w:rsid w:val="383B014F"/>
    <w:rsid w:val="384A2968"/>
    <w:rsid w:val="38592F82"/>
    <w:rsid w:val="385C5D8D"/>
    <w:rsid w:val="385E3AC3"/>
    <w:rsid w:val="38697999"/>
    <w:rsid w:val="387821B2"/>
    <w:rsid w:val="387D6B9E"/>
    <w:rsid w:val="3888244C"/>
    <w:rsid w:val="389030DC"/>
    <w:rsid w:val="38A80783"/>
    <w:rsid w:val="38B75FF0"/>
    <w:rsid w:val="38B8126E"/>
    <w:rsid w:val="38CD76BE"/>
    <w:rsid w:val="38D45016"/>
    <w:rsid w:val="38D90432"/>
    <w:rsid w:val="38E350E4"/>
    <w:rsid w:val="38F4757D"/>
    <w:rsid w:val="38F97288"/>
    <w:rsid w:val="3914510A"/>
    <w:rsid w:val="3926770B"/>
    <w:rsid w:val="393F1F7B"/>
    <w:rsid w:val="39484E09"/>
    <w:rsid w:val="394B7F8C"/>
    <w:rsid w:val="397855D8"/>
    <w:rsid w:val="397F4F63"/>
    <w:rsid w:val="398D3668"/>
    <w:rsid w:val="3998390E"/>
    <w:rsid w:val="39A74E22"/>
    <w:rsid w:val="39DA0497"/>
    <w:rsid w:val="39F94C2D"/>
    <w:rsid w:val="39FD3633"/>
    <w:rsid w:val="3A2E6000"/>
    <w:rsid w:val="3A2F3A82"/>
    <w:rsid w:val="3A3B7894"/>
    <w:rsid w:val="3A595F4B"/>
    <w:rsid w:val="3A740CF3"/>
    <w:rsid w:val="3A893816"/>
    <w:rsid w:val="3A893B6D"/>
    <w:rsid w:val="3A9F2E3C"/>
    <w:rsid w:val="3AB939E6"/>
    <w:rsid w:val="3AD1763A"/>
    <w:rsid w:val="3ADC2CA1"/>
    <w:rsid w:val="3AE86AB3"/>
    <w:rsid w:val="3AF55DC9"/>
    <w:rsid w:val="3B0B7F6D"/>
    <w:rsid w:val="3B292DA0"/>
    <w:rsid w:val="3B2F1426"/>
    <w:rsid w:val="3B3C653D"/>
    <w:rsid w:val="3B5847E9"/>
    <w:rsid w:val="3B5C31EF"/>
    <w:rsid w:val="3B6716E3"/>
    <w:rsid w:val="3B6C6B2D"/>
    <w:rsid w:val="3B7A6022"/>
    <w:rsid w:val="3B807F2C"/>
    <w:rsid w:val="3B8E0546"/>
    <w:rsid w:val="3B9D1A5A"/>
    <w:rsid w:val="3BA810F0"/>
    <w:rsid w:val="3BB60406"/>
    <w:rsid w:val="3BB9138A"/>
    <w:rsid w:val="3BBD5812"/>
    <w:rsid w:val="3BC02F13"/>
    <w:rsid w:val="3BC91625"/>
    <w:rsid w:val="3C003CFD"/>
    <w:rsid w:val="3C045F86"/>
    <w:rsid w:val="3C242659"/>
    <w:rsid w:val="3C2564BB"/>
    <w:rsid w:val="3C306A4A"/>
    <w:rsid w:val="3C333252"/>
    <w:rsid w:val="3C360954"/>
    <w:rsid w:val="3C4B2A92"/>
    <w:rsid w:val="3C7707DD"/>
    <w:rsid w:val="3C774C40"/>
    <w:rsid w:val="3C7A5BC5"/>
    <w:rsid w:val="3C8961DF"/>
    <w:rsid w:val="3C96719C"/>
    <w:rsid w:val="3C9F4B00"/>
    <w:rsid w:val="3CA72BE8"/>
    <w:rsid w:val="3CAD511A"/>
    <w:rsid w:val="3CBA2232"/>
    <w:rsid w:val="3CDC01E8"/>
    <w:rsid w:val="3CE242F0"/>
    <w:rsid w:val="3CF37F8C"/>
    <w:rsid w:val="3D045B29"/>
    <w:rsid w:val="3D137554"/>
    <w:rsid w:val="3D1A7CCD"/>
    <w:rsid w:val="3D267363"/>
    <w:rsid w:val="3D325373"/>
    <w:rsid w:val="3D5275AC"/>
    <w:rsid w:val="3D646E47"/>
    <w:rsid w:val="3D9E5D28"/>
    <w:rsid w:val="3DB67B4B"/>
    <w:rsid w:val="3DCC2473"/>
    <w:rsid w:val="3DEB0883"/>
    <w:rsid w:val="3DFD8BE5"/>
    <w:rsid w:val="3E2527BF"/>
    <w:rsid w:val="3E407AAF"/>
    <w:rsid w:val="3E731662"/>
    <w:rsid w:val="3E752508"/>
    <w:rsid w:val="3E8168DD"/>
    <w:rsid w:val="3E8D7BAE"/>
    <w:rsid w:val="3E9052B0"/>
    <w:rsid w:val="3E947539"/>
    <w:rsid w:val="3E9B4946"/>
    <w:rsid w:val="3EA31D52"/>
    <w:rsid w:val="3EA7725F"/>
    <w:rsid w:val="3EB03713"/>
    <w:rsid w:val="3EB91CF7"/>
    <w:rsid w:val="3EBF1A11"/>
    <w:rsid w:val="3EC26D84"/>
    <w:rsid w:val="3EC52607"/>
    <w:rsid w:val="3ED0191D"/>
    <w:rsid w:val="3ED57FA3"/>
    <w:rsid w:val="3EDE66B4"/>
    <w:rsid w:val="3EDF7C08"/>
    <w:rsid w:val="3EEC6CEF"/>
    <w:rsid w:val="3F0C3A81"/>
    <w:rsid w:val="3F183429"/>
    <w:rsid w:val="3F1D3C1A"/>
    <w:rsid w:val="3F2E7738"/>
    <w:rsid w:val="3F314E39"/>
    <w:rsid w:val="3F3F2BE9"/>
    <w:rsid w:val="3F51536E"/>
    <w:rsid w:val="3F6D721C"/>
    <w:rsid w:val="3F8B424E"/>
    <w:rsid w:val="3F996DE7"/>
    <w:rsid w:val="3FB41B8F"/>
    <w:rsid w:val="3FB77A1D"/>
    <w:rsid w:val="3FB83E19"/>
    <w:rsid w:val="3FC91B34"/>
    <w:rsid w:val="3FD633C9"/>
    <w:rsid w:val="3FDC2D53"/>
    <w:rsid w:val="3FDC3674"/>
    <w:rsid w:val="3FED7F8A"/>
    <w:rsid w:val="3FF17476"/>
    <w:rsid w:val="3FFA1131"/>
    <w:rsid w:val="40094AEF"/>
    <w:rsid w:val="401818B4"/>
    <w:rsid w:val="405470BD"/>
    <w:rsid w:val="40616830"/>
    <w:rsid w:val="406F5B46"/>
    <w:rsid w:val="40794A29"/>
    <w:rsid w:val="407D28DD"/>
    <w:rsid w:val="40803861"/>
    <w:rsid w:val="408234E1"/>
    <w:rsid w:val="40834692"/>
    <w:rsid w:val="408A636F"/>
    <w:rsid w:val="40B44FB5"/>
    <w:rsid w:val="40EB768D"/>
    <w:rsid w:val="40ED6414"/>
    <w:rsid w:val="40F70F22"/>
    <w:rsid w:val="412929F5"/>
    <w:rsid w:val="41431AD5"/>
    <w:rsid w:val="414B3C0F"/>
    <w:rsid w:val="414D7732"/>
    <w:rsid w:val="41523BBA"/>
    <w:rsid w:val="41570042"/>
    <w:rsid w:val="417575F2"/>
    <w:rsid w:val="417C1CE7"/>
    <w:rsid w:val="41900018"/>
    <w:rsid w:val="41944406"/>
    <w:rsid w:val="419D4F33"/>
    <w:rsid w:val="41A55BC2"/>
    <w:rsid w:val="41B119D5"/>
    <w:rsid w:val="41BD79E6"/>
    <w:rsid w:val="41CE128F"/>
    <w:rsid w:val="41D66391"/>
    <w:rsid w:val="41DA6F12"/>
    <w:rsid w:val="41E50BAA"/>
    <w:rsid w:val="41E740AD"/>
    <w:rsid w:val="41EC3DB8"/>
    <w:rsid w:val="41F10240"/>
    <w:rsid w:val="421516F9"/>
    <w:rsid w:val="42171FB1"/>
    <w:rsid w:val="424234C2"/>
    <w:rsid w:val="42500259"/>
    <w:rsid w:val="425311DE"/>
    <w:rsid w:val="42585666"/>
    <w:rsid w:val="425930E7"/>
    <w:rsid w:val="426A0E03"/>
    <w:rsid w:val="42737515"/>
    <w:rsid w:val="42993ED1"/>
    <w:rsid w:val="42A866EA"/>
    <w:rsid w:val="42AC46A9"/>
    <w:rsid w:val="42AC50F0"/>
    <w:rsid w:val="42B17F68"/>
    <w:rsid w:val="42D53D36"/>
    <w:rsid w:val="42E020C7"/>
    <w:rsid w:val="42EB0458"/>
    <w:rsid w:val="42EE35DB"/>
    <w:rsid w:val="42F9196C"/>
    <w:rsid w:val="42FA2C71"/>
    <w:rsid w:val="43004B7A"/>
    <w:rsid w:val="430B098D"/>
    <w:rsid w:val="43233E35"/>
    <w:rsid w:val="434E6957"/>
    <w:rsid w:val="43585209"/>
    <w:rsid w:val="435F0417"/>
    <w:rsid w:val="43931B6A"/>
    <w:rsid w:val="439972F7"/>
    <w:rsid w:val="43A5310A"/>
    <w:rsid w:val="43B1111A"/>
    <w:rsid w:val="43B768A7"/>
    <w:rsid w:val="43BA0E31"/>
    <w:rsid w:val="43C15147"/>
    <w:rsid w:val="43D638D9"/>
    <w:rsid w:val="43E14DD2"/>
    <w:rsid w:val="43EB7FFB"/>
    <w:rsid w:val="43F15787"/>
    <w:rsid w:val="43F63E0D"/>
    <w:rsid w:val="43F800E9"/>
    <w:rsid w:val="441049B7"/>
    <w:rsid w:val="44235BD6"/>
    <w:rsid w:val="443A7E4B"/>
    <w:rsid w:val="448A687F"/>
    <w:rsid w:val="448F0B09"/>
    <w:rsid w:val="44942A12"/>
    <w:rsid w:val="44A21D28"/>
    <w:rsid w:val="450155C4"/>
    <w:rsid w:val="451F4B74"/>
    <w:rsid w:val="452F5B3A"/>
    <w:rsid w:val="45313B95"/>
    <w:rsid w:val="4535259B"/>
    <w:rsid w:val="454E7FD2"/>
    <w:rsid w:val="455E7EDC"/>
    <w:rsid w:val="455F595E"/>
    <w:rsid w:val="455F7B5C"/>
    <w:rsid w:val="45932935"/>
    <w:rsid w:val="45E510BA"/>
    <w:rsid w:val="45FA7D5B"/>
    <w:rsid w:val="460054E7"/>
    <w:rsid w:val="46061BDC"/>
    <w:rsid w:val="460B12FA"/>
    <w:rsid w:val="461404F8"/>
    <w:rsid w:val="4616768B"/>
    <w:rsid w:val="463D754A"/>
    <w:rsid w:val="46413018"/>
    <w:rsid w:val="464B7E04"/>
    <w:rsid w:val="46683C12"/>
    <w:rsid w:val="46752F28"/>
    <w:rsid w:val="467B4E31"/>
    <w:rsid w:val="467C4AB1"/>
    <w:rsid w:val="468041AA"/>
    <w:rsid w:val="468123C6"/>
    <w:rsid w:val="4683223D"/>
    <w:rsid w:val="46901EEE"/>
    <w:rsid w:val="469B78E4"/>
    <w:rsid w:val="469C74D2"/>
    <w:rsid w:val="46AF6585"/>
    <w:rsid w:val="46C42CA7"/>
    <w:rsid w:val="46C84F30"/>
    <w:rsid w:val="46CF6AB9"/>
    <w:rsid w:val="46D77749"/>
    <w:rsid w:val="46FC6684"/>
    <w:rsid w:val="46FE3D85"/>
    <w:rsid w:val="471362A9"/>
    <w:rsid w:val="47243FC5"/>
    <w:rsid w:val="472C4C55"/>
    <w:rsid w:val="472E48D4"/>
    <w:rsid w:val="47445515"/>
    <w:rsid w:val="47473280"/>
    <w:rsid w:val="474B4782"/>
    <w:rsid w:val="474D1906"/>
    <w:rsid w:val="4763732D"/>
    <w:rsid w:val="47644DAE"/>
    <w:rsid w:val="476837B5"/>
    <w:rsid w:val="47927E7C"/>
    <w:rsid w:val="47B65AB2"/>
    <w:rsid w:val="47C076C6"/>
    <w:rsid w:val="47D01EDF"/>
    <w:rsid w:val="47D90D14"/>
    <w:rsid w:val="47E0217A"/>
    <w:rsid w:val="47FB07A5"/>
    <w:rsid w:val="4810074A"/>
    <w:rsid w:val="48285DF1"/>
    <w:rsid w:val="48387FB0"/>
    <w:rsid w:val="483A6114"/>
    <w:rsid w:val="484740A8"/>
    <w:rsid w:val="488727DB"/>
    <w:rsid w:val="489B28AD"/>
    <w:rsid w:val="48AC05C9"/>
    <w:rsid w:val="48B337D7"/>
    <w:rsid w:val="48B82268"/>
    <w:rsid w:val="48C354B3"/>
    <w:rsid w:val="48E32CA1"/>
    <w:rsid w:val="48E829AC"/>
    <w:rsid w:val="48FC164D"/>
    <w:rsid w:val="49023556"/>
    <w:rsid w:val="490F7AD2"/>
    <w:rsid w:val="491856F9"/>
    <w:rsid w:val="492E789D"/>
    <w:rsid w:val="49383A30"/>
    <w:rsid w:val="493D58B5"/>
    <w:rsid w:val="494552C4"/>
    <w:rsid w:val="494A7A04"/>
    <w:rsid w:val="494C26D0"/>
    <w:rsid w:val="495132D5"/>
    <w:rsid w:val="495B7468"/>
    <w:rsid w:val="495E25EB"/>
    <w:rsid w:val="4971160B"/>
    <w:rsid w:val="49750012"/>
    <w:rsid w:val="49825129"/>
    <w:rsid w:val="498E313A"/>
    <w:rsid w:val="499F0E56"/>
    <w:rsid w:val="49C1268F"/>
    <w:rsid w:val="49F308E0"/>
    <w:rsid w:val="4A0A26D2"/>
    <w:rsid w:val="4A1A079F"/>
    <w:rsid w:val="4A1E71A6"/>
    <w:rsid w:val="4A2019A5"/>
    <w:rsid w:val="4A241A0B"/>
    <w:rsid w:val="4A3835D3"/>
    <w:rsid w:val="4A506A7B"/>
    <w:rsid w:val="4A593B07"/>
    <w:rsid w:val="4A5E3812"/>
    <w:rsid w:val="4A7A403C"/>
    <w:rsid w:val="4A7B2875"/>
    <w:rsid w:val="4A857E4F"/>
    <w:rsid w:val="4A8E2CDD"/>
    <w:rsid w:val="4A934476"/>
    <w:rsid w:val="4A944BE6"/>
    <w:rsid w:val="4AAA220A"/>
    <w:rsid w:val="4ACD3AC6"/>
    <w:rsid w:val="4ADA0BDD"/>
    <w:rsid w:val="4AE12E67"/>
    <w:rsid w:val="4AE820F1"/>
    <w:rsid w:val="4AF10803"/>
    <w:rsid w:val="4AF76E89"/>
    <w:rsid w:val="4AFB1112"/>
    <w:rsid w:val="4B1A6144"/>
    <w:rsid w:val="4B434D8A"/>
    <w:rsid w:val="4B4C0111"/>
    <w:rsid w:val="4B5A49AF"/>
    <w:rsid w:val="4B691746"/>
    <w:rsid w:val="4B6F10D1"/>
    <w:rsid w:val="4B835B73"/>
    <w:rsid w:val="4B8553A9"/>
    <w:rsid w:val="4BA615AB"/>
    <w:rsid w:val="4BB84D48"/>
    <w:rsid w:val="4BC07BD6"/>
    <w:rsid w:val="4BCB5F67"/>
    <w:rsid w:val="4BD258F2"/>
    <w:rsid w:val="4BDB3730"/>
    <w:rsid w:val="4BE36E91"/>
    <w:rsid w:val="4BEF4EA2"/>
    <w:rsid w:val="4BF91035"/>
    <w:rsid w:val="4C200F7A"/>
    <w:rsid w:val="4C210EF5"/>
    <w:rsid w:val="4C380B1A"/>
    <w:rsid w:val="4C6C226D"/>
    <w:rsid w:val="4C6F31F2"/>
    <w:rsid w:val="4C843198"/>
    <w:rsid w:val="4C8E5CA5"/>
    <w:rsid w:val="4CB571EA"/>
    <w:rsid w:val="4CC01CF8"/>
    <w:rsid w:val="4CC22C7C"/>
    <w:rsid w:val="4CC74F06"/>
    <w:rsid w:val="4CCA0089"/>
    <w:rsid w:val="4CCE6A8F"/>
    <w:rsid w:val="4CED3AC0"/>
    <w:rsid w:val="4CEE3180"/>
    <w:rsid w:val="4D0F4AF6"/>
    <w:rsid w:val="4D226519"/>
    <w:rsid w:val="4D341CB6"/>
    <w:rsid w:val="4D4B515F"/>
    <w:rsid w:val="4D5B1B76"/>
    <w:rsid w:val="4D5F637E"/>
    <w:rsid w:val="4D607765"/>
    <w:rsid w:val="4D624D84"/>
    <w:rsid w:val="4D6D3115"/>
    <w:rsid w:val="4D765FA3"/>
    <w:rsid w:val="4D842D3A"/>
    <w:rsid w:val="4D881740"/>
    <w:rsid w:val="4DBF3E19"/>
    <w:rsid w:val="4DC515A5"/>
    <w:rsid w:val="4DC67027"/>
    <w:rsid w:val="4DE03454"/>
    <w:rsid w:val="4DEE4968"/>
    <w:rsid w:val="4DEF9AFB"/>
    <w:rsid w:val="4DF61D74"/>
    <w:rsid w:val="4DF94F37"/>
    <w:rsid w:val="4DFD4F82"/>
    <w:rsid w:val="4E013989"/>
    <w:rsid w:val="4E0A1DD5"/>
    <w:rsid w:val="4E264AC2"/>
    <w:rsid w:val="4E3160E5"/>
    <w:rsid w:val="4E416971"/>
    <w:rsid w:val="4E4862FB"/>
    <w:rsid w:val="4E4D37AF"/>
    <w:rsid w:val="4E4E5C86"/>
    <w:rsid w:val="4E547B90"/>
    <w:rsid w:val="4E753947"/>
    <w:rsid w:val="4E79234E"/>
    <w:rsid w:val="4E7F6455"/>
    <w:rsid w:val="4E8C6496"/>
    <w:rsid w:val="4E8C7CE9"/>
    <w:rsid w:val="4E994E01"/>
    <w:rsid w:val="4EBD3D3C"/>
    <w:rsid w:val="4EC04CC0"/>
    <w:rsid w:val="4EC85950"/>
    <w:rsid w:val="4ED56CDE"/>
    <w:rsid w:val="4EDE7AF4"/>
    <w:rsid w:val="4EFD18DE"/>
    <w:rsid w:val="4EFD4B25"/>
    <w:rsid w:val="4F144236"/>
    <w:rsid w:val="4F252466"/>
    <w:rsid w:val="4F334FFF"/>
    <w:rsid w:val="4F3E0E12"/>
    <w:rsid w:val="4F3F6893"/>
    <w:rsid w:val="4F663C87"/>
    <w:rsid w:val="4F7E29A8"/>
    <w:rsid w:val="4F8D6993"/>
    <w:rsid w:val="4F8F1E96"/>
    <w:rsid w:val="4F901B16"/>
    <w:rsid w:val="4F9E1FFC"/>
    <w:rsid w:val="4FB30DD1"/>
    <w:rsid w:val="4FBC3C5F"/>
    <w:rsid w:val="4FEE8752"/>
    <w:rsid w:val="4FEF7931"/>
    <w:rsid w:val="502A1D14"/>
    <w:rsid w:val="50303C1D"/>
    <w:rsid w:val="50396AAB"/>
    <w:rsid w:val="50447CC2"/>
    <w:rsid w:val="506762F6"/>
    <w:rsid w:val="5087462C"/>
    <w:rsid w:val="50874A7C"/>
    <w:rsid w:val="50895EE7"/>
    <w:rsid w:val="508A55B1"/>
    <w:rsid w:val="50921B9D"/>
    <w:rsid w:val="50A53BDC"/>
    <w:rsid w:val="50D16158"/>
    <w:rsid w:val="50DB5F45"/>
    <w:rsid w:val="50E101BE"/>
    <w:rsid w:val="50F3395B"/>
    <w:rsid w:val="50F626E2"/>
    <w:rsid w:val="50FE5570"/>
    <w:rsid w:val="51025EB1"/>
    <w:rsid w:val="51141503"/>
    <w:rsid w:val="512579AE"/>
    <w:rsid w:val="514214DC"/>
    <w:rsid w:val="514B1DEB"/>
    <w:rsid w:val="5160430F"/>
    <w:rsid w:val="51635294"/>
    <w:rsid w:val="518D0ED5"/>
    <w:rsid w:val="51F34B83"/>
    <w:rsid w:val="51F50086"/>
    <w:rsid w:val="52085A22"/>
    <w:rsid w:val="522917DA"/>
    <w:rsid w:val="52347B6B"/>
    <w:rsid w:val="525C687F"/>
    <w:rsid w:val="526712BE"/>
    <w:rsid w:val="527A02DF"/>
    <w:rsid w:val="52917F04"/>
    <w:rsid w:val="52B513BE"/>
    <w:rsid w:val="52BD424C"/>
    <w:rsid w:val="52C164D5"/>
    <w:rsid w:val="52C51658"/>
    <w:rsid w:val="52E23187"/>
    <w:rsid w:val="52E30C08"/>
    <w:rsid w:val="52F11223"/>
    <w:rsid w:val="52F543A6"/>
    <w:rsid w:val="52F647F7"/>
    <w:rsid w:val="52F92565"/>
    <w:rsid w:val="53124FDB"/>
    <w:rsid w:val="53144C5A"/>
    <w:rsid w:val="531F686F"/>
    <w:rsid w:val="53211D72"/>
    <w:rsid w:val="5334770E"/>
    <w:rsid w:val="53450CAD"/>
    <w:rsid w:val="53462EAB"/>
    <w:rsid w:val="534B7333"/>
    <w:rsid w:val="536072D8"/>
    <w:rsid w:val="5376147C"/>
    <w:rsid w:val="53772781"/>
    <w:rsid w:val="537F430A"/>
    <w:rsid w:val="538A011C"/>
    <w:rsid w:val="538C1421"/>
    <w:rsid w:val="53990737"/>
    <w:rsid w:val="539A2935"/>
    <w:rsid w:val="53A000C2"/>
    <w:rsid w:val="53B434DF"/>
    <w:rsid w:val="53BA2E6A"/>
    <w:rsid w:val="53D03877"/>
    <w:rsid w:val="53F03344"/>
    <w:rsid w:val="53F342C8"/>
    <w:rsid w:val="53F577CC"/>
    <w:rsid w:val="53F6524D"/>
    <w:rsid w:val="54021060"/>
    <w:rsid w:val="540632E9"/>
    <w:rsid w:val="542F73CA"/>
    <w:rsid w:val="5430786D"/>
    <w:rsid w:val="54497256"/>
    <w:rsid w:val="5475139F"/>
    <w:rsid w:val="547B24C6"/>
    <w:rsid w:val="548670BA"/>
    <w:rsid w:val="54AE27FD"/>
    <w:rsid w:val="54B8530B"/>
    <w:rsid w:val="54C10199"/>
    <w:rsid w:val="54C811C0"/>
    <w:rsid w:val="54E106CE"/>
    <w:rsid w:val="54E838DC"/>
    <w:rsid w:val="54FF3501"/>
    <w:rsid w:val="552611C2"/>
    <w:rsid w:val="55280E42"/>
    <w:rsid w:val="5543746D"/>
    <w:rsid w:val="555D389B"/>
    <w:rsid w:val="556A442D"/>
    <w:rsid w:val="55727FBD"/>
    <w:rsid w:val="557C414F"/>
    <w:rsid w:val="557D3DCF"/>
    <w:rsid w:val="558624E1"/>
    <w:rsid w:val="55922A70"/>
    <w:rsid w:val="559C4684"/>
    <w:rsid w:val="55B07AA1"/>
    <w:rsid w:val="55BB16B6"/>
    <w:rsid w:val="55CC73D2"/>
    <w:rsid w:val="55DA564E"/>
    <w:rsid w:val="55E27377"/>
    <w:rsid w:val="56024028"/>
    <w:rsid w:val="5604127D"/>
    <w:rsid w:val="56166703"/>
    <w:rsid w:val="56510474"/>
    <w:rsid w:val="565250AC"/>
    <w:rsid w:val="565902BA"/>
    <w:rsid w:val="56707EE0"/>
    <w:rsid w:val="56766566"/>
    <w:rsid w:val="568410FF"/>
    <w:rsid w:val="56861525"/>
    <w:rsid w:val="56897785"/>
    <w:rsid w:val="56910414"/>
    <w:rsid w:val="569A32A2"/>
    <w:rsid w:val="569D0B8E"/>
    <w:rsid w:val="56A93273"/>
    <w:rsid w:val="56BC4ADC"/>
    <w:rsid w:val="56BD550C"/>
    <w:rsid w:val="56C93DF1"/>
    <w:rsid w:val="56DD720F"/>
    <w:rsid w:val="56DEEC96"/>
    <w:rsid w:val="56E07045"/>
    <w:rsid w:val="56E11498"/>
    <w:rsid w:val="56F34C36"/>
    <w:rsid w:val="56FF28AF"/>
    <w:rsid w:val="570B22DC"/>
    <w:rsid w:val="571E12FD"/>
    <w:rsid w:val="573B502A"/>
    <w:rsid w:val="57420238"/>
    <w:rsid w:val="57497BC3"/>
    <w:rsid w:val="57540E7D"/>
    <w:rsid w:val="57563655"/>
    <w:rsid w:val="57746489"/>
    <w:rsid w:val="5776198C"/>
    <w:rsid w:val="577B4878"/>
    <w:rsid w:val="577F009D"/>
    <w:rsid w:val="57926973"/>
    <w:rsid w:val="57A646D9"/>
    <w:rsid w:val="57B204EC"/>
    <w:rsid w:val="57C62A10"/>
    <w:rsid w:val="57D26822"/>
    <w:rsid w:val="57F01655"/>
    <w:rsid w:val="57F13854"/>
    <w:rsid w:val="57FF02CC"/>
    <w:rsid w:val="57FF3E6E"/>
    <w:rsid w:val="5809477E"/>
    <w:rsid w:val="580D5382"/>
    <w:rsid w:val="58175352"/>
    <w:rsid w:val="581F2200"/>
    <w:rsid w:val="583059FA"/>
    <w:rsid w:val="584A0929"/>
    <w:rsid w:val="58560FFA"/>
    <w:rsid w:val="5862288E"/>
    <w:rsid w:val="58664B17"/>
    <w:rsid w:val="586A351D"/>
    <w:rsid w:val="586C319D"/>
    <w:rsid w:val="5889054F"/>
    <w:rsid w:val="58967865"/>
    <w:rsid w:val="589E4C71"/>
    <w:rsid w:val="58AB1D89"/>
    <w:rsid w:val="58B54896"/>
    <w:rsid w:val="58B8581B"/>
    <w:rsid w:val="58BC7AA4"/>
    <w:rsid w:val="58C70034"/>
    <w:rsid w:val="58CC44BC"/>
    <w:rsid w:val="58CD2491"/>
    <w:rsid w:val="58D06745"/>
    <w:rsid w:val="58DB6CD4"/>
    <w:rsid w:val="58E608E9"/>
    <w:rsid w:val="59032417"/>
    <w:rsid w:val="591B41B2"/>
    <w:rsid w:val="59254A26"/>
    <w:rsid w:val="59326325"/>
    <w:rsid w:val="59353EEB"/>
    <w:rsid w:val="59417CFE"/>
    <w:rsid w:val="59450902"/>
    <w:rsid w:val="595C505B"/>
    <w:rsid w:val="595E55C3"/>
    <w:rsid w:val="596E7E20"/>
    <w:rsid w:val="597D42DF"/>
    <w:rsid w:val="5998070C"/>
    <w:rsid w:val="59A72F25"/>
    <w:rsid w:val="59B80C41"/>
    <w:rsid w:val="59C0604D"/>
    <w:rsid w:val="59C21551"/>
    <w:rsid w:val="59CF0866"/>
    <w:rsid w:val="59CFF910"/>
    <w:rsid w:val="59EB4913"/>
    <w:rsid w:val="59F43024"/>
    <w:rsid w:val="5A413124"/>
    <w:rsid w:val="5A60780B"/>
    <w:rsid w:val="5AA83DCD"/>
    <w:rsid w:val="5AB34579"/>
    <w:rsid w:val="5AB47BDF"/>
    <w:rsid w:val="5ABB1768"/>
    <w:rsid w:val="5AD44891"/>
    <w:rsid w:val="5AEA4836"/>
    <w:rsid w:val="5AFC6609"/>
    <w:rsid w:val="5B0F6FF4"/>
    <w:rsid w:val="5B113480"/>
    <w:rsid w:val="5B1C2A87"/>
    <w:rsid w:val="5B3204AE"/>
    <w:rsid w:val="5B584E6A"/>
    <w:rsid w:val="5B5E47F5"/>
    <w:rsid w:val="5B7A4125"/>
    <w:rsid w:val="5B813AB0"/>
    <w:rsid w:val="5B8A0B3C"/>
    <w:rsid w:val="5B8C1E41"/>
    <w:rsid w:val="5BA0525E"/>
    <w:rsid w:val="5BAB1071"/>
    <w:rsid w:val="5BB054F9"/>
    <w:rsid w:val="5BBC4B8E"/>
    <w:rsid w:val="5BD456CE"/>
    <w:rsid w:val="5BDD2B45"/>
    <w:rsid w:val="5C032D84"/>
    <w:rsid w:val="5C0D1F49"/>
    <w:rsid w:val="5C41066B"/>
    <w:rsid w:val="5C4202EB"/>
    <w:rsid w:val="5C497C75"/>
    <w:rsid w:val="5C584A0D"/>
    <w:rsid w:val="5C6462A1"/>
    <w:rsid w:val="5C7D13C9"/>
    <w:rsid w:val="5CAF2E9D"/>
    <w:rsid w:val="5CBB0CE2"/>
    <w:rsid w:val="5CC17177"/>
    <w:rsid w:val="5CC52E42"/>
    <w:rsid w:val="5CD807DE"/>
    <w:rsid w:val="5CE26B6F"/>
    <w:rsid w:val="5CF306BC"/>
    <w:rsid w:val="5CF63611"/>
    <w:rsid w:val="5D074BB1"/>
    <w:rsid w:val="5D3D1807"/>
    <w:rsid w:val="5D3F3D64"/>
    <w:rsid w:val="5D5958B4"/>
    <w:rsid w:val="5D833043"/>
    <w:rsid w:val="5D915A0E"/>
    <w:rsid w:val="5D953195"/>
    <w:rsid w:val="5DA73435"/>
    <w:rsid w:val="5DAA43BA"/>
    <w:rsid w:val="5DAB65B8"/>
    <w:rsid w:val="5DC374E2"/>
    <w:rsid w:val="5DD92690"/>
    <w:rsid w:val="5DDB1CFD"/>
    <w:rsid w:val="5DDF358F"/>
    <w:rsid w:val="5DFA543E"/>
    <w:rsid w:val="5DFD63C2"/>
    <w:rsid w:val="5E130566"/>
    <w:rsid w:val="5E134CE3"/>
    <w:rsid w:val="5E253D03"/>
    <w:rsid w:val="5E4B06C0"/>
    <w:rsid w:val="5E5622D4"/>
    <w:rsid w:val="5E5D3E5D"/>
    <w:rsid w:val="5E7E6D93"/>
    <w:rsid w:val="5E9033B3"/>
    <w:rsid w:val="5ED44800"/>
    <w:rsid w:val="5EF5CAEA"/>
    <w:rsid w:val="5F060DF3"/>
    <w:rsid w:val="5F087B79"/>
    <w:rsid w:val="5F205220"/>
    <w:rsid w:val="5F350BDE"/>
    <w:rsid w:val="5F3828C7"/>
    <w:rsid w:val="5F3A7FC8"/>
    <w:rsid w:val="5F61632C"/>
    <w:rsid w:val="5F662111"/>
    <w:rsid w:val="5F685614"/>
    <w:rsid w:val="5F744CAA"/>
    <w:rsid w:val="5F895B49"/>
    <w:rsid w:val="5FA00FF1"/>
    <w:rsid w:val="5FA17648"/>
    <w:rsid w:val="5FA55479"/>
    <w:rsid w:val="5FE705CB"/>
    <w:rsid w:val="5FEA016C"/>
    <w:rsid w:val="5FF506FB"/>
    <w:rsid w:val="5FFDC154"/>
    <w:rsid w:val="6009519E"/>
    <w:rsid w:val="601147A8"/>
    <w:rsid w:val="602202C6"/>
    <w:rsid w:val="603D5080"/>
    <w:rsid w:val="60457581"/>
    <w:rsid w:val="604A3A09"/>
    <w:rsid w:val="604C110A"/>
    <w:rsid w:val="60510E15"/>
    <w:rsid w:val="60661CB4"/>
    <w:rsid w:val="608E53F7"/>
    <w:rsid w:val="6091637B"/>
    <w:rsid w:val="60AE592B"/>
    <w:rsid w:val="60AF11AF"/>
    <w:rsid w:val="60B430B8"/>
    <w:rsid w:val="60B81ABE"/>
    <w:rsid w:val="60C91D59"/>
    <w:rsid w:val="60D0261B"/>
    <w:rsid w:val="60D6106E"/>
    <w:rsid w:val="60DB1C73"/>
    <w:rsid w:val="60DE0679"/>
    <w:rsid w:val="60EA7D0F"/>
    <w:rsid w:val="60F560A0"/>
    <w:rsid w:val="6104413C"/>
    <w:rsid w:val="611046CB"/>
    <w:rsid w:val="612001E9"/>
    <w:rsid w:val="612742F0"/>
    <w:rsid w:val="614C0CAD"/>
    <w:rsid w:val="615D47CA"/>
    <w:rsid w:val="616F7F68"/>
    <w:rsid w:val="61720EED"/>
    <w:rsid w:val="617C507F"/>
    <w:rsid w:val="618A1E17"/>
    <w:rsid w:val="618E3791"/>
    <w:rsid w:val="61947DCA"/>
    <w:rsid w:val="619736AB"/>
    <w:rsid w:val="61A46A97"/>
    <w:rsid w:val="61B451D9"/>
    <w:rsid w:val="61CB4DFE"/>
    <w:rsid w:val="61D1382F"/>
    <w:rsid w:val="61DC639E"/>
    <w:rsid w:val="61EF75BD"/>
    <w:rsid w:val="61F114A2"/>
    <w:rsid w:val="62001A55"/>
    <w:rsid w:val="62166177"/>
    <w:rsid w:val="62512BB4"/>
    <w:rsid w:val="6251635C"/>
    <w:rsid w:val="625A6C6C"/>
    <w:rsid w:val="625D7D1A"/>
    <w:rsid w:val="62700E0F"/>
    <w:rsid w:val="627C4C22"/>
    <w:rsid w:val="6286459E"/>
    <w:rsid w:val="628864B6"/>
    <w:rsid w:val="62A34AE2"/>
    <w:rsid w:val="62B83782"/>
    <w:rsid w:val="62BF6990"/>
    <w:rsid w:val="62DD013F"/>
    <w:rsid w:val="62DD7D21"/>
    <w:rsid w:val="62E27E4A"/>
    <w:rsid w:val="632B5CBF"/>
    <w:rsid w:val="633565CF"/>
    <w:rsid w:val="633C39DB"/>
    <w:rsid w:val="634520EC"/>
    <w:rsid w:val="637D586B"/>
    <w:rsid w:val="638379D3"/>
    <w:rsid w:val="63A5560B"/>
    <w:rsid w:val="63A7308B"/>
    <w:rsid w:val="63AB5314"/>
    <w:rsid w:val="63B05F18"/>
    <w:rsid w:val="63C24F39"/>
    <w:rsid w:val="63DA25E0"/>
    <w:rsid w:val="63DF6A68"/>
    <w:rsid w:val="63E9091F"/>
    <w:rsid w:val="63F87992"/>
    <w:rsid w:val="63FD6018"/>
    <w:rsid w:val="64053424"/>
    <w:rsid w:val="640B532D"/>
    <w:rsid w:val="64212D54"/>
    <w:rsid w:val="642E206A"/>
    <w:rsid w:val="642F7AEC"/>
    <w:rsid w:val="64322AF9"/>
    <w:rsid w:val="643C4C03"/>
    <w:rsid w:val="64457A91"/>
    <w:rsid w:val="64546A26"/>
    <w:rsid w:val="6458542D"/>
    <w:rsid w:val="646C40CD"/>
    <w:rsid w:val="647527DE"/>
    <w:rsid w:val="647E30EE"/>
    <w:rsid w:val="648B4982"/>
    <w:rsid w:val="64952D13"/>
    <w:rsid w:val="64A70A2F"/>
    <w:rsid w:val="64B45B46"/>
    <w:rsid w:val="64C073DB"/>
    <w:rsid w:val="64D6010D"/>
    <w:rsid w:val="64D82665"/>
    <w:rsid w:val="64E47C96"/>
    <w:rsid w:val="64E53D97"/>
    <w:rsid w:val="64EB797F"/>
    <w:rsid w:val="64FD39BC"/>
    <w:rsid w:val="650023C2"/>
    <w:rsid w:val="651E5741"/>
    <w:rsid w:val="652512FD"/>
    <w:rsid w:val="65293587"/>
    <w:rsid w:val="657A6809"/>
    <w:rsid w:val="65875B1F"/>
    <w:rsid w:val="658A4877"/>
    <w:rsid w:val="65A00902"/>
    <w:rsid w:val="65AC6EDD"/>
    <w:rsid w:val="65C8438A"/>
    <w:rsid w:val="65C91E0B"/>
    <w:rsid w:val="65D97752"/>
    <w:rsid w:val="65DE652D"/>
    <w:rsid w:val="65E43CBA"/>
    <w:rsid w:val="65E76E3D"/>
    <w:rsid w:val="65F43F54"/>
    <w:rsid w:val="66085536"/>
    <w:rsid w:val="66105BF7"/>
    <w:rsid w:val="66150023"/>
    <w:rsid w:val="6617798C"/>
    <w:rsid w:val="6628010D"/>
    <w:rsid w:val="663527BF"/>
    <w:rsid w:val="663C214A"/>
    <w:rsid w:val="669B4528"/>
    <w:rsid w:val="66A96EFB"/>
    <w:rsid w:val="66B3308E"/>
    <w:rsid w:val="66CA7430"/>
    <w:rsid w:val="66CC12D7"/>
    <w:rsid w:val="66D1483C"/>
    <w:rsid w:val="66D435C2"/>
    <w:rsid w:val="66DC6450"/>
    <w:rsid w:val="66DF73D5"/>
    <w:rsid w:val="67022E0D"/>
    <w:rsid w:val="670D4A21"/>
    <w:rsid w:val="67134CEF"/>
    <w:rsid w:val="671F1ABD"/>
    <w:rsid w:val="672136C2"/>
    <w:rsid w:val="67367DE4"/>
    <w:rsid w:val="67416175"/>
    <w:rsid w:val="67521A59"/>
    <w:rsid w:val="676A1537"/>
    <w:rsid w:val="67714745"/>
    <w:rsid w:val="67834660"/>
    <w:rsid w:val="678420E1"/>
    <w:rsid w:val="678533E6"/>
    <w:rsid w:val="67B1772D"/>
    <w:rsid w:val="67C304AB"/>
    <w:rsid w:val="67D356E3"/>
    <w:rsid w:val="67D66668"/>
    <w:rsid w:val="67DD3A75"/>
    <w:rsid w:val="67EA0B8C"/>
    <w:rsid w:val="68107747"/>
    <w:rsid w:val="681C6DDC"/>
    <w:rsid w:val="683134FF"/>
    <w:rsid w:val="683F0658"/>
    <w:rsid w:val="6844251F"/>
    <w:rsid w:val="6855023B"/>
    <w:rsid w:val="689C6793"/>
    <w:rsid w:val="68A869C0"/>
    <w:rsid w:val="68B07650"/>
    <w:rsid w:val="68B946DC"/>
    <w:rsid w:val="68BD6966"/>
    <w:rsid w:val="68C94977"/>
    <w:rsid w:val="68CB7E7A"/>
    <w:rsid w:val="68DB0208"/>
    <w:rsid w:val="68DB5F16"/>
    <w:rsid w:val="68EB61B0"/>
    <w:rsid w:val="68FB170C"/>
    <w:rsid w:val="69033857"/>
    <w:rsid w:val="69162878"/>
    <w:rsid w:val="691B3D98"/>
    <w:rsid w:val="6921668A"/>
    <w:rsid w:val="6922410C"/>
    <w:rsid w:val="69362DAC"/>
    <w:rsid w:val="693748F0"/>
    <w:rsid w:val="693F5C3A"/>
    <w:rsid w:val="69434640"/>
    <w:rsid w:val="69617F7B"/>
    <w:rsid w:val="69760313"/>
    <w:rsid w:val="697C221C"/>
    <w:rsid w:val="697D7C9D"/>
    <w:rsid w:val="69846A0E"/>
    <w:rsid w:val="69AA1A66"/>
    <w:rsid w:val="69AD798C"/>
    <w:rsid w:val="69CB581E"/>
    <w:rsid w:val="69D005C0"/>
    <w:rsid w:val="69D80B96"/>
    <w:rsid w:val="69D925B6"/>
    <w:rsid w:val="69E90652"/>
    <w:rsid w:val="69EC37D4"/>
    <w:rsid w:val="69F20F61"/>
    <w:rsid w:val="6A077C02"/>
    <w:rsid w:val="6A123A14"/>
    <w:rsid w:val="6A146F17"/>
    <w:rsid w:val="6A352CCF"/>
    <w:rsid w:val="6A5269FC"/>
    <w:rsid w:val="6A601595"/>
    <w:rsid w:val="6A670F20"/>
    <w:rsid w:val="6A67569D"/>
    <w:rsid w:val="6A696621"/>
    <w:rsid w:val="6A755CB7"/>
    <w:rsid w:val="6A7A213F"/>
    <w:rsid w:val="6AA40D85"/>
    <w:rsid w:val="6AAB290E"/>
    <w:rsid w:val="6AB25B1C"/>
    <w:rsid w:val="6AC60F39"/>
    <w:rsid w:val="6AE74CF1"/>
    <w:rsid w:val="6AE82773"/>
    <w:rsid w:val="6B47600F"/>
    <w:rsid w:val="6B601138"/>
    <w:rsid w:val="6B68175F"/>
    <w:rsid w:val="6B94610F"/>
    <w:rsid w:val="6BB63B5D"/>
    <w:rsid w:val="6BD126F0"/>
    <w:rsid w:val="6BFB1336"/>
    <w:rsid w:val="6BFD799F"/>
    <w:rsid w:val="6C0341C4"/>
    <w:rsid w:val="6C172E65"/>
    <w:rsid w:val="6C1E27F0"/>
    <w:rsid w:val="6C4A2E5A"/>
    <w:rsid w:val="6C670665"/>
    <w:rsid w:val="6C74577D"/>
    <w:rsid w:val="6C7531FE"/>
    <w:rsid w:val="6C791C04"/>
    <w:rsid w:val="6C8138D0"/>
    <w:rsid w:val="6C9172AB"/>
    <w:rsid w:val="6CAC58D7"/>
    <w:rsid w:val="6CC27A7A"/>
    <w:rsid w:val="6CC509FF"/>
    <w:rsid w:val="6CCF6D90"/>
    <w:rsid w:val="6CD81C1E"/>
    <w:rsid w:val="6CDE73AA"/>
    <w:rsid w:val="6CE1032F"/>
    <w:rsid w:val="6CEF0725"/>
    <w:rsid w:val="6D0240E7"/>
    <w:rsid w:val="6D062AED"/>
    <w:rsid w:val="6D0D7EFA"/>
    <w:rsid w:val="6D18628B"/>
    <w:rsid w:val="6D2D712A"/>
    <w:rsid w:val="6D4B2604"/>
    <w:rsid w:val="6D6F0E98"/>
    <w:rsid w:val="6D8030E4"/>
    <w:rsid w:val="6D991CDC"/>
    <w:rsid w:val="6D9F3BE5"/>
    <w:rsid w:val="6DE5215B"/>
    <w:rsid w:val="6DF8337A"/>
    <w:rsid w:val="6E0E35C4"/>
    <w:rsid w:val="6E0F7A08"/>
    <w:rsid w:val="6E372E5F"/>
    <w:rsid w:val="6E391BE5"/>
    <w:rsid w:val="6E3947F5"/>
    <w:rsid w:val="6E935777"/>
    <w:rsid w:val="6E9C3E88"/>
    <w:rsid w:val="6E9C74ED"/>
    <w:rsid w:val="6EA25D92"/>
    <w:rsid w:val="6EA27F90"/>
    <w:rsid w:val="6EA35A11"/>
    <w:rsid w:val="6EB139AB"/>
    <w:rsid w:val="6EB56FB1"/>
    <w:rsid w:val="6EB846B2"/>
    <w:rsid w:val="6ECA36D3"/>
    <w:rsid w:val="6ED9441F"/>
    <w:rsid w:val="6EE05876"/>
    <w:rsid w:val="6EF72976"/>
    <w:rsid w:val="6F0547B1"/>
    <w:rsid w:val="6F0E50C1"/>
    <w:rsid w:val="6F2E7B74"/>
    <w:rsid w:val="6F333FFC"/>
    <w:rsid w:val="6F62294C"/>
    <w:rsid w:val="6F6C545A"/>
    <w:rsid w:val="6F722BE7"/>
    <w:rsid w:val="6F784AF0"/>
    <w:rsid w:val="6F786CEE"/>
    <w:rsid w:val="6F795A80"/>
    <w:rsid w:val="6F7B34F6"/>
    <w:rsid w:val="6F7C1D2E"/>
    <w:rsid w:val="6F896F89"/>
    <w:rsid w:val="6F8E0407"/>
    <w:rsid w:val="6F93531A"/>
    <w:rsid w:val="6F9540A0"/>
    <w:rsid w:val="6F9F112C"/>
    <w:rsid w:val="6FD51606"/>
    <w:rsid w:val="6FDD069F"/>
    <w:rsid w:val="6FDF2427"/>
    <w:rsid w:val="6FEA15AC"/>
    <w:rsid w:val="6FF440BA"/>
    <w:rsid w:val="6FFD71A0"/>
    <w:rsid w:val="6FFFF524"/>
    <w:rsid w:val="70077857"/>
    <w:rsid w:val="70115BE8"/>
    <w:rsid w:val="702B4D16"/>
    <w:rsid w:val="7063216F"/>
    <w:rsid w:val="70822A24"/>
    <w:rsid w:val="70A17A56"/>
    <w:rsid w:val="70AA6621"/>
    <w:rsid w:val="70AD70EB"/>
    <w:rsid w:val="70C15D8C"/>
    <w:rsid w:val="70FB13E9"/>
    <w:rsid w:val="71105B0B"/>
    <w:rsid w:val="7111480F"/>
    <w:rsid w:val="711A3E9C"/>
    <w:rsid w:val="71261F49"/>
    <w:rsid w:val="712A1F38"/>
    <w:rsid w:val="712E6956"/>
    <w:rsid w:val="712F2B3D"/>
    <w:rsid w:val="71473612"/>
    <w:rsid w:val="71504F32"/>
    <w:rsid w:val="7152309F"/>
    <w:rsid w:val="716E3926"/>
    <w:rsid w:val="718F7F65"/>
    <w:rsid w:val="71D92FD5"/>
    <w:rsid w:val="71D96859"/>
    <w:rsid w:val="71FC2290"/>
    <w:rsid w:val="720802A1"/>
    <w:rsid w:val="72100F31"/>
    <w:rsid w:val="721708BC"/>
    <w:rsid w:val="72255653"/>
    <w:rsid w:val="723B77F7"/>
    <w:rsid w:val="72411700"/>
    <w:rsid w:val="727B234E"/>
    <w:rsid w:val="72A35F21"/>
    <w:rsid w:val="72CE61D2"/>
    <w:rsid w:val="72D02269"/>
    <w:rsid w:val="72D068C7"/>
    <w:rsid w:val="72DA3E7D"/>
    <w:rsid w:val="72E42ED8"/>
    <w:rsid w:val="73053AEF"/>
    <w:rsid w:val="73096F4B"/>
    <w:rsid w:val="73193962"/>
    <w:rsid w:val="73234271"/>
    <w:rsid w:val="732B2982"/>
    <w:rsid w:val="7333450C"/>
    <w:rsid w:val="73491F32"/>
    <w:rsid w:val="7359474B"/>
    <w:rsid w:val="735F4CB9"/>
    <w:rsid w:val="73674C62"/>
    <w:rsid w:val="73845865"/>
    <w:rsid w:val="739667AE"/>
    <w:rsid w:val="73977AB3"/>
    <w:rsid w:val="739B6D9E"/>
    <w:rsid w:val="73A02941"/>
    <w:rsid w:val="73BC1D76"/>
    <w:rsid w:val="73CF3490"/>
    <w:rsid w:val="73D51B16"/>
    <w:rsid w:val="73D75019"/>
    <w:rsid w:val="73DA1821"/>
    <w:rsid w:val="73F96853"/>
    <w:rsid w:val="73FB6630"/>
    <w:rsid w:val="74042666"/>
    <w:rsid w:val="740B1FF0"/>
    <w:rsid w:val="74252B9A"/>
    <w:rsid w:val="74283B1F"/>
    <w:rsid w:val="74450ED1"/>
    <w:rsid w:val="744765D2"/>
    <w:rsid w:val="74481E55"/>
    <w:rsid w:val="744A7557"/>
    <w:rsid w:val="747E6AAC"/>
    <w:rsid w:val="748D790E"/>
    <w:rsid w:val="749820CC"/>
    <w:rsid w:val="749A63DC"/>
    <w:rsid w:val="74CE04EC"/>
    <w:rsid w:val="74D43C38"/>
    <w:rsid w:val="74E76DCD"/>
    <w:rsid w:val="74F72EF3"/>
    <w:rsid w:val="74F76776"/>
    <w:rsid w:val="74FD2BE4"/>
    <w:rsid w:val="751D7C0A"/>
    <w:rsid w:val="75213D37"/>
    <w:rsid w:val="7524053F"/>
    <w:rsid w:val="755F4EA1"/>
    <w:rsid w:val="75625E25"/>
    <w:rsid w:val="75676A2A"/>
    <w:rsid w:val="75722D56"/>
    <w:rsid w:val="75830558"/>
    <w:rsid w:val="75A44310"/>
    <w:rsid w:val="75AE1F87"/>
    <w:rsid w:val="75CB1FD1"/>
    <w:rsid w:val="75D2195C"/>
    <w:rsid w:val="75DB5477"/>
    <w:rsid w:val="75EC2506"/>
    <w:rsid w:val="75F21E91"/>
    <w:rsid w:val="75F72A95"/>
    <w:rsid w:val="75FC6AC3"/>
    <w:rsid w:val="76010E26"/>
    <w:rsid w:val="7616619B"/>
    <w:rsid w:val="76384B84"/>
    <w:rsid w:val="76514429"/>
    <w:rsid w:val="765B603D"/>
    <w:rsid w:val="765E373E"/>
    <w:rsid w:val="76660D7C"/>
    <w:rsid w:val="766C5968"/>
    <w:rsid w:val="76882384"/>
    <w:rsid w:val="768D208F"/>
    <w:rsid w:val="7696299F"/>
    <w:rsid w:val="76B26A4C"/>
    <w:rsid w:val="76BC735B"/>
    <w:rsid w:val="76BE0C8F"/>
    <w:rsid w:val="76BE4A5D"/>
    <w:rsid w:val="76CA40F3"/>
    <w:rsid w:val="76CD53B2"/>
    <w:rsid w:val="76EE55AC"/>
    <w:rsid w:val="76FB48C2"/>
    <w:rsid w:val="77035551"/>
    <w:rsid w:val="770719AC"/>
    <w:rsid w:val="771863F0"/>
    <w:rsid w:val="771A18F3"/>
    <w:rsid w:val="77214B01"/>
    <w:rsid w:val="775B39E2"/>
    <w:rsid w:val="7764686F"/>
    <w:rsid w:val="776526CC"/>
    <w:rsid w:val="777E4E9B"/>
    <w:rsid w:val="778F5F11"/>
    <w:rsid w:val="77935D3A"/>
    <w:rsid w:val="77A262E1"/>
    <w:rsid w:val="77B13C33"/>
    <w:rsid w:val="77C94015"/>
    <w:rsid w:val="77D36B23"/>
    <w:rsid w:val="77ED6F44"/>
    <w:rsid w:val="77F45548"/>
    <w:rsid w:val="78027672"/>
    <w:rsid w:val="78206C22"/>
    <w:rsid w:val="784E7CA6"/>
    <w:rsid w:val="785051F3"/>
    <w:rsid w:val="78574801"/>
    <w:rsid w:val="7873527F"/>
    <w:rsid w:val="7875412E"/>
    <w:rsid w:val="78823444"/>
    <w:rsid w:val="78861E4A"/>
    <w:rsid w:val="788A0850"/>
    <w:rsid w:val="78A83684"/>
    <w:rsid w:val="78B72619"/>
    <w:rsid w:val="78BC88E1"/>
    <w:rsid w:val="78C5192F"/>
    <w:rsid w:val="78CB12BA"/>
    <w:rsid w:val="78EB588C"/>
    <w:rsid w:val="78F65981"/>
    <w:rsid w:val="78FE6611"/>
    <w:rsid w:val="790A6425"/>
    <w:rsid w:val="790E2D96"/>
    <w:rsid w:val="791B54B2"/>
    <w:rsid w:val="79240A4F"/>
    <w:rsid w:val="79574721"/>
    <w:rsid w:val="795934A7"/>
    <w:rsid w:val="795A0A34"/>
    <w:rsid w:val="796849BB"/>
    <w:rsid w:val="797152CB"/>
    <w:rsid w:val="797339C3"/>
    <w:rsid w:val="79917D7E"/>
    <w:rsid w:val="79AA6729"/>
    <w:rsid w:val="79D57D57"/>
    <w:rsid w:val="79DA1477"/>
    <w:rsid w:val="79DB6EF8"/>
    <w:rsid w:val="79DC497A"/>
    <w:rsid w:val="79F00650"/>
    <w:rsid w:val="79F458A4"/>
    <w:rsid w:val="7A101951"/>
    <w:rsid w:val="7A2A24FB"/>
    <w:rsid w:val="7A381810"/>
    <w:rsid w:val="7A392B15"/>
    <w:rsid w:val="7A423425"/>
    <w:rsid w:val="7A581D45"/>
    <w:rsid w:val="7A6242BF"/>
    <w:rsid w:val="7A645B58"/>
    <w:rsid w:val="7A78007C"/>
    <w:rsid w:val="7A794513"/>
    <w:rsid w:val="7A8F5AA2"/>
    <w:rsid w:val="7AC41778"/>
    <w:rsid w:val="7ACF0A8A"/>
    <w:rsid w:val="7AE952D2"/>
    <w:rsid w:val="7AEF6DC1"/>
    <w:rsid w:val="7B157366"/>
    <w:rsid w:val="7B384C36"/>
    <w:rsid w:val="7B402043"/>
    <w:rsid w:val="7B5909EE"/>
    <w:rsid w:val="7B693F60"/>
    <w:rsid w:val="7B6A670A"/>
    <w:rsid w:val="7B6E188D"/>
    <w:rsid w:val="7B7A0F23"/>
    <w:rsid w:val="7B87E6F5"/>
    <w:rsid w:val="7B9A1458"/>
    <w:rsid w:val="7BBE88B4"/>
    <w:rsid w:val="7BC96724"/>
    <w:rsid w:val="7BCA1FA7"/>
    <w:rsid w:val="7BCF3EB0"/>
    <w:rsid w:val="7BD13B30"/>
    <w:rsid w:val="7BE56054"/>
    <w:rsid w:val="7BEF6963"/>
    <w:rsid w:val="7BF65CD6"/>
    <w:rsid w:val="7BFB4974"/>
    <w:rsid w:val="7BFC23F6"/>
    <w:rsid w:val="7BFD881E"/>
    <w:rsid w:val="7C137E1D"/>
    <w:rsid w:val="7C2300B7"/>
    <w:rsid w:val="7C2E1CCB"/>
    <w:rsid w:val="7C336153"/>
    <w:rsid w:val="7C372A8D"/>
    <w:rsid w:val="7C7F29CF"/>
    <w:rsid w:val="7C8C7AE7"/>
    <w:rsid w:val="7C9725F4"/>
    <w:rsid w:val="7C976D69"/>
    <w:rsid w:val="7CAF08AF"/>
    <w:rsid w:val="7CBD02B6"/>
    <w:rsid w:val="7CD752DA"/>
    <w:rsid w:val="7CDE40AB"/>
    <w:rsid w:val="7CF057E2"/>
    <w:rsid w:val="7CFB5B9C"/>
    <w:rsid w:val="7D011CA4"/>
    <w:rsid w:val="7D1379BF"/>
    <w:rsid w:val="7D1548B5"/>
    <w:rsid w:val="7D1876CA"/>
    <w:rsid w:val="7D19514C"/>
    <w:rsid w:val="7D2456DB"/>
    <w:rsid w:val="7D5F203D"/>
    <w:rsid w:val="7D66524B"/>
    <w:rsid w:val="7D7FA729"/>
    <w:rsid w:val="7D836D7A"/>
    <w:rsid w:val="7DA76C95"/>
    <w:rsid w:val="7DC120E2"/>
    <w:rsid w:val="7DC27B63"/>
    <w:rsid w:val="7DC70768"/>
    <w:rsid w:val="7DCE3976"/>
    <w:rsid w:val="7DDFDFA0"/>
    <w:rsid w:val="7DF84014"/>
    <w:rsid w:val="7DFD0C42"/>
    <w:rsid w:val="7DFE66C3"/>
    <w:rsid w:val="7E18726D"/>
    <w:rsid w:val="7E207949"/>
    <w:rsid w:val="7E223400"/>
    <w:rsid w:val="7E233080"/>
    <w:rsid w:val="7E294F89"/>
    <w:rsid w:val="7E2A628E"/>
    <w:rsid w:val="7E2F6E92"/>
    <w:rsid w:val="7E3A0AA7"/>
    <w:rsid w:val="7E5C0A47"/>
    <w:rsid w:val="7E602EE5"/>
    <w:rsid w:val="7E670C75"/>
    <w:rsid w:val="7E994343"/>
    <w:rsid w:val="7E9E07CB"/>
    <w:rsid w:val="7ECB2594"/>
    <w:rsid w:val="7ED918AA"/>
    <w:rsid w:val="7EDC282E"/>
    <w:rsid w:val="7EE24272"/>
    <w:rsid w:val="7EE456BC"/>
    <w:rsid w:val="7EEA6053"/>
    <w:rsid w:val="7F0823F9"/>
    <w:rsid w:val="7F2E4837"/>
    <w:rsid w:val="7F3F4AD1"/>
    <w:rsid w:val="7F487C04"/>
    <w:rsid w:val="7F536FF5"/>
    <w:rsid w:val="7F544A77"/>
    <w:rsid w:val="7F5759FB"/>
    <w:rsid w:val="7F590EFE"/>
    <w:rsid w:val="7F8C4BD0"/>
    <w:rsid w:val="7F941FDD"/>
    <w:rsid w:val="7FA42277"/>
    <w:rsid w:val="7FAB0414"/>
    <w:rsid w:val="7FAF604B"/>
    <w:rsid w:val="7FB42512"/>
    <w:rsid w:val="7FB45F21"/>
    <w:rsid w:val="7FB73496"/>
    <w:rsid w:val="7FBE2E21"/>
    <w:rsid w:val="7FC811B2"/>
    <w:rsid w:val="7FCD0EBD"/>
    <w:rsid w:val="7FD37543"/>
    <w:rsid w:val="7FE43061"/>
    <w:rsid w:val="7FE57088"/>
    <w:rsid w:val="7FE874E8"/>
    <w:rsid w:val="7FF37FA3"/>
    <w:rsid w:val="7FFB75E2"/>
    <w:rsid w:val="7FFDD99F"/>
    <w:rsid w:val="7FFE5E09"/>
    <w:rsid w:val="B4DFD4F6"/>
    <w:rsid w:val="BEF597F9"/>
    <w:rsid w:val="BFE2723F"/>
    <w:rsid w:val="C6F1B657"/>
    <w:rsid w:val="DBDFEE41"/>
    <w:rsid w:val="DEFF31B6"/>
    <w:rsid w:val="DFBE3374"/>
    <w:rsid w:val="DFFD7980"/>
    <w:rsid w:val="E2DCC245"/>
    <w:rsid w:val="EEAF3B86"/>
    <w:rsid w:val="EFBF7B59"/>
    <w:rsid w:val="EFF98C70"/>
    <w:rsid w:val="EFFB419B"/>
    <w:rsid w:val="F3BF5F81"/>
    <w:rsid w:val="F3FD4A79"/>
    <w:rsid w:val="F6CC2DE6"/>
    <w:rsid w:val="F9EFD8DF"/>
    <w:rsid w:val="FABF891E"/>
    <w:rsid w:val="FAEE4153"/>
    <w:rsid w:val="FAFA6728"/>
    <w:rsid w:val="FBFFD1A8"/>
    <w:rsid w:val="FCD7E285"/>
    <w:rsid w:val="FDD5141B"/>
    <w:rsid w:val="FF554FF5"/>
    <w:rsid w:val="FF6EAD09"/>
    <w:rsid w:val="FF7B7EB4"/>
    <w:rsid w:val="FFA511FD"/>
    <w:rsid w:val="FFB4C119"/>
    <w:rsid w:val="FFBF3B09"/>
    <w:rsid w:val="FFE977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6938</Words>
  <Characters>7829</Characters>
  <Lines>0</Lines>
  <Paragraphs>0</Paragraphs>
  <TotalTime>1</TotalTime>
  <ScaleCrop>false</ScaleCrop>
  <LinksUpToDate>false</LinksUpToDate>
  <CharactersWithSpaces>7868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GXR</dc:creator>
  <cp:lastModifiedBy>user</cp:lastModifiedBy>
  <cp:lastPrinted>2024-08-23T12:53:00Z</cp:lastPrinted>
  <dcterms:modified xsi:type="dcterms:W3CDTF">2024-11-20T17:24:17Z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D624B15633CD43C8BF9435464A96BF70</vt:lpwstr>
  </property>
</Properties>
</file>