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default" w:ascii="Times New Roman" w:hAnsi="Times New Roman" w:eastAsia="方正小标宋简体" w:cs="Times New Roman"/>
          <w:b/>
          <w:bCs w:val="0"/>
          <w:sz w:val="40"/>
          <w:szCs w:val="40"/>
        </w:rPr>
      </w:pPr>
      <w:bookmarkStart w:id="0" w:name="_GoBack"/>
      <w:r>
        <w:rPr>
          <w:rFonts w:hint="default" w:ascii="Times New Roman" w:hAnsi="Times New Roman" w:eastAsia="方正小标宋简体" w:cs="Times New Roman"/>
          <w:b/>
          <w:bCs w:val="0"/>
          <w:sz w:val="40"/>
          <w:szCs w:val="40"/>
          <w:lang w:eastAsia="zh-CN"/>
        </w:rPr>
        <w:t>基层群众性自治组织依法</w:t>
      </w:r>
      <w:r>
        <w:rPr>
          <w:rFonts w:hint="default" w:ascii="Times New Roman" w:hAnsi="Times New Roman" w:eastAsia="方正小标宋简体" w:cs="Times New Roman"/>
          <w:b/>
          <w:bCs w:val="0"/>
          <w:sz w:val="40"/>
          <w:szCs w:val="40"/>
        </w:rPr>
        <w:t>协助</w:t>
      </w:r>
      <w:r>
        <w:rPr>
          <w:rFonts w:hint="default" w:ascii="Times New Roman" w:hAnsi="Times New Roman" w:eastAsia="方正小标宋简体" w:cs="Times New Roman"/>
          <w:b/>
          <w:bCs w:val="0"/>
          <w:sz w:val="40"/>
          <w:szCs w:val="40"/>
          <w:lang w:eastAsia="zh-CN"/>
        </w:rPr>
        <w:t>政府工作</w:t>
      </w:r>
      <w:r>
        <w:rPr>
          <w:rFonts w:hint="default" w:ascii="Times New Roman" w:hAnsi="Times New Roman" w:eastAsia="方正小标宋简体" w:cs="Times New Roman"/>
          <w:b/>
          <w:bCs w:val="0"/>
          <w:sz w:val="40"/>
          <w:szCs w:val="40"/>
        </w:rPr>
        <w:t>事项</w:t>
      </w:r>
    </w:p>
    <w:p>
      <w:pPr>
        <w:spacing w:line="640" w:lineRule="exact"/>
        <w:jc w:val="center"/>
        <w:rPr>
          <w:rFonts w:hint="default" w:ascii="Times New Roman" w:hAnsi="Times New Roman" w:eastAsia="方正小标宋简体" w:cs="Times New Roman"/>
          <w:b/>
          <w:bCs w:val="0"/>
          <w:sz w:val="40"/>
          <w:szCs w:val="40"/>
        </w:rPr>
      </w:pPr>
      <w:r>
        <w:rPr>
          <w:rFonts w:hint="default" w:ascii="Times New Roman" w:hAnsi="Times New Roman" w:eastAsia="方正小标宋简体" w:cs="Times New Roman"/>
          <w:b/>
          <w:bCs w:val="0"/>
          <w:sz w:val="40"/>
          <w:szCs w:val="40"/>
        </w:rPr>
        <w:t>指导清单</w:t>
      </w:r>
    </w:p>
    <w:bookmarkEnd w:id="0"/>
    <w:tbl>
      <w:tblPr>
        <w:tblStyle w:val="4"/>
        <w:tblW w:w="87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44"/>
        <w:gridCol w:w="3844"/>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val="0"/>
                <w:sz w:val="24"/>
                <w:szCs w:val="24"/>
              </w:rPr>
            </w:pPr>
            <w:r>
              <w:rPr>
                <w:rFonts w:hint="default" w:ascii="Times New Roman" w:hAnsi="Times New Roman" w:eastAsia="黑体" w:cs="Times New Roman"/>
                <w:b/>
                <w:bCs w:val="0"/>
                <w:sz w:val="24"/>
                <w:szCs w:val="24"/>
              </w:rPr>
              <w:t>序号</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bCs w:val="0"/>
                <w:sz w:val="24"/>
                <w:szCs w:val="24"/>
              </w:rPr>
            </w:pPr>
            <w:r>
              <w:rPr>
                <w:rFonts w:hint="default" w:ascii="Times New Roman" w:hAnsi="Times New Roman" w:eastAsia="黑体" w:cs="Times New Roman"/>
                <w:b/>
                <w:bCs w:val="0"/>
                <w:sz w:val="24"/>
                <w:szCs w:val="24"/>
              </w:rPr>
              <w:t>协助办理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b/>
                <w:bCs w:val="0"/>
                <w:sz w:val="24"/>
                <w:szCs w:val="24"/>
              </w:rPr>
            </w:pPr>
            <w:r>
              <w:rPr>
                <w:rFonts w:hint="default" w:ascii="Times New Roman" w:hAnsi="Times New Roman" w:eastAsia="黑体" w:cs="Times New Roman"/>
                <w:b/>
                <w:bCs w:val="0"/>
                <w:sz w:val="24"/>
                <w:szCs w:val="24"/>
              </w:rPr>
              <w:t>事项</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val="0"/>
                <w:sz w:val="24"/>
                <w:szCs w:val="24"/>
              </w:rPr>
            </w:pPr>
            <w:r>
              <w:rPr>
                <w:rFonts w:hint="default" w:ascii="Times New Roman" w:hAnsi="Times New Roman" w:eastAsia="黑体" w:cs="Times New Roman"/>
                <w:b/>
                <w:bCs w:val="0"/>
                <w:sz w:val="24"/>
                <w:szCs w:val="24"/>
              </w:rPr>
              <w:t>具体工作内容</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b/>
                <w:bCs w:val="0"/>
                <w:sz w:val="24"/>
                <w:szCs w:val="24"/>
              </w:rPr>
            </w:pPr>
            <w:r>
              <w:rPr>
                <w:rFonts w:hint="default" w:ascii="Times New Roman" w:hAnsi="Times New Roman" w:eastAsia="黑体" w:cs="Times New Roman"/>
                <w:b/>
                <w:bCs w:val="0"/>
                <w:sz w:val="24"/>
                <w:szCs w:val="24"/>
              </w:rPr>
              <w:t>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1</w:t>
            </w:r>
          </w:p>
        </w:tc>
        <w:tc>
          <w:tcPr>
            <w:tcW w:w="124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社会治安</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协助维护社会治安。</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《中华人民共和国宪法》第一百一十一条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2</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协助开展禁毒</w:t>
            </w:r>
            <w:r>
              <w:rPr>
                <w:rFonts w:hint="default" w:ascii="Times New Roman" w:hAnsi="Times New Roman" w:eastAsia="方正仿宋_GBK" w:cs="Times New Roman"/>
                <w:b/>
                <w:bCs w:val="0"/>
                <w:sz w:val="20"/>
                <w:szCs w:val="20"/>
                <w:lang w:eastAsia="zh-CN"/>
              </w:rPr>
              <w:t>宣传教育，落实禁毒</w:t>
            </w:r>
            <w:r>
              <w:rPr>
                <w:rFonts w:hint="default" w:ascii="Times New Roman" w:hAnsi="Times New Roman" w:eastAsia="方正仿宋_GBK" w:cs="Times New Roman"/>
                <w:b/>
                <w:bCs w:val="0"/>
                <w:sz w:val="20"/>
                <w:szCs w:val="20"/>
              </w:rPr>
              <w:t>防范</w:t>
            </w:r>
            <w:r>
              <w:rPr>
                <w:rFonts w:hint="default" w:ascii="Times New Roman" w:hAnsi="Times New Roman" w:eastAsia="方正仿宋_GBK" w:cs="Times New Roman"/>
                <w:b/>
                <w:bCs w:val="0"/>
                <w:sz w:val="20"/>
                <w:szCs w:val="20"/>
                <w:lang w:eastAsia="zh-CN"/>
              </w:rPr>
              <w:t>措施</w:t>
            </w:r>
            <w:r>
              <w:rPr>
                <w:rFonts w:hint="default" w:ascii="Times New Roman" w:hAnsi="Times New Roman" w:eastAsia="方正仿宋_GBK" w:cs="Times New Roman"/>
                <w:b/>
                <w:bCs w:val="0"/>
                <w:sz w:val="20"/>
                <w:szCs w:val="20"/>
              </w:rPr>
              <w:t>。</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《中华人民共和国禁毒法》第十七条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3</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highlight w:val="yellow"/>
                <w:lang w:eastAsia="zh-CN"/>
              </w:rPr>
            </w:pPr>
            <w:r>
              <w:rPr>
                <w:rFonts w:hint="default" w:ascii="Times New Roman" w:hAnsi="Times New Roman" w:eastAsia="方正仿宋_GBK" w:cs="Times New Roman"/>
                <w:b/>
                <w:bCs w:val="0"/>
                <w:sz w:val="20"/>
                <w:szCs w:val="20"/>
                <w:highlight w:val="none"/>
              </w:rPr>
              <w:t>协助</w:t>
            </w:r>
            <w:r>
              <w:rPr>
                <w:rFonts w:hint="default" w:ascii="Times New Roman" w:hAnsi="Times New Roman" w:eastAsia="方正仿宋_GBK" w:cs="Times New Roman"/>
                <w:b/>
                <w:bCs w:val="0"/>
                <w:sz w:val="20"/>
                <w:szCs w:val="20"/>
                <w:highlight w:val="none"/>
                <w:lang w:eastAsia="zh-CN"/>
              </w:rPr>
              <w:t>做好实有人口和房屋租赁使用中的治安管理相关工作。</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highlight w:val="yellow"/>
                <w:lang w:eastAsia="zh-CN"/>
              </w:rPr>
            </w:pPr>
            <w:r>
              <w:rPr>
                <w:rFonts w:hint="default" w:ascii="Times New Roman" w:hAnsi="Times New Roman" w:eastAsia="方正仿宋_GBK" w:cs="Times New Roman"/>
                <w:b/>
                <w:bCs w:val="0"/>
                <w:sz w:val="20"/>
                <w:szCs w:val="20"/>
                <w:highlight w:val="none"/>
              </w:rPr>
              <w:t>《</w:t>
            </w:r>
            <w:r>
              <w:rPr>
                <w:rFonts w:hint="default" w:ascii="Times New Roman" w:hAnsi="Times New Roman" w:eastAsia="方正仿宋_GBK" w:cs="Times New Roman"/>
                <w:b/>
                <w:bCs w:val="0"/>
                <w:sz w:val="20"/>
                <w:szCs w:val="20"/>
                <w:highlight w:val="none"/>
                <w:lang w:eastAsia="zh-CN"/>
              </w:rPr>
              <w:t>新疆维吾尔自治区平安建设条例》第二十五条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4</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pacing w:val="-5"/>
                <w:sz w:val="20"/>
                <w:szCs w:val="20"/>
              </w:rPr>
              <w:t>协助人民政府以及公安机关、应急管理等部门，加强消防宣传教育。</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rPr>
              <w:t>《中华人民共和国消防法》</w:t>
            </w:r>
            <w:r>
              <w:rPr>
                <w:rFonts w:hint="default" w:ascii="Times New Roman" w:hAnsi="Times New Roman" w:eastAsia="方正仿宋_GBK" w:cs="Times New Roman"/>
                <w:b/>
                <w:bCs w:val="0"/>
                <w:sz w:val="20"/>
                <w:szCs w:val="20"/>
                <w:lang w:eastAsia="zh-CN"/>
              </w:rPr>
              <w:t>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5</w:t>
            </w:r>
          </w:p>
        </w:tc>
        <w:tc>
          <w:tcPr>
            <w:tcW w:w="124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社区教育</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lang w:eastAsia="zh-CN"/>
              </w:rPr>
              <w:t>配合</w:t>
            </w:r>
            <w:r>
              <w:rPr>
                <w:rFonts w:hint="default" w:ascii="Times New Roman" w:hAnsi="Times New Roman" w:eastAsia="方正仿宋_GBK" w:cs="Times New Roman"/>
                <w:b/>
                <w:bCs w:val="0"/>
                <w:sz w:val="20"/>
                <w:szCs w:val="20"/>
              </w:rPr>
              <w:t>加强对未成年人的校外教育工作。</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《中华人民共和国教育法》第五十二条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6</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协助督促适龄儿童、少年入学。</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《中华人民共和国义务教育法》第十三条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7</w:t>
            </w:r>
          </w:p>
        </w:tc>
        <w:tc>
          <w:tcPr>
            <w:tcW w:w="124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rPr>
              <w:t>民政</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协助开展社会救助相关工作，对不再符合供养条件的特困供养人员，及时告知乡镇人民政府、街道办事处，由乡镇人民政府、街道办事处审核并报县级人民政府民政部门核准后，终止供养并予以公示。</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《社会救助暂行办法》第四条、第十八条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val="en-US" w:eastAsia="zh-CN"/>
              </w:rPr>
              <w:t>8</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eastAsia="zh-CN"/>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劝诫、制止未成年人的父母或者其他监护人不依法履行监护职责或者侵犯未成年人合法权益的行为；情节严重的，及时向公安机关报告。</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《中华人民共和国未成年人保护法》第一百一十八条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val="en-US" w:eastAsia="zh-CN"/>
              </w:rPr>
              <w:t>9</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eastAsia="zh-CN"/>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协助做好</w:t>
            </w:r>
            <w:r>
              <w:rPr>
                <w:rFonts w:hint="default" w:ascii="Times New Roman" w:hAnsi="Times New Roman" w:eastAsia="方正仿宋_GBK" w:cs="Times New Roman"/>
                <w:b/>
                <w:bCs w:val="0"/>
                <w:spacing w:val="-4"/>
                <w:sz w:val="20"/>
                <w:szCs w:val="20"/>
              </w:rPr>
              <w:t>未成年人保护工作</w:t>
            </w:r>
            <w:r>
              <w:rPr>
                <w:rFonts w:hint="default" w:ascii="Times New Roman" w:hAnsi="Times New Roman" w:eastAsia="方正仿宋_GBK" w:cs="Times New Roman"/>
                <w:b/>
                <w:bCs w:val="0"/>
                <w:spacing w:val="-4"/>
                <w:sz w:val="20"/>
                <w:szCs w:val="20"/>
                <w:lang w:eastAsia="zh-CN"/>
              </w:rPr>
              <w:t>。</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rPr>
              <w:t>《中华人民共和国未成年人保护法》</w:t>
            </w:r>
            <w:r>
              <w:rPr>
                <w:rFonts w:hint="default" w:ascii="Times New Roman" w:hAnsi="Times New Roman" w:eastAsia="方正仿宋_GBK" w:cs="Times New Roman"/>
                <w:b/>
                <w:bCs w:val="0"/>
                <w:sz w:val="20"/>
                <w:szCs w:val="20"/>
                <w:lang w:eastAsia="zh-CN"/>
              </w:rPr>
              <w:t>第十一条、</w:t>
            </w:r>
            <w:r>
              <w:rPr>
                <w:rFonts w:hint="default" w:ascii="Times New Roman" w:hAnsi="Times New Roman" w:eastAsia="方正仿宋_GBK" w:cs="Times New Roman"/>
                <w:b/>
                <w:bCs w:val="0"/>
                <w:sz w:val="20"/>
                <w:szCs w:val="20"/>
              </w:rPr>
              <w:t>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val="en-US" w:eastAsia="zh-CN"/>
              </w:rPr>
              <w:t>10</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eastAsia="zh-CN"/>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协助办理收养子女手续。</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《中国公民收养子女登记办法》第四条、第五条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val="en-US" w:eastAsia="zh-CN"/>
              </w:rPr>
            </w:pPr>
            <w:r>
              <w:rPr>
                <w:rFonts w:hint="default" w:ascii="Times New Roman" w:hAnsi="Times New Roman" w:eastAsia="方正仿宋_GBK" w:cs="Times New Roman"/>
                <w:b/>
                <w:bCs w:val="0"/>
                <w:sz w:val="20"/>
                <w:szCs w:val="20"/>
                <w:lang w:val="en-US" w:eastAsia="zh-CN"/>
              </w:rPr>
              <w:t>11</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u w:val="none"/>
                <w:lang w:eastAsia="zh-CN"/>
              </w:rPr>
            </w:pPr>
            <w:r>
              <w:rPr>
                <w:rFonts w:hint="default" w:ascii="Times New Roman" w:hAnsi="Times New Roman" w:eastAsia="方正仿宋_GBK" w:cs="Times New Roman"/>
                <w:b/>
                <w:bCs w:val="0"/>
                <w:sz w:val="20"/>
                <w:szCs w:val="20"/>
                <w:u w:val="none"/>
                <w:lang w:eastAsia="zh-CN"/>
              </w:rPr>
              <w:t>退役军人</w:t>
            </w:r>
            <w:r>
              <w:rPr>
                <w:rFonts w:hint="default" w:ascii="Times New Roman" w:hAnsi="Times New Roman" w:eastAsia="方正仿宋_GBK" w:cs="Times New Roman"/>
                <w:b/>
                <w:bCs w:val="0"/>
                <w:sz w:val="20"/>
                <w:szCs w:val="20"/>
                <w:u w:val="none"/>
                <w:lang w:val="en-US" w:eastAsia="zh-CN"/>
              </w:rPr>
              <w:t xml:space="preserve"> </w:t>
            </w:r>
            <w:r>
              <w:rPr>
                <w:rFonts w:hint="default" w:ascii="Times New Roman" w:hAnsi="Times New Roman" w:eastAsia="方正仿宋_GBK" w:cs="Times New Roman"/>
                <w:b/>
                <w:bCs w:val="0"/>
                <w:sz w:val="20"/>
                <w:szCs w:val="20"/>
                <w:u w:val="none"/>
                <w:lang w:eastAsia="zh-CN"/>
              </w:rPr>
              <w:t>服务</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u w:val="none"/>
                <w:lang w:eastAsia="zh-CN"/>
              </w:rPr>
            </w:pPr>
            <w:r>
              <w:rPr>
                <w:rFonts w:hint="default" w:ascii="Times New Roman" w:hAnsi="Times New Roman" w:eastAsia="方正仿宋_GBK" w:cs="Times New Roman"/>
                <w:b/>
                <w:bCs w:val="0"/>
                <w:sz w:val="20"/>
                <w:szCs w:val="20"/>
                <w:u w:val="none"/>
                <w:lang w:eastAsia="zh-CN"/>
              </w:rPr>
              <w:t>协助做好与退役军人联系沟通，做好退役军人就业创业扶持、优抚帮扶、走访慰问、权益维护等服务保障工作。</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u w:val="none"/>
                <w:lang w:eastAsia="zh-CN"/>
              </w:rPr>
            </w:pPr>
            <w:r>
              <w:rPr>
                <w:rFonts w:hint="default" w:ascii="Times New Roman" w:hAnsi="Times New Roman" w:eastAsia="方正仿宋_GBK" w:cs="Times New Roman"/>
                <w:b/>
                <w:bCs w:val="0"/>
                <w:sz w:val="20"/>
                <w:szCs w:val="20"/>
                <w:u w:val="none"/>
                <w:lang w:eastAsia="zh-CN"/>
              </w:rPr>
              <w:t>《中华人民共和国退役军人保障法》第六十六条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val="en-US" w:eastAsia="zh-CN"/>
              </w:rPr>
              <w:t>12</w:t>
            </w:r>
          </w:p>
        </w:tc>
        <w:tc>
          <w:tcPr>
            <w:tcW w:w="124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rPr>
              <w:t>统计</w:t>
            </w:r>
            <w:r>
              <w:rPr>
                <w:rFonts w:hint="default" w:ascii="Times New Roman" w:hAnsi="Times New Roman" w:eastAsia="方正仿宋_GBK" w:cs="Times New Roman"/>
                <w:b/>
                <w:bCs w:val="0"/>
                <w:sz w:val="20"/>
                <w:szCs w:val="20"/>
                <w:lang w:eastAsia="zh-CN"/>
              </w:rPr>
              <w:t>、调查</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lang w:val="en-US" w:eastAsia="zh-CN"/>
              </w:rPr>
              <w:t>协助做好本区域内的农业普查；动员和组织社会力量，做好本区域内的人口普查、经济普查。</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en-US" w:eastAsia="zh-CN"/>
              </w:rPr>
            </w:pPr>
            <w:r>
              <w:rPr>
                <w:rFonts w:hint="default" w:ascii="Times New Roman" w:hAnsi="Times New Roman" w:eastAsia="方正仿宋_GBK" w:cs="Times New Roman"/>
                <w:b/>
                <w:bCs w:val="0"/>
                <w:sz w:val="20"/>
                <w:szCs w:val="20"/>
                <w:lang w:val="en-US" w:eastAsia="zh-CN"/>
              </w:rPr>
              <w:t>《全国农业普查条例》第十七条《全国人口普查条例》第三条</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lang w:val="en-US" w:eastAsia="zh-CN"/>
              </w:rPr>
              <w:t>《全国经济普查条例》第十六条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val="en-US" w:eastAsia="zh-CN"/>
              </w:rPr>
              <w:t>13</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lang w:eastAsia="zh-CN"/>
              </w:rPr>
              <w:t>动员和组织社会力量积极参与并认真做好</w:t>
            </w:r>
            <w:r>
              <w:rPr>
                <w:rFonts w:hint="default" w:ascii="Times New Roman" w:hAnsi="Times New Roman" w:eastAsia="方正仿宋_GBK" w:cs="Times New Roman"/>
                <w:b/>
                <w:bCs w:val="0"/>
                <w:sz w:val="20"/>
                <w:szCs w:val="20"/>
              </w:rPr>
              <w:t>污染源普查等工作。</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《全国污染源普查条例》第十五条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14</w:t>
            </w:r>
          </w:p>
        </w:tc>
        <w:tc>
          <w:tcPr>
            <w:tcW w:w="124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救灾应急</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协助人民政府开展自然灾害救助</w:t>
            </w:r>
            <w:r>
              <w:rPr>
                <w:rFonts w:hint="default" w:ascii="Times New Roman" w:hAnsi="Times New Roman" w:eastAsia="方正仿宋_GBK" w:cs="Times New Roman"/>
                <w:b/>
                <w:bCs w:val="0"/>
                <w:sz w:val="20"/>
                <w:szCs w:val="20"/>
              </w:rPr>
              <w:t>、评议居民住房恢复重建补助对象</w:t>
            </w:r>
            <w:r>
              <w:rPr>
                <w:rFonts w:hint="default" w:ascii="Times New Roman" w:hAnsi="Times New Roman" w:eastAsia="方正仿宋_GBK" w:cs="Times New Roman"/>
                <w:b/>
                <w:bCs w:val="0"/>
                <w:sz w:val="20"/>
                <w:szCs w:val="20"/>
                <w:lang w:val="zh-CN"/>
              </w:rPr>
              <w:t>；协助做好抗旱措施的落实工作。</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《自然灾害救助条例》第五条《中华人民共和国抗旱条例》第四十二条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15</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eastAsia="zh-CN"/>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bCs w:val="0"/>
                <w:kern w:val="2"/>
                <w:sz w:val="20"/>
                <w:szCs w:val="20"/>
                <w:lang w:val="zh-CN" w:eastAsia="zh-CN" w:bidi="ar-SA"/>
              </w:rPr>
            </w:pPr>
            <w:r>
              <w:rPr>
                <w:rFonts w:hint="default" w:ascii="Times New Roman" w:hAnsi="Times New Roman" w:eastAsia="方正仿宋_GBK" w:cs="Times New Roman"/>
                <w:b/>
                <w:bCs w:val="0"/>
                <w:sz w:val="20"/>
                <w:szCs w:val="20"/>
              </w:rPr>
              <w:t>协助开展应急知识的宣传普及活动和必要的应急演练</w:t>
            </w:r>
            <w:r>
              <w:rPr>
                <w:rFonts w:hint="default" w:ascii="Times New Roman" w:hAnsi="Times New Roman" w:eastAsia="方正仿宋_GBK" w:cs="Times New Roman"/>
                <w:b/>
                <w:bCs w:val="0"/>
                <w:sz w:val="20"/>
                <w:szCs w:val="20"/>
                <w:lang w:eastAsia="zh-CN"/>
              </w:rPr>
              <w:t>；</w:t>
            </w:r>
            <w:r>
              <w:rPr>
                <w:rFonts w:hint="default" w:ascii="Times New Roman" w:hAnsi="Times New Roman" w:eastAsia="方正仿宋_GBK" w:cs="Times New Roman"/>
                <w:b/>
                <w:bCs w:val="0"/>
                <w:sz w:val="20"/>
                <w:szCs w:val="20"/>
              </w:rPr>
              <w:t>突发事件发生后，协助进行宣传动员，报送突发事件信息，组织群众开展自救和互救，维护社会秩序。</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bCs w:val="0"/>
                <w:kern w:val="2"/>
                <w:sz w:val="20"/>
                <w:szCs w:val="20"/>
                <w:lang w:val="zh-CN" w:eastAsia="zh-CN" w:bidi="ar-SA"/>
              </w:rPr>
            </w:pPr>
            <w:r>
              <w:rPr>
                <w:rFonts w:hint="default" w:ascii="Times New Roman" w:hAnsi="Times New Roman" w:eastAsia="方正仿宋_GBK" w:cs="Times New Roman"/>
                <w:b/>
                <w:bCs w:val="0"/>
                <w:sz w:val="20"/>
                <w:szCs w:val="20"/>
              </w:rPr>
              <w:t>《中华人民共和国突发事件应对法》第二十九条、第五十五条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16</w:t>
            </w:r>
          </w:p>
        </w:tc>
        <w:tc>
          <w:tcPr>
            <w:tcW w:w="124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公共卫生</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协助开展公共卫生工作。</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0"/>
                <w:szCs w:val="20"/>
                <w:lang w:val="zh-CN"/>
              </w:rPr>
            </w:pPr>
            <w:r>
              <w:rPr>
                <w:rFonts w:hint="default" w:ascii="Times New Roman" w:hAnsi="Times New Roman" w:eastAsia="方正仿宋_GBK" w:cs="Times New Roman"/>
                <w:b/>
                <w:bCs w:val="0"/>
                <w:sz w:val="20"/>
                <w:szCs w:val="20"/>
                <w:lang w:val="zh-CN"/>
              </w:rPr>
              <w:t>《中华人民共和国城市居民委员会组织法》第三条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kern w:val="2"/>
                <w:sz w:val="20"/>
                <w:szCs w:val="20"/>
                <w:lang w:val="en-US" w:eastAsia="zh-CN" w:bidi="ar-SA"/>
              </w:rPr>
            </w:pPr>
            <w:r>
              <w:rPr>
                <w:rFonts w:hint="default" w:ascii="Times New Roman" w:hAnsi="Times New Roman" w:eastAsia="方正仿宋_GBK" w:cs="Times New Roman"/>
                <w:b/>
                <w:kern w:val="2"/>
                <w:sz w:val="20"/>
                <w:szCs w:val="20"/>
                <w:lang w:val="en-US" w:eastAsia="zh-CN" w:bidi="ar-SA"/>
              </w:rPr>
              <w:t>17</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协助开展社区心理健康指导、精神卫生知识宣传教育活动等精神卫生工作。</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《中华人民共和国精神卫生法》第十条、第二十条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18</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协助做好疫情信息的收集和报告、人员的分散隔离、公共卫生措施的落实工作，向居民、村民宣传传染病防治的相关知识。</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rPr>
              <w:t>《突发公共卫生应急条例》第四十条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19</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组织村（居）民参与社区、农村的传染病预防与控制活动。</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《中华人民共和国传染病防治法》第九条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20</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协助开展有关艾滋病防治的法律、法规、政策和知识的宣传教育，发展有关艾滋病防治的公益事业，做好艾滋病防治工作。</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《艾滋病防治条例》第六条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21</w:t>
            </w:r>
          </w:p>
        </w:tc>
        <w:tc>
          <w:tcPr>
            <w:tcW w:w="124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rPr>
              <w:t>国防人武</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协助开展国防教育。</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《中华人民共和国国防教育法》第二十一条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22</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协助对体格检查合格的应征公民进行政审。</w:t>
            </w:r>
          </w:p>
        </w:tc>
        <w:tc>
          <w:tcPr>
            <w:tcW w:w="299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《征兵工作条例》第二十一条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23</w:t>
            </w:r>
          </w:p>
        </w:tc>
        <w:tc>
          <w:tcPr>
            <w:tcW w:w="1244"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其他</w:t>
            </w: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kern w:val="2"/>
                <w:sz w:val="20"/>
                <w:szCs w:val="20"/>
                <w:lang w:val="zh-CN" w:eastAsia="zh-CN" w:bidi="ar-SA"/>
              </w:rPr>
            </w:pPr>
            <w:r>
              <w:rPr>
                <w:rFonts w:hint="default" w:ascii="Times New Roman" w:hAnsi="Times New Roman" w:eastAsia="方正仿宋_GBK" w:cs="Times New Roman"/>
                <w:b/>
                <w:bCs w:val="0"/>
                <w:sz w:val="20"/>
                <w:szCs w:val="20"/>
                <w:lang w:val="zh-CN"/>
              </w:rPr>
              <w:t>协助做好地质灾害的群测群防、避灾疏散工作。</w:t>
            </w:r>
          </w:p>
        </w:tc>
        <w:tc>
          <w:tcPr>
            <w:tcW w:w="2996"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lang w:val="zh-CN"/>
              </w:rPr>
              <w:t>《地质灾害防治条例》第十五、第二十八条、第二十九条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24</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kern w:val="2"/>
                <w:sz w:val="20"/>
                <w:szCs w:val="20"/>
                <w:lang w:val="zh-CN" w:eastAsia="zh-CN" w:bidi="ar-SA"/>
              </w:rPr>
            </w:pPr>
            <w:r>
              <w:rPr>
                <w:rFonts w:hint="default" w:ascii="Times New Roman" w:hAnsi="Times New Roman" w:eastAsia="方正仿宋_GBK" w:cs="Times New Roman"/>
                <w:b/>
                <w:bCs w:val="0"/>
                <w:sz w:val="20"/>
                <w:szCs w:val="20"/>
                <w:lang w:val="zh-CN"/>
              </w:rPr>
              <w:t>协助做好社区矫正工作。</w:t>
            </w:r>
          </w:p>
        </w:tc>
        <w:tc>
          <w:tcPr>
            <w:tcW w:w="2996"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lang w:val="zh-CN"/>
              </w:rPr>
              <w:t>《社区矫正法》第六条、第十二条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25</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kern w:val="2"/>
                <w:sz w:val="20"/>
                <w:szCs w:val="20"/>
                <w:lang w:val="zh-CN" w:eastAsia="zh-CN" w:bidi="ar-SA"/>
              </w:rPr>
            </w:pPr>
            <w:r>
              <w:rPr>
                <w:rFonts w:hint="default" w:ascii="Times New Roman" w:hAnsi="Times New Roman" w:eastAsia="方正仿宋_GBK" w:cs="Times New Roman"/>
                <w:b/>
                <w:bCs w:val="0"/>
                <w:kern w:val="2"/>
                <w:sz w:val="20"/>
                <w:szCs w:val="20"/>
                <w:lang w:val="zh-CN" w:eastAsia="zh-CN" w:bidi="ar-SA"/>
              </w:rPr>
              <w:t>向当地人民政府或者有关部门报告本辖区生产经营单位存在事故隐患或者安全生产违法行为。</w:t>
            </w:r>
          </w:p>
        </w:tc>
        <w:tc>
          <w:tcPr>
            <w:tcW w:w="2996"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bCs w:val="0"/>
                <w:sz w:val="20"/>
                <w:szCs w:val="20"/>
                <w:lang w:eastAsia="zh-CN"/>
              </w:rPr>
              <w:t>《中华人民共和国安全生产法》第七十</w:t>
            </w:r>
            <w:r>
              <w:rPr>
                <w:rFonts w:hint="default" w:ascii="Times New Roman" w:hAnsi="Times New Roman" w:eastAsia="方正仿宋_GBK" w:cs="Times New Roman"/>
                <w:b/>
                <w:bCs w:val="0"/>
                <w:sz w:val="20"/>
                <w:szCs w:val="20"/>
                <w:u w:val="none"/>
                <w:lang w:eastAsia="zh-CN"/>
              </w:rPr>
              <w:t>五</w:t>
            </w:r>
            <w:r>
              <w:rPr>
                <w:rFonts w:hint="default" w:ascii="Times New Roman" w:hAnsi="Times New Roman" w:eastAsia="方正仿宋_GBK" w:cs="Times New Roman"/>
                <w:b/>
                <w:bCs w:val="0"/>
                <w:sz w:val="20"/>
                <w:szCs w:val="20"/>
                <w:lang w:eastAsia="zh-CN"/>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26</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kern w:val="2"/>
                <w:sz w:val="20"/>
                <w:szCs w:val="20"/>
                <w:lang w:val="zh-CN" w:eastAsia="zh-CN" w:bidi="ar-SA"/>
              </w:rPr>
            </w:pPr>
            <w:r>
              <w:rPr>
                <w:rFonts w:hint="default" w:ascii="Times New Roman" w:hAnsi="Times New Roman" w:eastAsia="方正仿宋_GBK" w:cs="Times New Roman"/>
                <w:b/>
                <w:bCs w:val="0"/>
                <w:sz w:val="20"/>
                <w:szCs w:val="20"/>
                <w:lang w:val="zh-CN"/>
              </w:rPr>
              <w:t>协助做好妇女权益保障工作。</w:t>
            </w:r>
          </w:p>
        </w:tc>
        <w:tc>
          <w:tcPr>
            <w:tcW w:w="2996"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rPr>
            </w:pPr>
            <w:r>
              <w:rPr>
                <w:rFonts w:hint="default" w:ascii="Times New Roman" w:hAnsi="Times New Roman" w:eastAsia="方正仿宋_GBK" w:cs="Times New Roman"/>
                <w:b/>
                <w:bCs w:val="0"/>
                <w:sz w:val="20"/>
                <w:szCs w:val="20"/>
                <w:lang w:val="zh-CN"/>
              </w:rPr>
              <w:t>《中华人民共和国妇女权益保障法》第四条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kern w:val="2"/>
                <w:sz w:val="20"/>
                <w:szCs w:val="20"/>
                <w:lang w:val="en-US" w:eastAsia="zh-CN" w:bidi="ar-SA"/>
              </w:rPr>
              <w:t>27</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kern w:val="2"/>
                <w:sz w:val="20"/>
                <w:szCs w:val="20"/>
                <w:lang w:val="zh-CN" w:eastAsia="zh-CN" w:bidi="ar-SA"/>
              </w:rPr>
            </w:pPr>
            <w:r>
              <w:rPr>
                <w:rFonts w:hint="default" w:ascii="Times New Roman" w:hAnsi="Times New Roman" w:eastAsia="方正仿宋_GBK" w:cs="Times New Roman"/>
                <w:b/>
                <w:bCs w:val="0"/>
                <w:sz w:val="20"/>
                <w:szCs w:val="20"/>
              </w:rPr>
              <w:t>协助做好家庭暴力的预防、处置等工作，履行强制报告职责。</w:t>
            </w:r>
          </w:p>
        </w:tc>
        <w:tc>
          <w:tcPr>
            <w:tcW w:w="2996"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pacing w:val="-6"/>
                <w:sz w:val="20"/>
                <w:szCs w:val="20"/>
              </w:rPr>
            </w:pPr>
            <w:r>
              <w:rPr>
                <w:rFonts w:hint="default" w:ascii="Times New Roman" w:hAnsi="Times New Roman" w:eastAsia="方正仿宋_GBK" w:cs="Times New Roman"/>
                <w:b/>
                <w:bCs w:val="0"/>
                <w:spacing w:val="-6"/>
                <w:sz w:val="20"/>
                <w:szCs w:val="20"/>
              </w:rPr>
              <w:t>《中华人民共和国反家庭暴力法》第四条、第八条、第十三条、第十四条、第三十五条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kern w:val="2"/>
                <w:sz w:val="20"/>
                <w:szCs w:val="20"/>
                <w:lang w:val="en-US" w:eastAsia="zh-CN" w:bidi="ar-SA"/>
              </w:rPr>
            </w:pPr>
            <w:r>
              <w:rPr>
                <w:rFonts w:hint="default" w:ascii="Times New Roman" w:hAnsi="Times New Roman" w:eastAsia="方正仿宋_GBK" w:cs="Times New Roman"/>
                <w:b/>
                <w:kern w:val="2"/>
                <w:sz w:val="20"/>
                <w:szCs w:val="20"/>
                <w:lang w:val="en-US" w:eastAsia="zh-CN" w:bidi="ar-SA"/>
              </w:rPr>
              <w:t>28</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kern w:val="2"/>
                <w:sz w:val="20"/>
                <w:szCs w:val="20"/>
                <w:lang w:val="en-US" w:eastAsia="zh-CN" w:bidi="ar-SA"/>
              </w:rPr>
            </w:pPr>
            <w:r>
              <w:rPr>
                <w:rFonts w:hint="default" w:ascii="Times New Roman" w:hAnsi="Times New Roman" w:eastAsia="方正仿宋_GBK" w:cs="Times New Roman"/>
                <w:b/>
                <w:bCs w:val="0"/>
                <w:sz w:val="20"/>
                <w:szCs w:val="20"/>
                <w:lang w:eastAsia="zh-CN"/>
              </w:rPr>
              <w:t>协助做好优抚救济工作。</w:t>
            </w:r>
          </w:p>
        </w:tc>
        <w:tc>
          <w:tcPr>
            <w:tcW w:w="2996"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pacing w:val="-6"/>
                <w:kern w:val="2"/>
                <w:sz w:val="20"/>
                <w:szCs w:val="20"/>
                <w:lang w:val="en-US" w:eastAsia="zh-CN" w:bidi="ar-SA"/>
              </w:rPr>
            </w:pPr>
            <w:r>
              <w:rPr>
                <w:rFonts w:hint="default" w:ascii="Times New Roman" w:hAnsi="Times New Roman" w:eastAsia="方正仿宋_GBK" w:cs="Times New Roman"/>
                <w:b/>
                <w:bCs w:val="0"/>
                <w:spacing w:val="-6"/>
                <w:sz w:val="20"/>
                <w:szCs w:val="20"/>
                <w:lang w:val="zh-CN"/>
              </w:rPr>
              <w:t>《中华人民共和国城市居民委员会组织法》第三条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70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lang w:val="en-US" w:eastAsia="zh-CN"/>
              </w:rPr>
            </w:pPr>
            <w:r>
              <w:rPr>
                <w:rFonts w:hint="default" w:ascii="Times New Roman" w:hAnsi="Times New Roman" w:eastAsia="方正仿宋_GBK" w:cs="Times New Roman"/>
                <w:b/>
                <w:bCs w:val="0"/>
                <w:sz w:val="20"/>
                <w:szCs w:val="20"/>
                <w:lang w:val="en-US" w:eastAsia="zh-CN"/>
              </w:rPr>
              <w:t>29</w:t>
            </w:r>
          </w:p>
        </w:tc>
        <w:tc>
          <w:tcPr>
            <w:tcW w:w="1244"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val="0"/>
                <w:sz w:val="20"/>
                <w:szCs w:val="20"/>
              </w:rPr>
            </w:pPr>
          </w:p>
        </w:tc>
        <w:tc>
          <w:tcPr>
            <w:tcW w:w="384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eastAsia="zh-CN"/>
              </w:rPr>
            </w:pPr>
            <w:r>
              <w:rPr>
                <w:rFonts w:hint="default" w:ascii="Times New Roman" w:hAnsi="Times New Roman" w:eastAsia="方正仿宋_GBK" w:cs="Times New Roman"/>
                <w:b/>
                <w:sz w:val="20"/>
                <w:szCs w:val="20"/>
                <w:lang w:eastAsia="zh-CN"/>
              </w:rPr>
              <w:t>对</w:t>
            </w:r>
            <w:r>
              <w:rPr>
                <w:rFonts w:hint="default" w:ascii="Times New Roman" w:hAnsi="Times New Roman" w:eastAsia="方正仿宋_GBK" w:cs="Times New Roman"/>
                <w:b/>
                <w:sz w:val="20"/>
                <w:szCs w:val="20"/>
              </w:rPr>
              <w:t>无民事行为能力或者限制民事行为能力的成年人</w:t>
            </w:r>
            <w:r>
              <w:rPr>
                <w:rFonts w:hint="default" w:ascii="Times New Roman" w:hAnsi="Times New Roman" w:eastAsia="方正仿宋_GBK" w:cs="Times New Roman"/>
                <w:b/>
                <w:sz w:val="20"/>
                <w:szCs w:val="20"/>
                <w:lang w:eastAsia="zh-CN"/>
              </w:rPr>
              <w:t>，协助履行临时监护人责任。</w:t>
            </w:r>
          </w:p>
        </w:tc>
        <w:tc>
          <w:tcPr>
            <w:tcW w:w="2996"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val="0"/>
                <w:sz w:val="20"/>
                <w:szCs w:val="20"/>
                <w:lang w:val="zh-CN"/>
              </w:rPr>
            </w:pPr>
            <w:r>
              <w:rPr>
                <w:rFonts w:hint="default" w:ascii="Times New Roman" w:hAnsi="Times New Roman" w:eastAsia="方正仿宋_GBK" w:cs="Times New Roman"/>
                <w:b/>
                <w:bCs w:val="0"/>
                <w:sz w:val="20"/>
                <w:szCs w:val="20"/>
                <w:lang w:val="zh-CN"/>
              </w:rPr>
              <w:t>《民法典》第三十一条、第三十二条、第三十四条</w:t>
            </w:r>
          </w:p>
        </w:tc>
      </w:tr>
    </w:tbl>
    <w:p>
      <w:pPr/>
      <w:r>
        <w:rPr>
          <w:rFonts w:hint="default" w:ascii="Times New Roman" w:hAnsi="Times New Roman" w:eastAsia="黑体" w:cs="Times New Roman"/>
          <w:b/>
          <w:bCs w:val="0"/>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Liberation Sans">
    <w:altName w:val="微软雅黑"/>
    <w:panose1 w:val="00000000000000000000"/>
    <w:charset w:val="00"/>
    <w:family w:val="decorative"/>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295FB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uiPriority w:val="0"/>
    <w:pPr>
      <w:ind w:left="0" w:leftChars="0"/>
      <w:jc w:val="left"/>
    </w:pPr>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2023-12-15T05:22:48Z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