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新疆维吾尔自治区定</w:t>
      </w: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价目录</w:t>
      </w:r>
    </w:p>
    <w:tbl>
      <w:tblPr>
        <w:tblStyle w:val="4"/>
        <w:tblpPr w:leftFromText="180" w:rightFromText="180" w:vertAnchor="text" w:horzAnchor="page" w:tblpX="507" w:tblpY="1245"/>
        <w:tblOverlap w:val="never"/>
        <w:tblW w:w="1077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28"/>
        <w:gridCol w:w="1155"/>
        <w:gridCol w:w="677"/>
        <w:gridCol w:w="3283"/>
        <w:gridCol w:w="2686"/>
        <w:gridCol w:w="24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trHeight w:val="889" w:hRule="atLeast"/>
        </w:trPr>
        <w:tc>
          <w:tcPr>
            <w:tcW w:w="5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序号</w:t>
            </w:r>
          </w:p>
        </w:tc>
        <w:tc>
          <w:tcPr>
            <w:tcW w:w="1155"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项目</w:t>
            </w:r>
          </w:p>
        </w:tc>
        <w:tc>
          <w:tcPr>
            <w:tcW w:w="3960" w:type="dxa"/>
            <w:gridSpan w:val="2"/>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定价内容</w:t>
            </w:r>
          </w:p>
        </w:tc>
        <w:tc>
          <w:tcPr>
            <w:tcW w:w="2686"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定价部门</w:t>
            </w:r>
          </w:p>
        </w:tc>
        <w:tc>
          <w:tcPr>
            <w:tcW w:w="2444"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trHeight w:val="456"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输配电</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省级以下电网输配电价</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6"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2</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油气管道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运输和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燃气</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自治区内管道运输价格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企业内部自用管道除外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管道燃气配气价格和销售价格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定价范围为燃气管网配气价格和终端用户销售价格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液化石油气销售价格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定价范围为民用液化石油气销售价格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3</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供水</w:t>
            </w:r>
          </w:p>
        </w:tc>
        <w:tc>
          <w:tcPr>
            <w:tcW w:w="677"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水利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价格</w:t>
            </w: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自治区直属管理、跨地（州、市）以及兵团与地方交叉水利工程的供水价格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水利工程由用户自建自用的和通过协议明确由供需双方协商定价的部分除外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13"/>
                <w:sz w:val="28"/>
                <w:szCs w:val="28"/>
              </w:rPr>
              <w:t>辖区内跨县（市）和地（州、市）所属水利工程的供水价格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县（市）所属水利工程的供水价格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授权县（市）人民政府</w:t>
            </w:r>
          </w:p>
        </w:tc>
        <w:tc>
          <w:tcPr>
            <w:tcW w:w="2444"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辖区内城乡公共管网供应的自来水价格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农村村民自建、自管的自来水价格除外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序号</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项目</w:t>
            </w:r>
          </w:p>
        </w:tc>
        <w:tc>
          <w:tcPr>
            <w:tcW w:w="3960" w:type="dxa"/>
            <w:gridSpan w:val="2"/>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定价内容</w:t>
            </w:r>
          </w:p>
        </w:tc>
        <w:tc>
          <w:tcPr>
            <w:tcW w:w="2686"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定价部门</w:t>
            </w:r>
          </w:p>
        </w:tc>
        <w:tc>
          <w:tcPr>
            <w:tcW w:w="2444"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6"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4</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供热</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供热价格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5</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运输</w:t>
            </w:r>
          </w:p>
        </w:tc>
        <w:tc>
          <w:tcPr>
            <w:tcW w:w="677"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行</w:t>
            </w: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政府还贷公路（含桥梁和隧道）车辆通行费标准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自治区交通运输主管部门会同价格主管部门、财政部门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经营性公路（含桥梁和隧道）车辆通行费标准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自治区交通运输主管部门会同价格主管部门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城市道路上利用贷款或者集资筹款建设的大型桥梁、隧道车辆通行费标准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自治区价格主管部门会同城市建设主管部门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753"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输</w:t>
            </w: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自治区地方国企全资及控股铁路、地方国企和央企各占50%股权铁路的货物、行李运价率，普通旅客列车硬座、硬卧票价率</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竞争性领域除外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3"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农村道路客运票价</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汽车客运站服务收费标准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28"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通</w:t>
            </w: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城市公共汽车、轨道交通票价</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37"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客运出租车运价、燃油附加费标准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网络预约出租车除外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6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677"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务</w:t>
            </w:r>
          </w:p>
        </w:tc>
        <w:tc>
          <w:tcPr>
            <w:tcW w:w="3283"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具有自然垄断经营和公益性特征的机动车停放设施服务收费标准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定价范围为公共文化、交通、体育、医疗、教育等公共设施配套停车场（库、泊位），具有垄断经营特征停车场（库、泊位），政府投资建设（设立）的停车场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89"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6</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保护</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辖区内城乡污水处理收费标准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排污权有偿使用价格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自治区价格主管部门会同财政、生态环境部门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生活垃圾处理收费标准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危险废物处置收费标准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序号</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项目</w:t>
            </w:r>
          </w:p>
        </w:tc>
        <w:tc>
          <w:tcPr>
            <w:tcW w:w="3960" w:type="dxa"/>
            <w:gridSpan w:val="2"/>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定价内容</w:t>
            </w:r>
          </w:p>
        </w:tc>
        <w:tc>
          <w:tcPr>
            <w:tcW w:w="2686"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定价部门</w:t>
            </w:r>
          </w:p>
        </w:tc>
        <w:tc>
          <w:tcPr>
            <w:tcW w:w="2444"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7</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教育</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公办高等教育、职业教育学费、住宿费标准，中小学服务性收费标准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自治区价格主管部门会同财政、教育部门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公办普通高中学历教育学费、公办中小学住宿费标准，公办幼儿园保教费、住宿费标准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列入中小学教材用书目录的教科书和列入评议公告目录的教辅材料印张单价和零售价格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义务教育阶段学科类校外培训收费</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自治区价格主管部门会同教育部门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对面向普通高中学生的学科类校外培训收费的管理，参照执行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法律、法规规定的继续教育、职业技能、特殊行业等强制性培训收费标准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8</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公立医疗机构提供的基本医疗服务价格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自治区医疗保障部门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9</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公办养老机构基本服务收费标准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10</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托育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公办托育服务机构服务收费标准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3"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11</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殡葬</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殡葬基本服务收费标准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3"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公墓收费、公墓维护管理费标准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定价范围为公益性公墓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0"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12</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旅游</w:t>
            </w:r>
          </w:p>
        </w:tc>
        <w:tc>
          <w:tcPr>
            <w:tcW w:w="3960" w:type="dxa"/>
            <w:gridSpan w:val="2"/>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利用公共资源建设的景区门票价格及景区内交通运输服务价格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按照《自治区旅游景区门票及相关服务价格管理办法》管理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1"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授权地（州、市）人民政府（行政公署），县（市）人民政府</w:t>
            </w:r>
          </w:p>
        </w:tc>
        <w:tc>
          <w:tcPr>
            <w:tcW w:w="2444"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3"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有线数字电视基本收视维护收费标准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3" w:hRule="atLeast"/>
        </w:trPr>
        <w:tc>
          <w:tcPr>
            <w:tcW w:w="528"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13</w:t>
            </w:r>
          </w:p>
        </w:tc>
        <w:tc>
          <w:tcPr>
            <w:tcW w:w="115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性住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房及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物业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w:t>
            </w: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公共租赁住房租金</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4"/>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经济适用住房等享受国家优惠政策居民住宅销售价格</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89" w:hRule="atLeast"/>
        </w:trPr>
        <w:tc>
          <w:tcPr>
            <w:tcW w:w="528"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5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gridSpan w:val="2"/>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物业服务收费标准</w:t>
            </w:r>
          </w:p>
        </w:tc>
        <w:tc>
          <w:tcPr>
            <w:tcW w:w="2686"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44"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按照《新疆维吾尔自治区物业服务收费管理办法》管理</w:t>
            </w:r>
          </w:p>
        </w:tc>
      </w:tr>
    </w:tbl>
    <w:tbl>
      <w:tblPr>
        <w:tblStyle w:val="4"/>
        <w:tblpPr w:leftFromText="180" w:rightFromText="180" w:vertAnchor="text" w:horzAnchor="page" w:tblpX="435" w:tblpY="195"/>
        <w:tblOverlap w:val="never"/>
        <w:tblW w:w="10725" w:type="dxa"/>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95"/>
        <w:gridCol w:w="1185"/>
        <w:gridCol w:w="3960"/>
        <w:gridCol w:w="2655"/>
        <w:gridCol w:w="24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49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序号</w:t>
            </w:r>
          </w:p>
        </w:tc>
        <w:tc>
          <w:tcPr>
            <w:tcW w:w="1185"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项目</w:t>
            </w:r>
          </w:p>
        </w:tc>
        <w:tc>
          <w:tcPr>
            <w:tcW w:w="3960"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定价内容</w:t>
            </w:r>
          </w:p>
        </w:tc>
        <w:tc>
          <w:tcPr>
            <w:tcW w:w="2655"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定价部门</w:t>
            </w:r>
          </w:p>
        </w:tc>
        <w:tc>
          <w:tcPr>
            <w:tcW w:w="2430"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2" w:hRule="atLeast"/>
        </w:trPr>
        <w:tc>
          <w:tcPr>
            <w:tcW w:w="495"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14</w:t>
            </w:r>
          </w:p>
        </w:tc>
        <w:tc>
          <w:tcPr>
            <w:tcW w:w="118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服务</w:t>
            </w:r>
          </w:p>
        </w:tc>
        <w:tc>
          <w:tcPr>
            <w:tcW w:w="396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垄断性交易平台（市场）交易服务收费标准</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定价范围为矿业权、土地使用权、工程交易等市场交易服务收费标准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99"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垄断性服务收费标准</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自治区价格主管部门会同财政部门</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定价范围为产品质量、纤维、特种设备检验检测、计量检定等服务收费标准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7"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vMerge w:val="restart"/>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公用事业经营单位提供的具有行业或技术垄断且与主营业务相关的服务收费标准</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30" w:type="dxa"/>
            <w:tcBorders>
              <w:top w:val="nil"/>
              <w:left w:val="nil"/>
              <w:bottom w:val="single" w:color="000000"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定价范围为居民供气相关服务收费标准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83"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vMerge w:val="continue"/>
            <w:tcBorders>
              <w:top w:val="nil"/>
              <w:left w:val="nil"/>
              <w:bottom w:val="single" w:color="auto" w:sz="8" w:space="0"/>
              <w:right w:val="single" w:color="auto" w:sz="8" w:space="0"/>
            </w:tcBorders>
            <w:shd w:val="clear" w:color="auto" w:fill="FFFFFF"/>
            <w:tcMar>
              <w:left w:w="18" w:type="dxa"/>
              <w:right w:w="18" w:type="dxa"/>
            </w:tcMar>
            <w:vAlign w:val="center"/>
          </w:tcPr>
          <w:p>
            <w:pPr>
              <w:jc w:val="both"/>
              <w:rPr>
                <w:rFonts w:hint="eastAsia" w:ascii="微软雅黑" w:hAnsi="微软雅黑" w:eastAsia="微软雅黑" w:cs="微软雅黑"/>
                <w:i w:val="0"/>
                <w:iCs w:val="0"/>
                <w:caps w:val="0"/>
                <w:color w:val="000000"/>
                <w:spacing w:val="0"/>
                <w:sz w:val="28"/>
                <w:szCs w:val="28"/>
              </w:rPr>
            </w:pP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授权市、县（市）人民政府</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定价范围为居民供水、供热等相关服务收费标准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6"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司法服务价格</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自治区价格主管部门会同司法行政部门</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定价范围为公证、司法鉴定服务价格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1"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监管仓库收费标准</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自治区价格主管部门</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定价范围为棉花专业监管仓库发生的仓储相关服务的收费标准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65" w:hRule="atLeast"/>
        </w:trPr>
        <w:tc>
          <w:tcPr>
            <w:tcW w:w="495" w:type="dxa"/>
            <w:vMerge w:val="continue"/>
            <w:tcBorders>
              <w:top w:val="nil"/>
              <w:left w:val="single" w:color="auto" w:sz="8" w:space="0"/>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1185" w:type="dxa"/>
            <w:vMerge w:val="continue"/>
            <w:tcBorders>
              <w:top w:val="nil"/>
              <w:left w:val="nil"/>
              <w:bottom w:val="single" w:color="auto" w:sz="8" w:space="0"/>
              <w:right w:val="single" w:color="auto" w:sz="8" w:space="0"/>
            </w:tcBorders>
            <w:shd w:val="clear" w:color="auto" w:fill="FFFFFF"/>
            <w:vAlign w:val="center"/>
          </w:tcPr>
          <w:p>
            <w:pPr>
              <w:jc w:val="both"/>
              <w:rPr>
                <w:rFonts w:hint="eastAsia" w:ascii="微软雅黑" w:hAnsi="微软雅黑" w:eastAsia="微软雅黑" w:cs="微软雅黑"/>
                <w:i w:val="0"/>
                <w:iCs w:val="0"/>
                <w:caps w:val="0"/>
                <w:color w:val="000000"/>
                <w:spacing w:val="0"/>
                <w:sz w:val="28"/>
                <w:szCs w:val="28"/>
              </w:rPr>
            </w:pPr>
          </w:p>
        </w:tc>
        <w:tc>
          <w:tcPr>
            <w:tcW w:w="396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车辆救援清障服务收费标准</w:t>
            </w:r>
          </w:p>
        </w:tc>
        <w:tc>
          <w:tcPr>
            <w:tcW w:w="2655"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授权地（州、市）人民政府（行政公署）</w:t>
            </w:r>
          </w:p>
        </w:tc>
        <w:tc>
          <w:tcPr>
            <w:tcW w:w="2430" w:type="dxa"/>
            <w:tcBorders>
              <w:top w:val="nil"/>
              <w:left w:val="nil"/>
              <w:bottom w:val="single" w:color="auto" w:sz="8" w:space="0"/>
              <w:right w:val="single" w:color="auto" w:sz="8" w:space="0"/>
            </w:tcBorders>
            <w:shd w:val="clear" w:color="auto" w:fill="FFFFFF"/>
            <w:tcMar>
              <w:left w:w="18" w:type="dxa"/>
              <w:right w:w="1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微软雅黑" w:hAnsi="微软雅黑" w:eastAsia="微软雅黑" w:cs="微软雅黑"/>
                <w:color w:val="000000"/>
                <w:sz w:val="28"/>
                <w:szCs w:val="28"/>
              </w:rPr>
            </w:pPr>
            <w:r>
              <w:rPr>
                <w:rFonts w:hint="eastAsia" w:ascii="微软雅黑" w:hAnsi="微软雅黑" w:eastAsia="微软雅黑" w:cs="微软雅黑"/>
                <w:i w:val="0"/>
                <w:iCs w:val="0"/>
                <w:caps w:val="0"/>
                <w:color w:val="000000"/>
                <w:spacing w:val="0"/>
                <w:sz w:val="28"/>
                <w:szCs w:val="28"/>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A786E"/>
    <w:rsid w:val="70C833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2023-12-15T09:48:38Z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